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8BC80" w14:textId="3882BAA1" w:rsidR="003A21AF" w:rsidRPr="00FD6ABF" w:rsidRDefault="00084156" w:rsidP="00B37398">
      <w:pPr>
        <w:jc w:val="center"/>
        <w:rPr>
          <w:rFonts w:ascii="Arial" w:hAnsi="Arial" w:cs="Arial"/>
          <w:i/>
          <w:sz w:val="28"/>
          <w:szCs w:val="22"/>
        </w:rPr>
      </w:pPr>
      <w:r w:rsidRPr="00DF3A3A">
        <w:rPr>
          <w:rFonts w:ascii="Arial" w:hAnsi="Arial" w:cs="Arial"/>
          <w:sz w:val="28"/>
          <w:szCs w:val="22"/>
        </w:rPr>
        <w:t xml:space="preserve">An Adaptive Randomized Platform Trial to Investigate the </w:t>
      </w:r>
      <w:r w:rsidR="006A1DCB" w:rsidRPr="00DF3A3A">
        <w:rPr>
          <w:rFonts w:ascii="Arial" w:hAnsi="Arial" w:cs="Arial"/>
          <w:sz w:val="28"/>
          <w:szCs w:val="22"/>
        </w:rPr>
        <w:t>Efficacy of Novel Agents for Treatment of SARS-CoV-2 Infection Among High-Risk Outpatient Adults</w:t>
      </w:r>
      <w:r w:rsidR="00BF570A">
        <w:rPr>
          <w:rFonts w:ascii="Arial" w:hAnsi="Arial" w:cs="Arial"/>
          <w:sz w:val="28"/>
          <w:szCs w:val="22"/>
        </w:rPr>
        <w:t xml:space="preserve"> in Low and Middle Income Countries</w:t>
      </w:r>
    </w:p>
    <w:p w14:paraId="6A88C67D" w14:textId="05D7BBB5" w:rsidR="00010EE9" w:rsidRDefault="00010EE9" w:rsidP="00FB2D39">
      <w:pPr>
        <w:jc w:val="both"/>
        <w:rPr>
          <w:rFonts w:ascii="Arial" w:hAnsi="Arial" w:cs="Arial"/>
          <w:sz w:val="22"/>
          <w:szCs w:val="22"/>
        </w:rPr>
      </w:pPr>
    </w:p>
    <w:p w14:paraId="4048C8D3" w14:textId="77777777" w:rsidR="00010EE9" w:rsidRPr="00DF3A3A" w:rsidRDefault="00010EE9" w:rsidP="00FB2D39">
      <w:pPr>
        <w:jc w:val="both"/>
        <w:rPr>
          <w:rFonts w:ascii="Arial" w:hAnsi="Arial" w:cs="Arial"/>
          <w:sz w:val="22"/>
          <w:szCs w:val="22"/>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528"/>
      </w:tblGrid>
      <w:tr w:rsidR="00391897" w:rsidRPr="00DF3A3A" w14:paraId="70DB720C" w14:textId="77777777" w:rsidTr="00DF3A3A">
        <w:tc>
          <w:tcPr>
            <w:tcW w:w="4248" w:type="dxa"/>
          </w:tcPr>
          <w:p w14:paraId="05C52F6D" w14:textId="444B1585" w:rsidR="00391897" w:rsidRPr="00DF3A3A" w:rsidRDefault="00391897" w:rsidP="00FB2D39">
            <w:pPr>
              <w:pStyle w:val="HeadingNoTOC"/>
              <w:jc w:val="both"/>
              <w:rPr>
                <w:rFonts w:ascii="Arial" w:hAnsi="Arial" w:cs="Arial"/>
                <w:b w:val="0"/>
                <w:bCs/>
                <w:sz w:val="22"/>
                <w:szCs w:val="22"/>
              </w:rPr>
            </w:pPr>
            <w:r w:rsidRPr="00DF3A3A">
              <w:rPr>
                <w:rFonts w:ascii="Arial" w:hAnsi="Arial" w:cs="Arial"/>
                <w:b w:val="0"/>
                <w:bCs/>
                <w:sz w:val="22"/>
                <w:szCs w:val="22"/>
              </w:rPr>
              <w:t>Study code</w:t>
            </w:r>
          </w:p>
        </w:tc>
        <w:tc>
          <w:tcPr>
            <w:tcW w:w="5528" w:type="dxa"/>
          </w:tcPr>
          <w:p w14:paraId="78B91EB1" w14:textId="0F7C9EF0" w:rsidR="00391897" w:rsidRPr="00DF3A3A" w:rsidRDefault="00F554D1" w:rsidP="00FB2D39">
            <w:pPr>
              <w:pStyle w:val="HeadingNoTOC"/>
              <w:jc w:val="both"/>
              <w:rPr>
                <w:rFonts w:ascii="Arial" w:hAnsi="Arial" w:cs="Arial"/>
                <w:b w:val="0"/>
                <w:bCs/>
                <w:sz w:val="22"/>
                <w:szCs w:val="22"/>
              </w:rPr>
            </w:pPr>
            <w:r w:rsidRPr="00DF3A3A">
              <w:rPr>
                <w:rFonts w:ascii="Arial" w:hAnsi="Arial" w:cs="Arial"/>
                <w:b w:val="0"/>
                <w:bCs/>
                <w:sz w:val="22"/>
                <w:szCs w:val="22"/>
              </w:rPr>
              <w:t>Tx</w:t>
            </w:r>
            <w:r w:rsidR="00391897" w:rsidRPr="00DF3A3A">
              <w:rPr>
                <w:rFonts w:ascii="Arial" w:hAnsi="Arial" w:cs="Arial"/>
                <w:b w:val="0"/>
                <w:bCs/>
                <w:sz w:val="22"/>
                <w:szCs w:val="22"/>
              </w:rPr>
              <w:t xml:space="preserve"> for SARS-CoV-2</w:t>
            </w:r>
          </w:p>
        </w:tc>
      </w:tr>
      <w:tr w:rsidR="00391897" w:rsidRPr="00DF3A3A" w14:paraId="53E69AE3" w14:textId="77777777" w:rsidTr="00DF3A3A">
        <w:tc>
          <w:tcPr>
            <w:tcW w:w="4248" w:type="dxa"/>
          </w:tcPr>
          <w:p w14:paraId="2DB3190B" w14:textId="49C65DC5" w:rsidR="00391897" w:rsidRPr="00DF3A3A" w:rsidRDefault="00391897" w:rsidP="00FB2D39">
            <w:pPr>
              <w:pStyle w:val="HeadingNoTOC"/>
              <w:jc w:val="both"/>
              <w:rPr>
                <w:rFonts w:ascii="Arial" w:hAnsi="Arial" w:cs="Arial"/>
                <w:b w:val="0"/>
                <w:bCs/>
                <w:sz w:val="22"/>
                <w:szCs w:val="22"/>
              </w:rPr>
            </w:pPr>
            <w:r w:rsidRPr="00DF3A3A">
              <w:rPr>
                <w:rFonts w:ascii="Arial" w:hAnsi="Arial" w:cs="Arial"/>
                <w:b w:val="0"/>
                <w:bCs/>
                <w:sz w:val="22"/>
                <w:szCs w:val="22"/>
              </w:rPr>
              <w:t>Short title</w:t>
            </w:r>
          </w:p>
        </w:tc>
        <w:tc>
          <w:tcPr>
            <w:tcW w:w="5528" w:type="dxa"/>
          </w:tcPr>
          <w:p w14:paraId="4AD47703" w14:textId="3AB3B7F3" w:rsidR="00010EE9" w:rsidRPr="00DF3A3A" w:rsidRDefault="006A1DCB" w:rsidP="00FB2D39">
            <w:pPr>
              <w:pStyle w:val="HeadingNoTOC"/>
              <w:jc w:val="both"/>
              <w:rPr>
                <w:rFonts w:ascii="Arial" w:hAnsi="Arial" w:cs="Arial"/>
                <w:b w:val="0"/>
                <w:bCs/>
                <w:sz w:val="22"/>
                <w:szCs w:val="22"/>
              </w:rPr>
            </w:pPr>
            <w:r w:rsidRPr="00DF3A3A">
              <w:rPr>
                <w:rFonts w:ascii="Arial" w:hAnsi="Arial" w:cs="Arial"/>
                <w:b w:val="0"/>
                <w:bCs/>
                <w:sz w:val="22"/>
                <w:szCs w:val="22"/>
              </w:rPr>
              <w:t>Outpatient Management of SARS-CoV-2 for High</w:t>
            </w:r>
            <w:r w:rsidR="0007606A" w:rsidRPr="00DF3A3A">
              <w:rPr>
                <w:rFonts w:ascii="Arial" w:hAnsi="Arial" w:cs="Arial"/>
                <w:b w:val="0"/>
                <w:bCs/>
                <w:sz w:val="22"/>
                <w:szCs w:val="22"/>
              </w:rPr>
              <w:t>-</w:t>
            </w:r>
            <w:r w:rsidRPr="00DF3A3A">
              <w:rPr>
                <w:rFonts w:ascii="Arial" w:hAnsi="Arial" w:cs="Arial"/>
                <w:b w:val="0"/>
                <w:bCs/>
                <w:sz w:val="22"/>
                <w:szCs w:val="22"/>
              </w:rPr>
              <w:t>Risk Adults</w:t>
            </w:r>
            <w:r w:rsidR="00BF570A">
              <w:rPr>
                <w:rFonts w:ascii="Arial" w:hAnsi="Arial" w:cs="Arial"/>
                <w:b w:val="0"/>
                <w:bCs/>
                <w:sz w:val="22"/>
                <w:szCs w:val="22"/>
              </w:rPr>
              <w:t xml:space="preserve"> in LMICs</w:t>
            </w:r>
          </w:p>
        </w:tc>
      </w:tr>
      <w:tr w:rsidR="00BF570A" w:rsidRPr="00DF3A3A" w14:paraId="2CABAC51" w14:textId="77777777" w:rsidTr="00DF3A3A">
        <w:trPr>
          <w:trHeight w:val="1195"/>
        </w:trPr>
        <w:tc>
          <w:tcPr>
            <w:tcW w:w="4248" w:type="dxa"/>
          </w:tcPr>
          <w:p w14:paraId="38414F17" w14:textId="755397E0"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 xml:space="preserve">Initial investigational products for </w:t>
            </w:r>
            <w:r>
              <w:rPr>
                <w:rFonts w:ascii="Arial" w:hAnsi="Arial" w:cs="Arial"/>
                <w:b w:val="0"/>
                <w:bCs/>
                <w:sz w:val="22"/>
                <w:szCs w:val="22"/>
              </w:rPr>
              <w:t>Brazil</w:t>
            </w:r>
          </w:p>
        </w:tc>
        <w:tc>
          <w:tcPr>
            <w:tcW w:w="5528" w:type="dxa"/>
          </w:tcPr>
          <w:p w14:paraId="33456B52" w14:textId="238220FF" w:rsidR="00BF570A" w:rsidRPr="00DF3A3A" w:rsidRDefault="00BF570A" w:rsidP="00BF570A">
            <w:pPr>
              <w:pStyle w:val="HeadingNoTOC"/>
              <w:jc w:val="both"/>
              <w:rPr>
                <w:rFonts w:ascii="Arial" w:hAnsi="Arial" w:cs="Arial"/>
                <w:bCs/>
                <w:sz w:val="22"/>
                <w:szCs w:val="22"/>
              </w:rPr>
            </w:pPr>
            <w:r>
              <w:rPr>
                <w:rFonts w:ascii="Arial" w:hAnsi="Arial" w:cs="Arial"/>
                <w:b w:val="0"/>
                <w:bCs/>
                <w:sz w:val="22"/>
                <w:szCs w:val="22"/>
              </w:rPr>
              <w:t>Hydroxychloroquine (HCQ)</w:t>
            </w:r>
          </w:p>
          <w:p w14:paraId="3C83F06F" w14:textId="32430414" w:rsidR="00BF570A" w:rsidRPr="00BF570A" w:rsidRDefault="00BF570A" w:rsidP="00BF570A">
            <w:pPr>
              <w:pStyle w:val="HeadingNoTOC"/>
              <w:jc w:val="both"/>
              <w:rPr>
                <w:rFonts w:ascii="Arial" w:hAnsi="Arial" w:cs="Arial"/>
                <w:bCs/>
                <w:sz w:val="22"/>
                <w:szCs w:val="22"/>
              </w:rPr>
            </w:pPr>
            <w:r w:rsidRPr="00DF3A3A">
              <w:rPr>
                <w:rFonts w:ascii="Arial" w:hAnsi="Arial" w:cs="Arial"/>
                <w:b w:val="0"/>
                <w:bCs/>
                <w:sz w:val="22"/>
                <w:szCs w:val="22"/>
              </w:rPr>
              <w:t xml:space="preserve">Lopinavir/ritonavir (LPV/r) </w:t>
            </w:r>
          </w:p>
        </w:tc>
      </w:tr>
      <w:tr w:rsidR="00BF570A" w:rsidRPr="00DF3A3A" w14:paraId="4ADF45B6" w14:textId="77777777" w:rsidTr="00DF3A3A">
        <w:trPr>
          <w:trHeight w:val="1195"/>
        </w:trPr>
        <w:tc>
          <w:tcPr>
            <w:tcW w:w="4248" w:type="dxa"/>
          </w:tcPr>
          <w:p w14:paraId="5A40E1D6" w14:textId="5A6E75C2" w:rsidR="00BF570A" w:rsidRPr="00BF570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Initial investigational products for South Africa</w:t>
            </w:r>
          </w:p>
        </w:tc>
        <w:tc>
          <w:tcPr>
            <w:tcW w:w="5528" w:type="dxa"/>
          </w:tcPr>
          <w:p w14:paraId="7D6E9816" w14:textId="07081C07" w:rsidR="00BF570A" w:rsidRPr="00DF3A3A" w:rsidRDefault="00BF570A" w:rsidP="00BF570A">
            <w:pPr>
              <w:pStyle w:val="HeadingNoTOC"/>
              <w:jc w:val="both"/>
              <w:rPr>
                <w:rFonts w:ascii="Arial" w:hAnsi="Arial" w:cs="Arial"/>
                <w:bCs/>
                <w:sz w:val="22"/>
                <w:szCs w:val="22"/>
              </w:rPr>
            </w:pPr>
            <w:r>
              <w:rPr>
                <w:rFonts w:ascii="Arial" w:hAnsi="Arial" w:cs="Arial"/>
                <w:b w:val="0"/>
                <w:bCs/>
                <w:sz w:val="22"/>
                <w:szCs w:val="22"/>
              </w:rPr>
              <w:t>LPV/r</w:t>
            </w:r>
          </w:p>
          <w:p w14:paraId="0624BFD0" w14:textId="5C751506" w:rsidR="00BF570A" w:rsidRPr="00DF3A3A" w:rsidRDefault="00BF570A" w:rsidP="00BF570A">
            <w:pPr>
              <w:pStyle w:val="HeadingNoTOC"/>
              <w:jc w:val="both"/>
              <w:rPr>
                <w:rFonts w:ascii="Arial" w:hAnsi="Arial" w:cs="Arial"/>
                <w:bCs/>
                <w:sz w:val="22"/>
                <w:szCs w:val="22"/>
              </w:rPr>
            </w:pPr>
            <w:r w:rsidRPr="00DF3A3A">
              <w:rPr>
                <w:rFonts w:ascii="Arial" w:hAnsi="Arial" w:cs="Arial"/>
                <w:b w:val="0"/>
                <w:bCs/>
                <w:sz w:val="22"/>
                <w:szCs w:val="22"/>
              </w:rPr>
              <w:t xml:space="preserve">Azithromycin </w:t>
            </w:r>
          </w:p>
        </w:tc>
      </w:tr>
      <w:tr w:rsidR="00BF570A" w:rsidRPr="00DF3A3A" w14:paraId="558DBABD" w14:textId="77777777" w:rsidTr="00DF3A3A">
        <w:tc>
          <w:tcPr>
            <w:tcW w:w="4248" w:type="dxa"/>
          </w:tcPr>
          <w:p w14:paraId="72DCFCE4" w14:textId="10E7E1F5"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Other potential investigational products</w:t>
            </w:r>
          </w:p>
        </w:tc>
        <w:tc>
          <w:tcPr>
            <w:tcW w:w="5528" w:type="dxa"/>
          </w:tcPr>
          <w:p w14:paraId="22DEB9E1" w14:textId="59350BBB"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 xml:space="preserve">Other chloroquine-based therapies, other </w:t>
            </w:r>
            <w:r>
              <w:rPr>
                <w:rFonts w:ascii="Arial" w:hAnsi="Arial" w:cs="Arial"/>
                <w:b w:val="0"/>
                <w:bCs/>
                <w:sz w:val="22"/>
                <w:szCs w:val="22"/>
              </w:rPr>
              <w:t>antiviral</w:t>
            </w:r>
            <w:r w:rsidRPr="00DF3A3A">
              <w:rPr>
                <w:rFonts w:ascii="Arial" w:hAnsi="Arial" w:cs="Arial"/>
                <w:b w:val="0"/>
                <w:bCs/>
                <w:sz w:val="22"/>
                <w:szCs w:val="22"/>
              </w:rPr>
              <w:t xml:space="preserve">s, and other candidate regimens </w:t>
            </w:r>
          </w:p>
        </w:tc>
      </w:tr>
      <w:tr w:rsidR="00BF570A" w:rsidRPr="00DF3A3A" w14:paraId="00DB4C11" w14:textId="77777777" w:rsidTr="00DF3A3A">
        <w:tc>
          <w:tcPr>
            <w:tcW w:w="4248" w:type="dxa"/>
          </w:tcPr>
          <w:p w14:paraId="21416AA4" w14:textId="55C8D4FC"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Initial comparator</w:t>
            </w:r>
          </w:p>
        </w:tc>
        <w:tc>
          <w:tcPr>
            <w:tcW w:w="5528" w:type="dxa"/>
          </w:tcPr>
          <w:p w14:paraId="65A4DDBB" w14:textId="3B38A8CF"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Ascorbic acid (placebo)</w:t>
            </w:r>
          </w:p>
        </w:tc>
      </w:tr>
      <w:tr w:rsidR="00BF570A" w:rsidRPr="00DF3A3A" w14:paraId="0775168D" w14:textId="77777777" w:rsidTr="00DF3A3A">
        <w:tc>
          <w:tcPr>
            <w:tcW w:w="4248" w:type="dxa"/>
          </w:tcPr>
          <w:p w14:paraId="50D0C66A" w14:textId="1A45291E"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Date of protocol</w:t>
            </w:r>
          </w:p>
        </w:tc>
        <w:tc>
          <w:tcPr>
            <w:tcW w:w="5528" w:type="dxa"/>
          </w:tcPr>
          <w:p w14:paraId="7458A313" w14:textId="37DCFCF6" w:rsidR="00BF570A" w:rsidRPr="00DF3A3A" w:rsidRDefault="00BF570A" w:rsidP="00BF570A">
            <w:pPr>
              <w:pStyle w:val="HeadingNoTOC"/>
              <w:jc w:val="both"/>
              <w:rPr>
                <w:rFonts w:ascii="Arial" w:hAnsi="Arial" w:cs="Arial"/>
                <w:b w:val="0"/>
                <w:bCs/>
                <w:sz w:val="22"/>
                <w:szCs w:val="22"/>
              </w:rPr>
            </w:pPr>
            <w:r>
              <w:rPr>
                <w:rFonts w:ascii="Arial" w:hAnsi="Arial" w:cs="Arial"/>
                <w:b w:val="0"/>
                <w:bCs/>
                <w:sz w:val="22"/>
                <w:szCs w:val="22"/>
              </w:rPr>
              <w:t>09 May</w:t>
            </w:r>
            <w:r w:rsidRPr="00091BE8">
              <w:rPr>
                <w:rFonts w:ascii="Arial" w:hAnsi="Arial" w:cs="Arial"/>
                <w:b w:val="0"/>
                <w:bCs/>
                <w:sz w:val="22"/>
                <w:szCs w:val="22"/>
              </w:rPr>
              <w:t xml:space="preserve"> 2020</w:t>
            </w:r>
          </w:p>
        </w:tc>
      </w:tr>
      <w:tr w:rsidR="00BF570A" w:rsidRPr="00DF3A3A" w14:paraId="0435FF76" w14:textId="77777777" w:rsidTr="00DF3A3A">
        <w:tc>
          <w:tcPr>
            <w:tcW w:w="4248" w:type="dxa"/>
          </w:tcPr>
          <w:p w14:paraId="31EEE26F" w14:textId="29723265"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Protocol version</w:t>
            </w:r>
          </w:p>
        </w:tc>
        <w:tc>
          <w:tcPr>
            <w:tcW w:w="5528" w:type="dxa"/>
          </w:tcPr>
          <w:p w14:paraId="3471938B" w14:textId="70BA78A2" w:rsidR="00BF570A" w:rsidRPr="00DF3A3A" w:rsidRDefault="00BF570A" w:rsidP="00BF570A">
            <w:pPr>
              <w:pStyle w:val="HeadingNoTOC"/>
              <w:jc w:val="both"/>
              <w:rPr>
                <w:rFonts w:ascii="Arial" w:hAnsi="Arial" w:cs="Arial"/>
                <w:b w:val="0"/>
                <w:bCs/>
                <w:sz w:val="22"/>
                <w:szCs w:val="22"/>
              </w:rPr>
            </w:pPr>
            <w:r w:rsidRPr="0023761F">
              <w:rPr>
                <w:rFonts w:ascii="Arial" w:hAnsi="Arial" w:cs="Arial"/>
                <w:b w:val="0"/>
                <w:bCs/>
                <w:sz w:val="22"/>
                <w:szCs w:val="22"/>
              </w:rPr>
              <w:t>1.0</w:t>
            </w:r>
          </w:p>
        </w:tc>
      </w:tr>
      <w:tr w:rsidR="00BF570A" w:rsidRPr="00DF3A3A" w14:paraId="06BD5B13" w14:textId="77777777" w:rsidTr="00DF3A3A">
        <w:tc>
          <w:tcPr>
            <w:tcW w:w="4248" w:type="dxa"/>
          </w:tcPr>
          <w:p w14:paraId="2695FBAE" w14:textId="716B4597"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Protocol registry number</w:t>
            </w:r>
          </w:p>
        </w:tc>
        <w:tc>
          <w:tcPr>
            <w:tcW w:w="5528" w:type="dxa"/>
          </w:tcPr>
          <w:p w14:paraId="62E50352" w14:textId="71B0D77C"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TBD</w:t>
            </w:r>
          </w:p>
        </w:tc>
      </w:tr>
      <w:tr w:rsidR="00BF570A" w:rsidRPr="00DF3A3A" w14:paraId="2D103E53" w14:textId="77777777" w:rsidTr="00DF3A3A">
        <w:tc>
          <w:tcPr>
            <w:tcW w:w="4248" w:type="dxa"/>
          </w:tcPr>
          <w:p w14:paraId="39EC9223" w14:textId="47744B44" w:rsidR="00BF570A" w:rsidRPr="00DF3A3A" w:rsidRDefault="00BF570A" w:rsidP="00BF570A">
            <w:pPr>
              <w:pStyle w:val="HeadingNoTOC"/>
              <w:jc w:val="both"/>
              <w:rPr>
                <w:rFonts w:ascii="Arial" w:hAnsi="Arial" w:cs="Arial"/>
                <w:b w:val="0"/>
                <w:bCs/>
                <w:sz w:val="22"/>
                <w:szCs w:val="22"/>
              </w:rPr>
            </w:pPr>
            <w:r>
              <w:rPr>
                <w:rFonts w:ascii="Arial" w:hAnsi="Arial" w:cs="Arial"/>
                <w:b w:val="0"/>
                <w:bCs/>
                <w:sz w:val="22"/>
                <w:szCs w:val="22"/>
              </w:rPr>
              <w:t>Trial Website</w:t>
            </w:r>
          </w:p>
        </w:tc>
        <w:tc>
          <w:tcPr>
            <w:tcW w:w="5528" w:type="dxa"/>
          </w:tcPr>
          <w:p w14:paraId="43AF099A" w14:textId="7F5C0F2A" w:rsidR="00BF570A" w:rsidRPr="00DF3A3A" w:rsidRDefault="00BF570A" w:rsidP="00BF570A">
            <w:pPr>
              <w:pStyle w:val="HeadingNoTOC"/>
              <w:jc w:val="both"/>
              <w:rPr>
                <w:rFonts w:ascii="Arial" w:hAnsi="Arial" w:cs="Arial"/>
                <w:b w:val="0"/>
                <w:bCs/>
                <w:sz w:val="22"/>
                <w:szCs w:val="22"/>
              </w:rPr>
            </w:pPr>
            <w:r>
              <w:rPr>
                <w:rFonts w:ascii="Arial" w:hAnsi="Arial" w:cs="Arial"/>
                <w:b w:val="0"/>
                <w:bCs/>
                <w:sz w:val="22"/>
                <w:szCs w:val="22"/>
              </w:rPr>
              <w:t>www.TogetherTrial.com</w:t>
            </w:r>
          </w:p>
        </w:tc>
      </w:tr>
      <w:tr w:rsidR="00BF570A" w:rsidRPr="00DF3A3A" w14:paraId="50C36724" w14:textId="77777777" w:rsidTr="00DF3A3A">
        <w:tc>
          <w:tcPr>
            <w:tcW w:w="4248" w:type="dxa"/>
          </w:tcPr>
          <w:p w14:paraId="5B912751" w14:textId="0A365D8A"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Summary of revision history</w:t>
            </w:r>
          </w:p>
        </w:tc>
        <w:tc>
          <w:tcPr>
            <w:tcW w:w="5528" w:type="dxa"/>
          </w:tcPr>
          <w:p w14:paraId="6A9E2A23" w14:textId="6A34BF73"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Not applicable</w:t>
            </w:r>
          </w:p>
        </w:tc>
      </w:tr>
      <w:tr w:rsidR="00BF570A" w:rsidRPr="00DF3A3A" w14:paraId="26367381" w14:textId="77777777" w:rsidTr="00010EE9">
        <w:tc>
          <w:tcPr>
            <w:tcW w:w="4248" w:type="dxa"/>
          </w:tcPr>
          <w:p w14:paraId="39D8E0A3" w14:textId="19940382" w:rsidR="00BF570A" w:rsidRPr="00DF3A3A" w:rsidRDefault="00BF570A" w:rsidP="00BF570A">
            <w:pPr>
              <w:pStyle w:val="HeadingNoTOC"/>
              <w:jc w:val="both"/>
              <w:rPr>
                <w:rFonts w:ascii="Arial" w:hAnsi="Arial" w:cs="Arial"/>
                <w:b w:val="0"/>
                <w:bCs/>
                <w:sz w:val="22"/>
                <w:szCs w:val="22"/>
              </w:rPr>
            </w:pPr>
            <w:r>
              <w:rPr>
                <w:rFonts w:ascii="Arial" w:hAnsi="Arial" w:cs="Arial"/>
                <w:b w:val="0"/>
                <w:bCs/>
                <w:sz w:val="22"/>
                <w:szCs w:val="22"/>
              </w:rPr>
              <w:t>Sponsor</w:t>
            </w:r>
          </w:p>
        </w:tc>
        <w:tc>
          <w:tcPr>
            <w:tcW w:w="5528" w:type="dxa"/>
          </w:tcPr>
          <w:p w14:paraId="502E95D2" w14:textId="21E42CDF" w:rsidR="00BF570A" w:rsidRPr="00103542" w:rsidRDefault="00BF570A" w:rsidP="00BF570A">
            <w:pPr>
              <w:pStyle w:val="HeadingNoTOC"/>
              <w:jc w:val="both"/>
              <w:rPr>
                <w:rFonts w:ascii="Arial" w:hAnsi="Arial" w:cs="Arial"/>
                <w:b w:val="0"/>
                <w:bCs/>
                <w:sz w:val="22"/>
                <w:szCs w:val="22"/>
              </w:rPr>
            </w:pPr>
            <w:r>
              <w:rPr>
                <w:rFonts w:ascii="Arial" w:hAnsi="Arial" w:cs="Arial"/>
                <w:b w:val="0"/>
                <w:bCs/>
                <w:sz w:val="22"/>
                <w:szCs w:val="22"/>
              </w:rPr>
              <w:t>McMaster University</w:t>
            </w:r>
          </w:p>
        </w:tc>
      </w:tr>
      <w:tr w:rsidR="00BF570A" w:rsidRPr="00DF3A3A" w14:paraId="3253647A" w14:textId="77777777" w:rsidTr="00010EE9">
        <w:tc>
          <w:tcPr>
            <w:tcW w:w="4248" w:type="dxa"/>
          </w:tcPr>
          <w:p w14:paraId="7B84ED81" w14:textId="3D16DC67" w:rsidR="00BF570A" w:rsidRDefault="00BF570A" w:rsidP="00BF570A">
            <w:pPr>
              <w:pStyle w:val="HeadingNoTOC"/>
              <w:jc w:val="both"/>
              <w:rPr>
                <w:rFonts w:ascii="Arial" w:hAnsi="Arial" w:cs="Arial"/>
                <w:b w:val="0"/>
                <w:bCs/>
                <w:sz w:val="22"/>
                <w:szCs w:val="22"/>
              </w:rPr>
            </w:pPr>
            <w:r>
              <w:rPr>
                <w:rFonts w:ascii="Arial" w:hAnsi="Arial" w:cs="Arial"/>
                <w:b w:val="0"/>
                <w:bCs/>
                <w:sz w:val="22"/>
                <w:szCs w:val="22"/>
              </w:rPr>
              <w:t>Funder</w:t>
            </w:r>
          </w:p>
        </w:tc>
        <w:tc>
          <w:tcPr>
            <w:tcW w:w="5528" w:type="dxa"/>
          </w:tcPr>
          <w:p w14:paraId="3598647A" w14:textId="061B3A7E" w:rsidR="00BF570A" w:rsidRDefault="00BF570A" w:rsidP="00BF570A">
            <w:pPr>
              <w:pStyle w:val="HeadingNoTOC"/>
              <w:jc w:val="both"/>
              <w:rPr>
                <w:rFonts w:ascii="Arial" w:hAnsi="Arial" w:cs="Arial"/>
                <w:b w:val="0"/>
                <w:bCs/>
                <w:sz w:val="22"/>
                <w:szCs w:val="22"/>
              </w:rPr>
            </w:pPr>
            <w:r>
              <w:rPr>
                <w:rFonts w:ascii="Arial" w:hAnsi="Arial" w:cs="Arial"/>
                <w:b w:val="0"/>
                <w:bCs/>
                <w:sz w:val="22"/>
                <w:szCs w:val="22"/>
              </w:rPr>
              <w:t>Bill and Melinda Gates Foundation</w:t>
            </w:r>
          </w:p>
        </w:tc>
      </w:tr>
    </w:tbl>
    <w:p w14:paraId="6ED2253A" w14:textId="3121B461" w:rsidR="00381D18" w:rsidRPr="00DF3A3A" w:rsidRDefault="00381D18" w:rsidP="00FB2D39">
      <w:pPr>
        <w:jc w:val="both"/>
        <w:rPr>
          <w:rFonts w:ascii="Arial" w:hAnsi="Arial" w:cs="Arial"/>
          <w:sz w:val="22"/>
          <w:szCs w:val="22"/>
        </w:rPr>
      </w:pPr>
    </w:p>
    <w:p w14:paraId="44A4EC3C" w14:textId="77777777" w:rsidR="00391897" w:rsidRPr="00DF3A3A" w:rsidRDefault="00C67E56" w:rsidP="00FB2D39">
      <w:pPr>
        <w:jc w:val="both"/>
        <w:rPr>
          <w:rFonts w:ascii="Arial" w:hAnsi="Arial" w:cs="Arial"/>
          <w:sz w:val="22"/>
          <w:szCs w:val="22"/>
        </w:rPr>
      </w:pPr>
      <w:r w:rsidRPr="00DF3A3A">
        <w:rPr>
          <w:rFonts w:ascii="Arial" w:hAnsi="Arial" w:cs="Arial"/>
          <w:sz w:val="22"/>
          <w:szCs w:val="22"/>
        </w:rPr>
        <w:t xml:space="preserve"> </w:t>
      </w:r>
    </w:p>
    <w:p w14:paraId="40B1EC0D" w14:textId="77777777" w:rsidR="006A1DCB" w:rsidRPr="00DF3A3A" w:rsidRDefault="006A1DCB" w:rsidP="00FB2D39">
      <w:pPr>
        <w:jc w:val="both"/>
        <w:rPr>
          <w:rFonts w:ascii="Arial" w:hAnsi="Arial" w:cs="Arial"/>
          <w:sz w:val="22"/>
          <w:szCs w:val="22"/>
        </w:rPr>
      </w:pPr>
      <w:r w:rsidRPr="00DF3A3A">
        <w:rPr>
          <w:rFonts w:ascii="Arial" w:hAnsi="Arial" w:cs="Arial"/>
          <w:sz w:val="22"/>
          <w:szCs w:val="22"/>
        </w:rPr>
        <w:br w:type="page"/>
      </w:r>
    </w:p>
    <w:p w14:paraId="6E2142A7" w14:textId="45EA1845" w:rsidR="00381D18" w:rsidRPr="00DF3A3A" w:rsidRDefault="00391897" w:rsidP="00FB2D39">
      <w:pPr>
        <w:jc w:val="both"/>
        <w:rPr>
          <w:rFonts w:ascii="Arial" w:hAnsi="Arial" w:cs="Arial"/>
          <w:b/>
          <w:bCs/>
          <w:sz w:val="22"/>
          <w:szCs w:val="22"/>
        </w:rPr>
      </w:pPr>
      <w:r w:rsidRPr="00DF3A3A">
        <w:rPr>
          <w:rFonts w:ascii="Arial" w:hAnsi="Arial" w:cs="Arial"/>
          <w:b/>
          <w:bCs/>
          <w:sz w:val="22"/>
          <w:szCs w:val="22"/>
        </w:rPr>
        <w:lastRenderedPageBreak/>
        <w:t>Signature Page</w:t>
      </w:r>
    </w:p>
    <w:p w14:paraId="3D95B958" w14:textId="77777777" w:rsidR="0075611D" w:rsidRPr="00DF3A3A" w:rsidRDefault="0075611D" w:rsidP="00FB2D39">
      <w:pPr>
        <w:jc w:val="both"/>
        <w:rPr>
          <w:rFonts w:ascii="Arial" w:hAnsi="Arial" w:cs="Arial"/>
          <w:sz w:val="22"/>
          <w:szCs w:val="22"/>
        </w:rPr>
      </w:pPr>
      <w:r w:rsidRPr="00DF3A3A">
        <w:rPr>
          <w:rFonts w:ascii="Arial" w:hAnsi="Arial" w:cs="Arial"/>
          <w:sz w:val="22"/>
          <w:szCs w:val="22"/>
        </w:rPr>
        <w:t xml:space="preserve">The present trial protocol was subject to critical review and is approved in its present version by the following individuals: </w:t>
      </w:r>
    </w:p>
    <w:p w14:paraId="63A7DE89" w14:textId="77777777" w:rsidR="00391897" w:rsidRPr="00DF3A3A" w:rsidRDefault="00391897" w:rsidP="00FB2D39">
      <w:pPr>
        <w:pStyle w:val="HeadingNoTOC"/>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03"/>
      </w:tblGrid>
      <w:tr w:rsidR="00FC759D" w:rsidRPr="00DF3A3A" w14:paraId="12DD544D" w14:textId="77777777" w:rsidTr="00391897">
        <w:tc>
          <w:tcPr>
            <w:tcW w:w="2547" w:type="dxa"/>
          </w:tcPr>
          <w:p w14:paraId="231110A4" w14:textId="7D179523" w:rsidR="00FC759D" w:rsidRPr="00DF3A3A" w:rsidRDefault="00FC759D" w:rsidP="00FB2D39">
            <w:pPr>
              <w:pStyle w:val="HeadingNoTOC"/>
              <w:jc w:val="both"/>
              <w:rPr>
                <w:rFonts w:ascii="Arial" w:hAnsi="Arial" w:cs="Arial"/>
                <w:b w:val="0"/>
                <w:bCs/>
                <w:sz w:val="22"/>
                <w:szCs w:val="22"/>
              </w:rPr>
            </w:pPr>
            <w:r w:rsidRPr="00DF3A3A">
              <w:rPr>
                <w:rFonts w:ascii="Arial" w:hAnsi="Arial" w:cs="Arial"/>
                <w:b w:val="0"/>
                <w:bCs/>
                <w:sz w:val="22"/>
                <w:szCs w:val="22"/>
              </w:rPr>
              <w:t>Date: ______________</w:t>
            </w:r>
          </w:p>
        </w:tc>
        <w:tc>
          <w:tcPr>
            <w:tcW w:w="6803" w:type="dxa"/>
          </w:tcPr>
          <w:p w14:paraId="60B8212B" w14:textId="0CC14E8A" w:rsidR="00FC759D" w:rsidRPr="00DF3A3A" w:rsidRDefault="00FC759D" w:rsidP="00FB2D39">
            <w:pPr>
              <w:pStyle w:val="HeadingNoTOC"/>
              <w:jc w:val="both"/>
              <w:rPr>
                <w:rFonts w:ascii="Arial" w:hAnsi="Arial" w:cs="Arial"/>
                <w:b w:val="0"/>
                <w:bCs/>
                <w:sz w:val="22"/>
                <w:szCs w:val="22"/>
              </w:rPr>
            </w:pPr>
            <w:r w:rsidRPr="00DF3A3A">
              <w:rPr>
                <w:rFonts w:ascii="Arial" w:hAnsi="Arial" w:cs="Arial"/>
                <w:b w:val="0"/>
                <w:bCs/>
                <w:sz w:val="22"/>
                <w:szCs w:val="22"/>
              </w:rPr>
              <w:t>Signature: _______________________________________</w:t>
            </w:r>
          </w:p>
        </w:tc>
      </w:tr>
      <w:tr w:rsidR="00FC759D" w:rsidRPr="00DF3A3A" w14:paraId="5F7755F1" w14:textId="77777777" w:rsidTr="00391897">
        <w:tc>
          <w:tcPr>
            <w:tcW w:w="2547" w:type="dxa"/>
          </w:tcPr>
          <w:p w14:paraId="4FF7D41B" w14:textId="77777777" w:rsidR="00FC759D" w:rsidRPr="00DF3A3A" w:rsidRDefault="00FC759D" w:rsidP="00FB2D39">
            <w:pPr>
              <w:pStyle w:val="HeadingNoTOC"/>
              <w:jc w:val="both"/>
              <w:rPr>
                <w:rFonts w:ascii="Arial" w:hAnsi="Arial" w:cs="Arial"/>
                <w:b w:val="0"/>
                <w:bCs/>
                <w:sz w:val="22"/>
                <w:szCs w:val="22"/>
              </w:rPr>
            </w:pPr>
          </w:p>
        </w:tc>
        <w:tc>
          <w:tcPr>
            <w:tcW w:w="6803" w:type="dxa"/>
          </w:tcPr>
          <w:p w14:paraId="7190EA3F" w14:textId="4C611373" w:rsidR="00FC759D" w:rsidRPr="00DF3A3A" w:rsidRDefault="00FC759D" w:rsidP="00FB2D39">
            <w:pPr>
              <w:pStyle w:val="HeadingNoTOC"/>
              <w:jc w:val="both"/>
              <w:rPr>
                <w:rFonts w:ascii="Arial" w:hAnsi="Arial" w:cs="Arial"/>
                <w:b w:val="0"/>
                <w:bCs/>
                <w:sz w:val="22"/>
                <w:szCs w:val="22"/>
              </w:rPr>
            </w:pPr>
            <w:r w:rsidRPr="00DF3A3A">
              <w:rPr>
                <w:rFonts w:ascii="Arial" w:hAnsi="Arial" w:cs="Arial"/>
                <w:b w:val="0"/>
                <w:bCs/>
                <w:sz w:val="22"/>
                <w:szCs w:val="22"/>
              </w:rPr>
              <w:t xml:space="preserve">Name: Edward J Mills, </w:t>
            </w:r>
            <w:r w:rsidR="00BF570A">
              <w:rPr>
                <w:rFonts w:ascii="Arial" w:hAnsi="Arial" w:cs="Arial"/>
                <w:b w:val="0"/>
                <w:bCs/>
                <w:sz w:val="22"/>
                <w:szCs w:val="22"/>
              </w:rPr>
              <w:t>McMaster University</w:t>
            </w:r>
            <w:r w:rsidRPr="00DF3A3A">
              <w:rPr>
                <w:rFonts w:ascii="Arial" w:hAnsi="Arial" w:cs="Arial"/>
                <w:b w:val="0"/>
                <w:bCs/>
                <w:sz w:val="22"/>
                <w:szCs w:val="22"/>
              </w:rPr>
              <w:t xml:space="preserve"> </w:t>
            </w:r>
          </w:p>
        </w:tc>
      </w:tr>
      <w:tr w:rsidR="00FC759D" w:rsidRPr="00DF3A3A" w14:paraId="4EF867F5" w14:textId="77777777" w:rsidTr="00391897">
        <w:tc>
          <w:tcPr>
            <w:tcW w:w="2547" w:type="dxa"/>
          </w:tcPr>
          <w:p w14:paraId="0028DD7D" w14:textId="77777777" w:rsidR="00FC759D" w:rsidRPr="00DF3A3A" w:rsidRDefault="00FC759D" w:rsidP="00FB2D39">
            <w:pPr>
              <w:pStyle w:val="HeadingNoTOC"/>
              <w:jc w:val="both"/>
              <w:rPr>
                <w:rFonts w:ascii="Arial" w:hAnsi="Arial" w:cs="Arial"/>
                <w:b w:val="0"/>
                <w:bCs/>
                <w:sz w:val="22"/>
                <w:szCs w:val="22"/>
              </w:rPr>
            </w:pPr>
          </w:p>
        </w:tc>
        <w:tc>
          <w:tcPr>
            <w:tcW w:w="6803" w:type="dxa"/>
          </w:tcPr>
          <w:p w14:paraId="3AC5BD35" w14:textId="43340143" w:rsidR="00F07A34" w:rsidRPr="00BF570A" w:rsidRDefault="00FC759D" w:rsidP="00BF570A">
            <w:pPr>
              <w:pStyle w:val="HeadingNoTOC"/>
              <w:jc w:val="both"/>
              <w:rPr>
                <w:rFonts w:ascii="Arial" w:hAnsi="Arial" w:cs="Arial"/>
                <w:b w:val="0"/>
                <w:bCs/>
                <w:sz w:val="22"/>
                <w:szCs w:val="22"/>
              </w:rPr>
            </w:pPr>
            <w:r w:rsidRPr="00DF3A3A">
              <w:rPr>
                <w:rFonts w:ascii="Arial" w:hAnsi="Arial" w:cs="Arial"/>
                <w:b w:val="0"/>
                <w:bCs/>
                <w:sz w:val="22"/>
                <w:szCs w:val="22"/>
              </w:rPr>
              <w:t>Role: Principal Investigator</w:t>
            </w:r>
          </w:p>
        </w:tc>
      </w:tr>
      <w:tr w:rsidR="00BF570A" w:rsidRPr="00DF3A3A" w14:paraId="073AC279" w14:textId="77777777" w:rsidTr="00391897">
        <w:tc>
          <w:tcPr>
            <w:tcW w:w="2547" w:type="dxa"/>
          </w:tcPr>
          <w:p w14:paraId="136EB1FC" w14:textId="5E0050E5"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Date: ______________</w:t>
            </w:r>
          </w:p>
        </w:tc>
        <w:tc>
          <w:tcPr>
            <w:tcW w:w="6803" w:type="dxa"/>
          </w:tcPr>
          <w:p w14:paraId="18AEDC01" w14:textId="4D2C51E2"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Signature:</w:t>
            </w:r>
            <w:r w:rsidRPr="00DF3A3A">
              <w:rPr>
                <w:rFonts w:ascii="Arial" w:hAnsi="Arial" w:cs="Arial"/>
                <w:noProof/>
                <w:sz w:val="22"/>
                <w:szCs w:val="22"/>
                <w:lang w:val="en-ZA" w:eastAsia="en-ZA"/>
              </w:rPr>
              <w:t xml:space="preserve"> </w:t>
            </w:r>
            <w:r w:rsidRPr="00DF3A3A">
              <w:rPr>
                <w:rFonts w:ascii="Arial" w:hAnsi="Arial" w:cs="Arial"/>
                <w:b w:val="0"/>
                <w:bCs/>
                <w:sz w:val="22"/>
                <w:szCs w:val="22"/>
              </w:rPr>
              <w:t>_______________________________________</w:t>
            </w:r>
          </w:p>
        </w:tc>
      </w:tr>
      <w:tr w:rsidR="00BF570A" w:rsidRPr="00DF3A3A" w14:paraId="0D373E69" w14:textId="77777777" w:rsidTr="00391897">
        <w:tc>
          <w:tcPr>
            <w:tcW w:w="2547" w:type="dxa"/>
          </w:tcPr>
          <w:p w14:paraId="74ADF7AC" w14:textId="77777777" w:rsidR="00BF570A" w:rsidRPr="00DF3A3A" w:rsidRDefault="00BF570A" w:rsidP="00BF570A">
            <w:pPr>
              <w:pStyle w:val="HeadingNoTOC"/>
              <w:jc w:val="both"/>
              <w:rPr>
                <w:rFonts w:ascii="Arial" w:hAnsi="Arial" w:cs="Arial"/>
                <w:b w:val="0"/>
                <w:bCs/>
                <w:sz w:val="22"/>
                <w:szCs w:val="22"/>
              </w:rPr>
            </w:pPr>
          </w:p>
        </w:tc>
        <w:tc>
          <w:tcPr>
            <w:tcW w:w="6803" w:type="dxa"/>
          </w:tcPr>
          <w:p w14:paraId="5103789F" w14:textId="6D300627"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 xml:space="preserve">Name: </w:t>
            </w:r>
            <w:proofErr w:type="spellStart"/>
            <w:r>
              <w:rPr>
                <w:rFonts w:ascii="Arial" w:hAnsi="Arial" w:cs="Arial"/>
                <w:b w:val="0"/>
                <w:bCs/>
                <w:sz w:val="22"/>
                <w:szCs w:val="22"/>
              </w:rPr>
              <w:t>Gilmar</w:t>
            </w:r>
            <w:proofErr w:type="spellEnd"/>
            <w:r>
              <w:rPr>
                <w:rFonts w:ascii="Arial" w:hAnsi="Arial" w:cs="Arial"/>
                <w:b w:val="0"/>
                <w:bCs/>
                <w:sz w:val="22"/>
                <w:szCs w:val="22"/>
              </w:rPr>
              <w:t xml:space="preserve"> Reis</w:t>
            </w:r>
            <w:r w:rsidRPr="00DF3A3A">
              <w:rPr>
                <w:rFonts w:ascii="Arial" w:hAnsi="Arial" w:cs="Arial"/>
                <w:b w:val="0"/>
                <w:bCs/>
                <w:sz w:val="22"/>
                <w:szCs w:val="22"/>
              </w:rPr>
              <w:t xml:space="preserve">, </w:t>
            </w:r>
            <w:proofErr w:type="spellStart"/>
            <w:r w:rsidRPr="00BF570A">
              <w:rPr>
                <w:rFonts w:ascii="Arial" w:hAnsi="Arial" w:cs="Arial"/>
                <w:b w:val="0"/>
                <w:bCs/>
                <w:sz w:val="22"/>
                <w:szCs w:val="22"/>
              </w:rPr>
              <w:t>Pontifícia</w:t>
            </w:r>
            <w:proofErr w:type="spellEnd"/>
            <w:r w:rsidRPr="00BF570A">
              <w:rPr>
                <w:rFonts w:ascii="Arial" w:hAnsi="Arial" w:cs="Arial"/>
                <w:b w:val="0"/>
                <w:bCs/>
                <w:sz w:val="22"/>
                <w:szCs w:val="22"/>
              </w:rPr>
              <w:t xml:space="preserve"> </w:t>
            </w:r>
            <w:proofErr w:type="spellStart"/>
            <w:r w:rsidRPr="00BF570A">
              <w:rPr>
                <w:rFonts w:ascii="Arial" w:hAnsi="Arial" w:cs="Arial"/>
                <w:b w:val="0"/>
                <w:bCs/>
                <w:sz w:val="22"/>
                <w:szCs w:val="22"/>
              </w:rPr>
              <w:t>Universidade</w:t>
            </w:r>
            <w:proofErr w:type="spellEnd"/>
            <w:r w:rsidRPr="00BF570A">
              <w:rPr>
                <w:rFonts w:ascii="Arial" w:hAnsi="Arial" w:cs="Arial"/>
                <w:b w:val="0"/>
                <w:bCs/>
                <w:sz w:val="22"/>
                <w:szCs w:val="22"/>
              </w:rPr>
              <w:t xml:space="preserve"> </w:t>
            </w:r>
            <w:proofErr w:type="spellStart"/>
            <w:r w:rsidRPr="00BF570A">
              <w:rPr>
                <w:rFonts w:ascii="Arial" w:hAnsi="Arial" w:cs="Arial"/>
                <w:b w:val="0"/>
                <w:bCs/>
                <w:sz w:val="22"/>
                <w:szCs w:val="22"/>
              </w:rPr>
              <w:t>Católica</w:t>
            </w:r>
            <w:proofErr w:type="spellEnd"/>
            <w:r w:rsidRPr="00BF570A">
              <w:rPr>
                <w:rFonts w:ascii="Arial" w:hAnsi="Arial" w:cs="Arial"/>
                <w:b w:val="0"/>
                <w:bCs/>
                <w:sz w:val="22"/>
                <w:szCs w:val="22"/>
              </w:rPr>
              <w:t xml:space="preserve"> de Minas Gerais</w:t>
            </w:r>
          </w:p>
        </w:tc>
      </w:tr>
      <w:tr w:rsidR="00BF570A" w:rsidRPr="00DF3A3A" w14:paraId="1FF1D425" w14:textId="77777777" w:rsidTr="00391897">
        <w:tc>
          <w:tcPr>
            <w:tcW w:w="2547" w:type="dxa"/>
          </w:tcPr>
          <w:p w14:paraId="1B620309" w14:textId="77777777" w:rsidR="00BF570A" w:rsidRPr="00DF3A3A" w:rsidRDefault="00BF570A" w:rsidP="00BF570A">
            <w:pPr>
              <w:pStyle w:val="HeadingNoTOC"/>
              <w:jc w:val="both"/>
              <w:rPr>
                <w:rFonts w:ascii="Arial" w:hAnsi="Arial" w:cs="Arial"/>
                <w:b w:val="0"/>
                <w:bCs/>
                <w:sz w:val="22"/>
                <w:szCs w:val="22"/>
              </w:rPr>
            </w:pPr>
          </w:p>
        </w:tc>
        <w:tc>
          <w:tcPr>
            <w:tcW w:w="6803" w:type="dxa"/>
          </w:tcPr>
          <w:p w14:paraId="1A1B2F49" w14:textId="7346D4C8"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 xml:space="preserve">Role: </w:t>
            </w:r>
            <w:r>
              <w:rPr>
                <w:rFonts w:ascii="Arial" w:hAnsi="Arial" w:cs="Arial"/>
                <w:b w:val="0"/>
                <w:bCs/>
                <w:sz w:val="22"/>
                <w:szCs w:val="22"/>
              </w:rPr>
              <w:t>Brazil</w:t>
            </w:r>
            <w:r w:rsidRPr="00DF3A3A">
              <w:rPr>
                <w:rFonts w:ascii="Arial" w:hAnsi="Arial" w:cs="Arial"/>
                <w:b w:val="0"/>
                <w:bCs/>
                <w:sz w:val="22"/>
                <w:szCs w:val="22"/>
              </w:rPr>
              <w:t xml:space="preserve"> Principal Investigator</w:t>
            </w:r>
          </w:p>
        </w:tc>
      </w:tr>
      <w:tr w:rsidR="00BF570A" w:rsidRPr="00DF3A3A" w14:paraId="0D43DE8A" w14:textId="77777777" w:rsidTr="00391897">
        <w:tc>
          <w:tcPr>
            <w:tcW w:w="2547" w:type="dxa"/>
          </w:tcPr>
          <w:p w14:paraId="16F262A2" w14:textId="7E60C293"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Date: ______________</w:t>
            </w:r>
          </w:p>
        </w:tc>
        <w:tc>
          <w:tcPr>
            <w:tcW w:w="6803" w:type="dxa"/>
          </w:tcPr>
          <w:p w14:paraId="6BBEAEC6" w14:textId="1407EBE9"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Signature:</w:t>
            </w:r>
            <w:r w:rsidRPr="00DF3A3A">
              <w:rPr>
                <w:rFonts w:ascii="Arial" w:hAnsi="Arial" w:cs="Arial"/>
                <w:noProof/>
                <w:sz w:val="22"/>
                <w:szCs w:val="22"/>
                <w:lang w:val="en-ZA" w:eastAsia="en-ZA"/>
              </w:rPr>
              <w:t xml:space="preserve"> </w:t>
            </w:r>
            <w:r w:rsidRPr="00DF3A3A">
              <w:rPr>
                <w:rFonts w:ascii="Arial" w:hAnsi="Arial" w:cs="Arial"/>
                <w:b w:val="0"/>
                <w:bCs/>
                <w:sz w:val="22"/>
                <w:szCs w:val="22"/>
              </w:rPr>
              <w:t>_______________________________________</w:t>
            </w:r>
          </w:p>
        </w:tc>
      </w:tr>
      <w:tr w:rsidR="00BF570A" w:rsidRPr="00DF3A3A" w14:paraId="6B289692" w14:textId="77777777" w:rsidTr="00391897">
        <w:tc>
          <w:tcPr>
            <w:tcW w:w="2547" w:type="dxa"/>
          </w:tcPr>
          <w:p w14:paraId="7FBD0A4D" w14:textId="77777777" w:rsidR="00BF570A" w:rsidRPr="00DF3A3A" w:rsidRDefault="00BF570A" w:rsidP="00BF570A">
            <w:pPr>
              <w:pStyle w:val="HeadingNoTOC"/>
              <w:jc w:val="both"/>
              <w:rPr>
                <w:rFonts w:ascii="Arial" w:hAnsi="Arial" w:cs="Arial"/>
                <w:b w:val="0"/>
                <w:bCs/>
                <w:sz w:val="22"/>
                <w:szCs w:val="22"/>
              </w:rPr>
            </w:pPr>
          </w:p>
        </w:tc>
        <w:tc>
          <w:tcPr>
            <w:tcW w:w="6803" w:type="dxa"/>
          </w:tcPr>
          <w:p w14:paraId="124138B1" w14:textId="06A309C0"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Name: Mark Cotton, Stellenbosch University</w:t>
            </w:r>
          </w:p>
        </w:tc>
      </w:tr>
      <w:tr w:rsidR="00BF570A" w:rsidRPr="00DF3A3A" w14:paraId="6DFA5934" w14:textId="77777777" w:rsidTr="00391897">
        <w:tc>
          <w:tcPr>
            <w:tcW w:w="2547" w:type="dxa"/>
          </w:tcPr>
          <w:p w14:paraId="0F2548B1" w14:textId="77777777" w:rsidR="00BF570A" w:rsidRPr="00DF3A3A" w:rsidRDefault="00BF570A" w:rsidP="00BF570A">
            <w:pPr>
              <w:pStyle w:val="HeadingNoTOC"/>
              <w:jc w:val="both"/>
              <w:rPr>
                <w:rFonts w:ascii="Arial" w:hAnsi="Arial" w:cs="Arial"/>
                <w:b w:val="0"/>
                <w:bCs/>
                <w:sz w:val="22"/>
                <w:szCs w:val="22"/>
              </w:rPr>
            </w:pPr>
          </w:p>
        </w:tc>
        <w:tc>
          <w:tcPr>
            <w:tcW w:w="6803" w:type="dxa"/>
          </w:tcPr>
          <w:p w14:paraId="24626646" w14:textId="4B307EC5" w:rsidR="00BF570A" w:rsidRPr="00DF3A3A" w:rsidRDefault="00BF570A" w:rsidP="00BF570A">
            <w:pPr>
              <w:pStyle w:val="HeadingNoTOC"/>
              <w:jc w:val="both"/>
              <w:rPr>
                <w:rFonts w:ascii="Arial" w:hAnsi="Arial" w:cs="Arial"/>
                <w:b w:val="0"/>
                <w:bCs/>
                <w:sz w:val="22"/>
                <w:szCs w:val="22"/>
              </w:rPr>
            </w:pPr>
            <w:r w:rsidRPr="00DF3A3A">
              <w:rPr>
                <w:rFonts w:ascii="Arial" w:hAnsi="Arial" w:cs="Arial"/>
                <w:b w:val="0"/>
                <w:bCs/>
                <w:sz w:val="22"/>
                <w:szCs w:val="22"/>
              </w:rPr>
              <w:t>Role: South Africa Principal Investigator</w:t>
            </w:r>
          </w:p>
        </w:tc>
      </w:tr>
    </w:tbl>
    <w:p w14:paraId="3BD92C46" w14:textId="77777777" w:rsidR="00391897" w:rsidRPr="00DF3A3A" w:rsidRDefault="00391897" w:rsidP="00FB2D39">
      <w:pPr>
        <w:pStyle w:val="HeadingNoTOC"/>
        <w:jc w:val="both"/>
        <w:rPr>
          <w:rFonts w:ascii="Arial" w:hAnsi="Arial" w:cs="Arial"/>
          <w:b w:val="0"/>
          <w:bCs/>
          <w:sz w:val="22"/>
          <w:szCs w:val="22"/>
        </w:rPr>
      </w:pPr>
    </w:p>
    <w:p w14:paraId="0F619C6A" w14:textId="77777777" w:rsidR="00391897" w:rsidRPr="00DF3A3A" w:rsidRDefault="00391897" w:rsidP="00FB2D39">
      <w:pPr>
        <w:pStyle w:val="HeadingNoTOC"/>
        <w:jc w:val="both"/>
        <w:rPr>
          <w:rFonts w:ascii="Arial" w:hAnsi="Arial" w:cs="Arial"/>
          <w:b w:val="0"/>
          <w:bCs/>
          <w:sz w:val="22"/>
          <w:szCs w:val="22"/>
        </w:rPr>
      </w:pPr>
    </w:p>
    <w:p w14:paraId="537EE0E2" w14:textId="77777777" w:rsidR="00391897" w:rsidRPr="00DF3A3A" w:rsidRDefault="00391897" w:rsidP="00FB2D39">
      <w:pPr>
        <w:jc w:val="both"/>
        <w:rPr>
          <w:rFonts w:ascii="Arial" w:hAnsi="Arial" w:cs="Arial"/>
          <w:sz w:val="22"/>
          <w:szCs w:val="22"/>
        </w:rPr>
      </w:pPr>
      <w:r w:rsidRPr="00DF3A3A">
        <w:rPr>
          <w:rFonts w:ascii="Arial" w:hAnsi="Arial" w:cs="Arial"/>
          <w:sz w:val="22"/>
          <w:szCs w:val="22"/>
        </w:rPr>
        <w:br w:type="page"/>
      </w:r>
    </w:p>
    <w:p w14:paraId="6413D415" w14:textId="53E7B63C" w:rsidR="00391897" w:rsidRPr="00DF3A3A" w:rsidRDefault="00391897" w:rsidP="00FB2D39">
      <w:pPr>
        <w:jc w:val="both"/>
        <w:rPr>
          <w:rFonts w:ascii="Arial" w:hAnsi="Arial" w:cs="Arial"/>
          <w:b/>
          <w:bCs/>
          <w:sz w:val="22"/>
          <w:szCs w:val="22"/>
        </w:rPr>
      </w:pPr>
      <w:r w:rsidRPr="00DF3A3A">
        <w:rPr>
          <w:rFonts w:ascii="Arial" w:hAnsi="Arial" w:cs="Arial"/>
          <w:b/>
          <w:bCs/>
          <w:sz w:val="22"/>
          <w:szCs w:val="22"/>
        </w:rPr>
        <w:lastRenderedPageBreak/>
        <w:t>Contact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20"/>
      </w:tblGrid>
      <w:tr w:rsidR="008277CB" w:rsidRPr="00DF3A3A" w14:paraId="552ECCAC" w14:textId="77777777" w:rsidTr="00FD6ABF">
        <w:tc>
          <w:tcPr>
            <w:tcW w:w="2830" w:type="dxa"/>
          </w:tcPr>
          <w:p w14:paraId="32684184" w14:textId="0147F968" w:rsidR="008277CB" w:rsidRPr="00DF3A3A" w:rsidRDefault="008277CB" w:rsidP="00FB2D39">
            <w:pPr>
              <w:jc w:val="both"/>
              <w:rPr>
                <w:rFonts w:ascii="Arial" w:hAnsi="Arial" w:cs="Arial"/>
                <w:sz w:val="22"/>
                <w:szCs w:val="22"/>
              </w:rPr>
            </w:pPr>
            <w:r w:rsidRPr="00DF3A3A">
              <w:rPr>
                <w:rFonts w:ascii="Arial" w:hAnsi="Arial" w:cs="Arial"/>
                <w:sz w:val="22"/>
                <w:szCs w:val="22"/>
              </w:rPr>
              <w:t xml:space="preserve">Principal investigator </w:t>
            </w:r>
          </w:p>
        </w:tc>
        <w:tc>
          <w:tcPr>
            <w:tcW w:w="6520" w:type="dxa"/>
          </w:tcPr>
          <w:p w14:paraId="1C01D24D" w14:textId="77777777" w:rsidR="008277CB" w:rsidRPr="00DF3A3A" w:rsidRDefault="008277CB" w:rsidP="00FB2D39">
            <w:pPr>
              <w:jc w:val="both"/>
              <w:rPr>
                <w:rFonts w:ascii="Arial" w:hAnsi="Arial" w:cs="Arial"/>
                <w:sz w:val="22"/>
                <w:szCs w:val="22"/>
              </w:rPr>
            </w:pPr>
            <w:proofErr w:type="spellStart"/>
            <w:r w:rsidRPr="00DF3A3A">
              <w:rPr>
                <w:rFonts w:ascii="Arial" w:hAnsi="Arial" w:cs="Arial"/>
                <w:sz w:val="22"/>
                <w:szCs w:val="22"/>
              </w:rPr>
              <w:t>Dr.</w:t>
            </w:r>
            <w:proofErr w:type="spellEnd"/>
            <w:r w:rsidRPr="00DF3A3A">
              <w:rPr>
                <w:rFonts w:ascii="Arial" w:hAnsi="Arial" w:cs="Arial"/>
                <w:sz w:val="22"/>
                <w:szCs w:val="22"/>
              </w:rPr>
              <w:t xml:space="preserve"> Edward Mills, Cytel</w:t>
            </w:r>
          </w:p>
          <w:p w14:paraId="4C87F1B3" w14:textId="6E7D6F5F" w:rsidR="008277CB" w:rsidRPr="00DF3A3A" w:rsidRDefault="008277CB" w:rsidP="00FB2D39">
            <w:pPr>
              <w:jc w:val="both"/>
              <w:rPr>
                <w:rFonts w:ascii="Arial" w:hAnsi="Arial" w:cs="Arial"/>
                <w:sz w:val="22"/>
                <w:szCs w:val="22"/>
              </w:rPr>
            </w:pPr>
            <w:r w:rsidRPr="00DF3A3A">
              <w:rPr>
                <w:rFonts w:ascii="Arial" w:hAnsi="Arial" w:cs="Arial"/>
                <w:sz w:val="22"/>
                <w:szCs w:val="22"/>
              </w:rPr>
              <w:t xml:space="preserve">Phone: +1 778 317 8530; Email: </w:t>
            </w:r>
            <w:hyperlink r:id="rId17" w:history="1">
              <w:r w:rsidR="00BF570A" w:rsidRPr="00EA7A46">
                <w:rPr>
                  <w:rStyle w:val="Hyperlink"/>
                  <w:rFonts w:ascii="Arial" w:hAnsi="Arial" w:cs="Arial"/>
                  <w:sz w:val="22"/>
                  <w:szCs w:val="22"/>
                </w:rPr>
                <w:t>m</w:t>
              </w:r>
              <w:r w:rsidR="00BF570A" w:rsidRPr="00EA7A46">
                <w:rPr>
                  <w:rStyle w:val="Hyperlink"/>
                </w:rPr>
                <w:t>illsej@mcmaster.ca</w:t>
              </w:r>
            </w:hyperlink>
          </w:p>
          <w:p w14:paraId="64A626E3" w14:textId="732AD05A" w:rsidR="00591180" w:rsidRPr="00DF3A3A" w:rsidRDefault="00591180" w:rsidP="00FB2D39">
            <w:pPr>
              <w:jc w:val="both"/>
              <w:rPr>
                <w:rFonts w:ascii="Arial" w:hAnsi="Arial" w:cs="Arial"/>
                <w:sz w:val="22"/>
                <w:szCs w:val="22"/>
              </w:rPr>
            </w:pPr>
          </w:p>
        </w:tc>
      </w:tr>
      <w:tr w:rsidR="00903878" w:rsidRPr="00DF3A3A" w14:paraId="7AC78869" w14:textId="77777777" w:rsidTr="00FD6ABF">
        <w:tc>
          <w:tcPr>
            <w:tcW w:w="2830" w:type="dxa"/>
          </w:tcPr>
          <w:p w14:paraId="20CB0E95" w14:textId="46CEF621" w:rsidR="00903878" w:rsidRPr="00DF3A3A" w:rsidRDefault="00903878" w:rsidP="00903878">
            <w:pPr>
              <w:spacing w:before="0" w:line="240" w:lineRule="auto"/>
              <w:rPr>
                <w:rFonts w:ascii="Arial" w:hAnsi="Arial" w:cs="Arial"/>
                <w:sz w:val="22"/>
                <w:szCs w:val="22"/>
              </w:rPr>
            </w:pPr>
            <w:r>
              <w:rPr>
                <w:rFonts w:ascii="Arial" w:hAnsi="Arial" w:cs="Arial"/>
                <w:sz w:val="22"/>
                <w:szCs w:val="22"/>
              </w:rPr>
              <w:t>Brazil</w:t>
            </w:r>
            <w:r w:rsidRPr="00DF3A3A">
              <w:rPr>
                <w:rFonts w:ascii="Arial" w:hAnsi="Arial" w:cs="Arial"/>
                <w:sz w:val="22"/>
                <w:szCs w:val="22"/>
              </w:rPr>
              <w:t xml:space="preserve"> Principal Investigator</w:t>
            </w:r>
          </w:p>
          <w:p w14:paraId="5A406780" w14:textId="77777777" w:rsidR="00903878" w:rsidRPr="00DF3A3A" w:rsidRDefault="00903878" w:rsidP="00903878">
            <w:pPr>
              <w:rPr>
                <w:rFonts w:ascii="Arial" w:hAnsi="Arial" w:cs="Arial"/>
                <w:sz w:val="22"/>
                <w:szCs w:val="22"/>
              </w:rPr>
            </w:pPr>
          </w:p>
        </w:tc>
        <w:tc>
          <w:tcPr>
            <w:tcW w:w="6520" w:type="dxa"/>
          </w:tcPr>
          <w:p w14:paraId="28FB1FA2" w14:textId="77777777" w:rsidR="00903878" w:rsidRPr="00DF3A3A" w:rsidRDefault="00903878" w:rsidP="00903878">
            <w:pPr>
              <w:spacing w:before="0" w:line="240" w:lineRule="auto"/>
              <w:jc w:val="both"/>
              <w:rPr>
                <w:rFonts w:ascii="Arial" w:hAnsi="Arial" w:cs="Arial"/>
                <w:sz w:val="22"/>
                <w:szCs w:val="22"/>
              </w:rPr>
            </w:pPr>
            <w:proofErr w:type="spellStart"/>
            <w:r w:rsidRPr="00DF3A3A">
              <w:rPr>
                <w:rFonts w:ascii="Arial" w:hAnsi="Arial" w:cs="Arial"/>
                <w:sz w:val="22"/>
                <w:szCs w:val="22"/>
              </w:rPr>
              <w:t>Prof.</w:t>
            </w:r>
            <w:proofErr w:type="spellEnd"/>
            <w:r w:rsidRPr="00DF3A3A">
              <w:rPr>
                <w:rFonts w:ascii="Arial" w:hAnsi="Arial" w:cs="Arial"/>
                <w:sz w:val="22"/>
                <w:szCs w:val="22"/>
              </w:rPr>
              <w:t xml:space="preserve"> Mark Cotton, Stellenbosch University</w:t>
            </w:r>
          </w:p>
          <w:p w14:paraId="73CF8252" w14:textId="44F9487E" w:rsidR="00903878" w:rsidRPr="00DF3A3A" w:rsidRDefault="00903878" w:rsidP="00903878">
            <w:pPr>
              <w:jc w:val="both"/>
              <w:rPr>
                <w:rFonts w:ascii="Arial" w:hAnsi="Arial" w:cs="Arial"/>
                <w:sz w:val="22"/>
                <w:szCs w:val="22"/>
              </w:rPr>
            </w:pPr>
            <w:r w:rsidRPr="00DF3A3A">
              <w:rPr>
                <w:rFonts w:ascii="Arial" w:hAnsi="Arial" w:cs="Arial"/>
                <w:sz w:val="22"/>
                <w:szCs w:val="22"/>
              </w:rPr>
              <w:t xml:space="preserve">Email: </w:t>
            </w:r>
            <w:hyperlink r:id="rId18" w:history="1">
              <w:r w:rsidRPr="00DF3A3A">
                <w:rPr>
                  <w:rStyle w:val="Hyperlink"/>
                  <w:rFonts w:ascii="Arial" w:hAnsi="Arial" w:cs="Arial"/>
                  <w:sz w:val="22"/>
                  <w:szCs w:val="22"/>
                </w:rPr>
                <w:t>mcot</w:t>
              </w:r>
            </w:hyperlink>
            <w:r w:rsidRPr="00DF3A3A">
              <w:rPr>
                <w:rStyle w:val="Hyperlink"/>
                <w:rFonts w:ascii="Arial" w:hAnsi="Arial" w:cs="Arial"/>
                <w:sz w:val="22"/>
                <w:szCs w:val="22"/>
              </w:rPr>
              <w:t>@sun.ac.za</w:t>
            </w:r>
          </w:p>
        </w:tc>
      </w:tr>
      <w:tr w:rsidR="00391897" w:rsidRPr="00DF3A3A" w14:paraId="5573D3E1" w14:textId="77777777" w:rsidTr="00FD6ABF">
        <w:tc>
          <w:tcPr>
            <w:tcW w:w="2830" w:type="dxa"/>
          </w:tcPr>
          <w:p w14:paraId="12E0994E" w14:textId="77777777" w:rsidR="00391897" w:rsidRPr="00DF3A3A" w:rsidRDefault="00777AD8" w:rsidP="0019364D">
            <w:pPr>
              <w:spacing w:before="0" w:line="240" w:lineRule="auto"/>
              <w:rPr>
                <w:rFonts w:ascii="Arial" w:hAnsi="Arial" w:cs="Arial"/>
                <w:sz w:val="22"/>
                <w:szCs w:val="22"/>
              </w:rPr>
            </w:pPr>
            <w:r w:rsidRPr="00DF3A3A">
              <w:rPr>
                <w:rFonts w:ascii="Arial" w:hAnsi="Arial" w:cs="Arial"/>
                <w:sz w:val="22"/>
                <w:szCs w:val="22"/>
              </w:rPr>
              <w:t xml:space="preserve">South Africa Principal </w:t>
            </w:r>
            <w:r w:rsidR="00391897" w:rsidRPr="00DF3A3A">
              <w:rPr>
                <w:rFonts w:ascii="Arial" w:hAnsi="Arial" w:cs="Arial"/>
                <w:sz w:val="22"/>
                <w:szCs w:val="22"/>
              </w:rPr>
              <w:t>Investigator</w:t>
            </w:r>
          </w:p>
          <w:p w14:paraId="28D5FC40" w14:textId="67D072CE" w:rsidR="00591180" w:rsidRPr="00DF3A3A" w:rsidRDefault="00591180" w:rsidP="00FB2D39">
            <w:pPr>
              <w:spacing w:before="0" w:line="240" w:lineRule="auto"/>
              <w:jc w:val="both"/>
              <w:rPr>
                <w:rFonts w:ascii="Arial" w:hAnsi="Arial" w:cs="Arial"/>
                <w:sz w:val="22"/>
                <w:szCs w:val="22"/>
              </w:rPr>
            </w:pPr>
          </w:p>
        </w:tc>
        <w:tc>
          <w:tcPr>
            <w:tcW w:w="6520" w:type="dxa"/>
          </w:tcPr>
          <w:p w14:paraId="7C880D1B" w14:textId="54A07818" w:rsidR="0075611D" w:rsidRPr="00DF3A3A" w:rsidRDefault="0075611D" w:rsidP="00FB2D39">
            <w:pPr>
              <w:spacing w:before="0" w:line="240" w:lineRule="auto"/>
              <w:jc w:val="both"/>
              <w:rPr>
                <w:rFonts w:ascii="Arial" w:hAnsi="Arial" w:cs="Arial"/>
                <w:sz w:val="22"/>
                <w:szCs w:val="22"/>
              </w:rPr>
            </w:pPr>
            <w:r w:rsidRPr="00DF3A3A">
              <w:rPr>
                <w:rFonts w:ascii="Arial" w:hAnsi="Arial" w:cs="Arial"/>
                <w:sz w:val="22"/>
                <w:szCs w:val="22"/>
              </w:rPr>
              <w:t>Prof</w:t>
            </w:r>
            <w:r w:rsidR="0007606A" w:rsidRPr="00DF3A3A">
              <w:rPr>
                <w:rFonts w:ascii="Arial" w:hAnsi="Arial" w:cs="Arial"/>
                <w:sz w:val="22"/>
                <w:szCs w:val="22"/>
              </w:rPr>
              <w:t>.</w:t>
            </w:r>
            <w:r w:rsidRPr="00DF3A3A">
              <w:rPr>
                <w:rFonts w:ascii="Arial" w:hAnsi="Arial" w:cs="Arial"/>
                <w:sz w:val="22"/>
                <w:szCs w:val="22"/>
              </w:rPr>
              <w:t xml:space="preserve"> </w:t>
            </w:r>
            <w:r w:rsidR="00591180" w:rsidRPr="00DF3A3A">
              <w:rPr>
                <w:rFonts w:ascii="Arial" w:hAnsi="Arial" w:cs="Arial"/>
                <w:sz w:val="22"/>
                <w:szCs w:val="22"/>
              </w:rPr>
              <w:t>Mark Cotton</w:t>
            </w:r>
            <w:r w:rsidRPr="00DF3A3A">
              <w:rPr>
                <w:rFonts w:ascii="Arial" w:hAnsi="Arial" w:cs="Arial"/>
                <w:sz w:val="22"/>
                <w:szCs w:val="22"/>
              </w:rPr>
              <w:t>, Stellenbosch University</w:t>
            </w:r>
          </w:p>
          <w:p w14:paraId="343AF91E" w14:textId="0B7B9524" w:rsidR="00591180" w:rsidRPr="00FD6ABF" w:rsidRDefault="0075611D" w:rsidP="00FB2D39">
            <w:pPr>
              <w:spacing w:before="0" w:line="240" w:lineRule="auto"/>
              <w:jc w:val="both"/>
              <w:rPr>
                <w:rFonts w:ascii="Arial" w:hAnsi="Arial" w:cs="Arial"/>
                <w:color w:val="0000FF" w:themeColor="hyperlink"/>
                <w:sz w:val="22"/>
                <w:szCs w:val="22"/>
                <w:u w:val="single"/>
              </w:rPr>
            </w:pPr>
            <w:r w:rsidRPr="00DF3A3A">
              <w:rPr>
                <w:rFonts w:ascii="Arial" w:hAnsi="Arial" w:cs="Arial"/>
                <w:sz w:val="22"/>
                <w:szCs w:val="22"/>
              </w:rPr>
              <w:t xml:space="preserve">Email: </w:t>
            </w:r>
            <w:hyperlink r:id="rId19" w:history="1">
              <w:r w:rsidR="00591180" w:rsidRPr="00DF3A3A">
                <w:rPr>
                  <w:rStyle w:val="Hyperlink"/>
                  <w:rFonts w:ascii="Arial" w:hAnsi="Arial" w:cs="Arial"/>
                  <w:sz w:val="22"/>
                  <w:szCs w:val="22"/>
                </w:rPr>
                <w:t>mcot</w:t>
              </w:r>
            </w:hyperlink>
            <w:r w:rsidR="00591180" w:rsidRPr="00DF3A3A">
              <w:rPr>
                <w:rStyle w:val="Hyperlink"/>
                <w:rFonts w:ascii="Arial" w:hAnsi="Arial" w:cs="Arial"/>
                <w:sz w:val="22"/>
                <w:szCs w:val="22"/>
              </w:rPr>
              <w:t>@sun.ac.za</w:t>
            </w:r>
          </w:p>
        </w:tc>
      </w:tr>
      <w:tr w:rsidR="00591180" w:rsidRPr="00FD6ABF" w14:paraId="2F089705" w14:textId="77777777" w:rsidTr="00FD6ABF">
        <w:tc>
          <w:tcPr>
            <w:tcW w:w="2830" w:type="dxa"/>
          </w:tcPr>
          <w:p w14:paraId="196D65EB" w14:textId="42D12F7D" w:rsidR="00591180" w:rsidRPr="00FD6ABF" w:rsidRDefault="00591180" w:rsidP="0019364D">
            <w:pPr>
              <w:rPr>
                <w:rFonts w:ascii="Arial" w:hAnsi="Arial" w:cs="Arial"/>
                <w:sz w:val="22"/>
                <w:szCs w:val="22"/>
              </w:rPr>
            </w:pPr>
            <w:r w:rsidRPr="00FD6ABF">
              <w:rPr>
                <w:rFonts w:ascii="Arial" w:hAnsi="Arial" w:cs="Arial"/>
                <w:sz w:val="22"/>
                <w:szCs w:val="22"/>
              </w:rPr>
              <w:t>South African Co-Principal Investigator/Lead Investigator</w:t>
            </w:r>
          </w:p>
        </w:tc>
        <w:tc>
          <w:tcPr>
            <w:tcW w:w="6520" w:type="dxa"/>
          </w:tcPr>
          <w:p w14:paraId="1013F474" w14:textId="77777777" w:rsidR="00591180" w:rsidRPr="00FD6ABF" w:rsidRDefault="00591180" w:rsidP="00FB2D39">
            <w:pPr>
              <w:jc w:val="both"/>
              <w:rPr>
                <w:rFonts w:ascii="Arial" w:hAnsi="Arial" w:cs="Arial"/>
                <w:sz w:val="22"/>
                <w:szCs w:val="22"/>
              </w:rPr>
            </w:pPr>
            <w:r w:rsidRPr="00FD6ABF">
              <w:rPr>
                <w:rFonts w:ascii="Arial" w:hAnsi="Arial" w:cs="Arial"/>
                <w:sz w:val="22"/>
                <w:szCs w:val="22"/>
              </w:rPr>
              <w:t>A/Prof. Eric Decloedt, Stellenbosch University</w:t>
            </w:r>
          </w:p>
          <w:p w14:paraId="5CC8E14B" w14:textId="2F9BD08A" w:rsidR="00591180" w:rsidRPr="00FD6ABF" w:rsidRDefault="00591180" w:rsidP="00FB2D39">
            <w:pPr>
              <w:jc w:val="both"/>
              <w:rPr>
                <w:rFonts w:ascii="Arial" w:hAnsi="Arial" w:cs="Arial"/>
                <w:sz w:val="22"/>
                <w:szCs w:val="22"/>
              </w:rPr>
            </w:pPr>
            <w:r w:rsidRPr="00FD6ABF">
              <w:rPr>
                <w:rFonts w:ascii="Arial" w:hAnsi="Arial" w:cs="Arial"/>
                <w:sz w:val="22"/>
                <w:szCs w:val="22"/>
              </w:rPr>
              <w:t xml:space="preserve">Email: </w:t>
            </w:r>
            <w:hyperlink r:id="rId20" w:history="1">
              <w:r w:rsidR="006D6931" w:rsidRPr="00FD6ABF">
                <w:rPr>
                  <w:rStyle w:val="Hyperlink"/>
                  <w:rFonts w:ascii="Arial" w:hAnsi="Arial" w:cs="Arial"/>
                  <w:sz w:val="22"/>
                  <w:szCs w:val="22"/>
                </w:rPr>
                <w:t>ericdecloedt@sun.ac.za</w:t>
              </w:r>
            </w:hyperlink>
          </w:p>
          <w:p w14:paraId="14EBA43E" w14:textId="2A92CCD5" w:rsidR="006D6931" w:rsidRPr="00FD6ABF" w:rsidRDefault="006D6931" w:rsidP="00FB2D39">
            <w:pPr>
              <w:jc w:val="both"/>
              <w:rPr>
                <w:rFonts w:ascii="Arial" w:hAnsi="Arial" w:cs="Arial"/>
                <w:sz w:val="22"/>
                <w:szCs w:val="22"/>
              </w:rPr>
            </w:pPr>
          </w:p>
        </w:tc>
      </w:tr>
      <w:tr w:rsidR="00391897" w:rsidRPr="00FD6ABF" w14:paraId="776498EA" w14:textId="77777777" w:rsidTr="00FD6ABF">
        <w:tc>
          <w:tcPr>
            <w:tcW w:w="2830" w:type="dxa"/>
          </w:tcPr>
          <w:p w14:paraId="579452BA" w14:textId="6DB77615" w:rsidR="00391897" w:rsidRPr="00FD6ABF" w:rsidRDefault="00FD7EE7" w:rsidP="0019364D">
            <w:pPr>
              <w:spacing w:before="0" w:line="240" w:lineRule="auto"/>
              <w:rPr>
                <w:rFonts w:ascii="Arial" w:hAnsi="Arial" w:cs="Arial"/>
                <w:sz w:val="22"/>
                <w:szCs w:val="22"/>
              </w:rPr>
            </w:pPr>
            <w:r w:rsidRPr="00FD6ABF">
              <w:rPr>
                <w:rFonts w:ascii="Arial" w:hAnsi="Arial" w:cs="Arial"/>
                <w:sz w:val="22"/>
                <w:szCs w:val="22"/>
              </w:rPr>
              <w:t xml:space="preserve">South Africa </w:t>
            </w:r>
            <w:r w:rsidR="00777AD8" w:rsidRPr="00FD6ABF">
              <w:rPr>
                <w:rFonts w:ascii="Arial" w:hAnsi="Arial" w:cs="Arial"/>
                <w:sz w:val="22"/>
                <w:szCs w:val="22"/>
              </w:rPr>
              <w:t>Co-</w:t>
            </w:r>
            <w:r w:rsidR="00591180" w:rsidRPr="00FD6ABF">
              <w:rPr>
                <w:rFonts w:ascii="Arial" w:hAnsi="Arial" w:cs="Arial"/>
                <w:sz w:val="22"/>
                <w:szCs w:val="22"/>
              </w:rPr>
              <w:t>Principal Investigators</w:t>
            </w:r>
          </w:p>
        </w:tc>
        <w:tc>
          <w:tcPr>
            <w:tcW w:w="6520" w:type="dxa"/>
          </w:tcPr>
          <w:p w14:paraId="1E563C1B" w14:textId="717DEE39" w:rsidR="0075611D" w:rsidRPr="00FD6ABF" w:rsidRDefault="0075611D" w:rsidP="00FB2D39">
            <w:pPr>
              <w:spacing w:before="0" w:line="240" w:lineRule="auto"/>
              <w:jc w:val="both"/>
              <w:rPr>
                <w:rFonts w:ascii="Arial" w:hAnsi="Arial" w:cs="Arial"/>
                <w:sz w:val="22"/>
                <w:szCs w:val="22"/>
              </w:rPr>
            </w:pPr>
            <w:r w:rsidRPr="00FD6ABF">
              <w:rPr>
                <w:rFonts w:ascii="Arial" w:hAnsi="Arial" w:cs="Arial"/>
                <w:sz w:val="22"/>
                <w:szCs w:val="22"/>
              </w:rPr>
              <w:t>Prof</w:t>
            </w:r>
            <w:r w:rsidR="0007606A" w:rsidRPr="00FD6ABF">
              <w:rPr>
                <w:rFonts w:ascii="Arial" w:hAnsi="Arial" w:cs="Arial"/>
                <w:sz w:val="22"/>
                <w:szCs w:val="22"/>
              </w:rPr>
              <w:t>.</w:t>
            </w:r>
            <w:r w:rsidRPr="00FD6ABF">
              <w:rPr>
                <w:rFonts w:ascii="Arial" w:hAnsi="Arial" w:cs="Arial"/>
                <w:sz w:val="22"/>
                <w:szCs w:val="22"/>
              </w:rPr>
              <w:t xml:space="preserve"> Jean </w:t>
            </w:r>
            <w:proofErr w:type="spellStart"/>
            <w:r w:rsidRPr="00FD6ABF">
              <w:rPr>
                <w:rFonts w:ascii="Arial" w:hAnsi="Arial" w:cs="Arial"/>
                <w:sz w:val="22"/>
                <w:szCs w:val="22"/>
              </w:rPr>
              <w:t>Nachega</w:t>
            </w:r>
            <w:proofErr w:type="spellEnd"/>
            <w:r w:rsidRPr="00FD6ABF">
              <w:rPr>
                <w:rFonts w:ascii="Arial" w:hAnsi="Arial" w:cs="Arial"/>
                <w:sz w:val="22"/>
                <w:szCs w:val="22"/>
              </w:rPr>
              <w:t>, University of Stellenbosch</w:t>
            </w:r>
          </w:p>
          <w:p w14:paraId="0728E20B" w14:textId="298055F7" w:rsidR="003977DB" w:rsidRPr="00FD6ABF" w:rsidRDefault="003977DB" w:rsidP="00FB2D39">
            <w:pPr>
              <w:spacing w:before="0" w:line="240" w:lineRule="auto"/>
              <w:jc w:val="both"/>
              <w:rPr>
                <w:rFonts w:ascii="Arial" w:hAnsi="Arial" w:cs="Arial"/>
                <w:sz w:val="22"/>
                <w:szCs w:val="22"/>
              </w:rPr>
            </w:pPr>
            <w:r w:rsidRPr="00FD6ABF">
              <w:rPr>
                <w:rFonts w:ascii="Arial" w:hAnsi="Arial" w:cs="Arial"/>
                <w:sz w:val="22"/>
                <w:szCs w:val="22"/>
              </w:rPr>
              <w:t xml:space="preserve">Email: </w:t>
            </w:r>
            <w:r w:rsidR="006D6931" w:rsidRPr="00FD6ABF">
              <w:rPr>
                <w:rFonts w:ascii="Arial" w:hAnsi="Arial" w:cs="Arial"/>
                <w:sz w:val="22"/>
                <w:szCs w:val="22"/>
              </w:rPr>
              <w:t>jnacheg1@jhu.edu</w:t>
            </w:r>
          </w:p>
          <w:p w14:paraId="44E3D337" w14:textId="3B6EB73A" w:rsidR="00777AD8" w:rsidRPr="00FD6ABF" w:rsidRDefault="0075611D" w:rsidP="00FB2D39">
            <w:pPr>
              <w:spacing w:before="0" w:line="240" w:lineRule="auto"/>
              <w:jc w:val="both"/>
              <w:rPr>
                <w:rFonts w:ascii="Arial" w:hAnsi="Arial" w:cs="Arial"/>
                <w:sz w:val="22"/>
                <w:szCs w:val="22"/>
              </w:rPr>
            </w:pPr>
            <w:r w:rsidRPr="00FD6ABF">
              <w:rPr>
                <w:rFonts w:ascii="Arial" w:hAnsi="Arial" w:cs="Arial"/>
                <w:sz w:val="22"/>
                <w:szCs w:val="22"/>
              </w:rPr>
              <w:t>Prof</w:t>
            </w:r>
            <w:r w:rsidR="0007606A" w:rsidRPr="00FD6ABF">
              <w:rPr>
                <w:rFonts w:ascii="Arial" w:hAnsi="Arial" w:cs="Arial"/>
                <w:sz w:val="22"/>
                <w:szCs w:val="22"/>
              </w:rPr>
              <w:t>.</w:t>
            </w:r>
            <w:r w:rsidRPr="00FD6ABF">
              <w:rPr>
                <w:rFonts w:ascii="Arial" w:hAnsi="Arial" w:cs="Arial"/>
                <w:sz w:val="22"/>
                <w:szCs w:val="22"/>
              </w:rPr>
              <w:t xml:space="preserve"> Landon Myer, University of Cape Town</w:t>
            </w:r>
          </w:p>
          <w:p w14:paraId="1FB52539" w14:textId="053A59C7" w:rsidR="00591180" w:rsidRPr="00FD6ABF" w:rsidRDefault="006D6931" w:rsidP="00FB2D39">
            <w:pPr>
              <w:spacing w:before="0" w:line="240" w:lineRule="auto"/>
              <w:jc w:val="both"/>
              <w:rPr>
                <w:rFonts w:ascii="Arial" w:hAnsi="Arial" w:cs="Arial"/>
                <w:sz w:val="22"/>
                <w:szCs w:val="22"/>
              </w:rPr>
            </w:pPr>
            <w:r w:rsidRPr="00FD6ABF">
              <w:rPr>
                <w:rFonts w:ascii="Arial" w:hAnsi="Arial" w:cs="Arial"/>
                <w:sz w:val="22"/>
                <w:szCs w:val="22"/>
              </w:rPr>
              <w:t xml:space="preserve">Email: </w:t>
            </w:r>
            <w:hyperlink r:id="rId21" w:history="1">
              <w:r w:rsidRPr="00FD6ABF">
                <w:rPr>
                  <w:rStyle w:val="Hyperlink"/>
                  <w:rFonts w:ascii="Arial" w:hAnsi="Arial" w:cs="Arial"/>
                  <w:sz w:val="22"/>
                  <w:szCs w:val="22"/>
                </w:rPr>
                <w:t>landon.myer@uct.ac.za</w:t>
              </w:r>
            </w:hyperlink>
          </w:p>
          <w:p w14:paraId="70368A4D" w14:textId="6007A0EA" w:rsidR="006D6931" w:rsidRPr="00FD6ABF" w:rsidRDefault="006D6931" w:rsidP="00FB2D39">
            <w:pPr>
              <w:spacing w:before="0" w:line="240" w:lineRule="auto"/>
              <w:jc w:val="both"/>
              <w:rPr>
                <w:rFonts w:ascii="Arial" w:hAnsi="Arial" w:cs="Arial"/>
                <w:sz w:val="22"/>
                <w:szCs w:val="22"/>
              </w:rPr>
            </w:pPr>
          </w:p>
        </w:tc>
      </w:tr>
    </w:tbl>
    <w:p w14:paraId="2276A928" w14:textId="21C8E2A3" w:rsidR="00381D18" w:rsidRPr="00FD6ABF" w:rsidRDefault="00FC4C3A" w:rsidP="00FB2D39">
      <w:pPr>
        <w:jc w:val="both"/>
        <w:rPr>
          <w:rFonts w:ascii="Arial" w:hAnsi="Arial" w:cs="Arial"/>
          <w:b/>
          <w:bCs/>
          <w:sz w:val="22"/>
          <w:szCs w:val="22"/>
        </w:rPr>
      </w:pPr>
      <w:r w:rsidRPr="00FD6ABF">
        <w:rPr>
          <w:rFonts w:ascii="Arial" w:hAnsi="Arial" w:cs="Arial"/>
          <w:b/>
          <w:bCs/>
          <w:sz w:val="22"/>
          <w:szCs w:val="22"/>
        </w:rPr>
        <w:br w:type="page"/>
      </w:r>
    </w:p>
    <w:p w14:paraId="3D443966" w14:textId="15C379FC" w:rsidR="00381D18" w:rsidRPr="00FD6ABF" w:rsidRDefault="00FC4C3A" w:rsidP="00FB2D39">
      <w:pPr>
        <w:pStyle w:val="TOCHeading"/>
        <w:jc w:val="both"/>
        <w:rPr>
          <w:rFonts w:ascii="Arial" w:hAnsi="Arial" w:cs="Arial"/>
          <w:sz w:val="22"/>
          <w:szCs w:val="22"/>
        </w:rPr>
      </w:pPr>
      <w:bookmarkStart w:id="0" w:name="_Toc399922849"/>
      <w:r w:rsidRPr="00FD6ABF">
        <w:rPr>
          <w:rFonts w:ascii="Arial" w:hAnsi="Arial" w:cs="Arial"/>
          <w:sz w:val="22"/>
          <w:szCs w:val="22"/>
        </w:rPr>
        <w:lastRenderedPageBreak/>
        <w:t>Table of Contents</w:t>
      </w:r>
      <w:bookmarkEnd w:id="0"/>
    </w:p>
    <w:p w14:paraId="072B7518" w14:textId="77777777" w:rsidR="00452BFD" w:rsidRPr="00FD6ABF" w:rsidRDefault="00452BFD" w:rsidP="00FB2D39">
      <w:pPr>
        <w:jc w:val="both"/>
        <w:rPr>
          <w:rFonts w:ascii="Arial" w:hAnsi="Arial" w:cs="Arial"/>
          <w:sz w:val="22"/>
          <w:szCs w:val="22"/>
        </w:rPr>
      </w:pPr>
    </w:p>
    <w:p w14:paraId="17782075" w14:textId="791540AC" w:rsidR="001B49F6" w:rsidRPr="00FD6ABF" w:rsidRDefault="00FC4C3A" w:rsidP="00FB2D39">
      <w:pPr>
        <w:pStyle w:val="TOC1"/>
        <w:rPr>
          <w:rFonts w:ascii="Arial" w:eastAsiaTheme="minorEastAsia" w:hAnsi="Arial" w:cs="Arial"/>
          <w:b w:val="0"/>
          <w:noProof/>
          <w:color w:val="auto"/>
          <w:sz w:val="22"/>
          <w:szCs w:val="22"/>
          <w:lang w:val="en-CA"/>
        </w:rPr>
      </w:pPr>
      <w:r w:rsidRPr="00FD6ABF">
        <w:rPr>
          <w:rFonts w:ascii="Arial" w:hAnsi="Arial" w:cs="Arial"/>
          <w:color w:val="000000" w:themeColor="text1"/>
          <w:sz w:val="22"/>
          <w:szCs w:val="22"/>
        </w:rPr>
        <w:fldChar w:fldCharType="begin"/>
      </w:r>
      <w:r w:rsidRPr="00FD6ABF">
        <w:rPr>
          <w:rFonts w:ascii="Arial" w:hAnsi="Arial" w:cs="Arial"/>
          <w:color w:val="000000" w:themeColor="text1"/>
          <w:sz w:val="22"/>
          <w:szCs w:val="22"/>
        </w:rPr>
        <w:instrText xml:space="preserve"> TOC \o "1-2" \h \z \t "Heading 3,3,Heading 3 (non-numbered),4" </w:instrText>
      </w:r>
      <w:r w:rsidRPr="00FD6ABF">
        <w:rPr>
          <w:rFonts w:ascii="Arial" w:hAnsi="Arial" w:cs="Arial"/>
          <w:color w:val="000000" w:themeColor="text1"/>
          <w:sz w:val="22"/>
          <w:szCs w:val="22"/>
        </w:rPr>
        <w:fldChar w:fldCharType="separate"/>
      </w:r>
      <w:hyperlink w:anchor="_Toc38818733" w:history="1">
        <w:r w:rsidR="001B49F6" w:rsidRPr="00FD6ABF">
          <w:rPr>
            <w:rStyle w:val="Hyperlink"/>
            <w:rFonts w:ascii="Arial" w:hAnsi="Arial" w:cs="Arial"/>
            <w:noProof/>
            <w:sz w:val="22"/>
            <w:szCs w:val="22"/>
          </w:rPr>
          <w:t>1.</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Synopsis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_Toc38818733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8</w:t>
        </w:r>
        <w:r w:rsidR="001B49F6" w:rsidRPr="00FD6ABF">
          <w:rPr>
            <w:rFonts w:ascii="Arial" w:hAnsi="Arial" w:cs="Arial"/>
            <w:noProof/>
            <w:webHidden/>
            <w:sz w:val="22"/>
            <w:szCs w:val="22"/>
          </w:rPr>
          <w:fldChar w:fldCharType="end"/>
        </w:r>
      </w:hyperlink>
    </w:p>
    <w:p w14:paraId="7681F78D" w14:textId="6DE59E3B" w:rsidR="001B49F6" w:rsidRPr="00FD6ABF" w:rsidRDefault="00B971A8" w:rsidP="00FB2D39">
      <w:pPr>
        <w:pStyle w:val="TOC1"/>
        <w:rPr>
          <w:rFonts w:ascii="Arial" w:eastAsiaTheme="minorEastAsia" w:hAnsi="Arial" w:cs="Arial"/>
          <w:b w:val="0"/>
          <w:noProof/>
          <w:color w:val="auto"/>
          <w:sz w:val="22"/>
          <w:szCs w:val="22"/>
          <w:lang w:val="en-CA"/>
        </w:rPr>
      </w:pPr>
      <w:hyperlink w:anchor="_Toc38818734" w:history="1">
        <w:r w:rsidR="001B49F6" w:rsidRPr="00FD6ABF">
          <w:rPr>
            <w:rStyle w:val="Hyperlink"/>
            <w:rFonts w:ascii="Arial" w:hAnsi="Arial" w:cs="Arial"/>
            <w:noProof/>
            <w:sz w:val="22"/>
            <w:szCs w:val="22"/>
          </w:rPr>
          <w:t>2.</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Schedule of Activities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_Toc38818734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13</w:t>
        </w:r>
        <w:r w:rsidR="001B49F6" w:rsidRPr="00FD6ABF">
          <w:rPr>
            <w:rFonts w:ascii="Arial" w:hAnsi="Arial" w:cs="Arial"/>
            <w:noProof/>
            <w:webHidden/>
            <w:sz w:val="22"/>
            <w:szCs w:val="22"/>
          </w:rPr>
          <w:fldChar w:fldCharType="end"/>
        </w:r>
      </w:hyperlink>
    </w:p>
    <w:p w14:paraId="7302CE43" w14:textId="5091DF37" w:rsidR="001B49F6" w:rsidRPr="00FD6ABF" w:rsidRDefault="00B971A8" w:rsidP="00FB2D39">
      <w:pPr>
        <w:pStyle w:val="TOC1"/>
        <w:rPr>
          <w:rFonts w:ascii="Arial" w:eastAsiaTheme="minorEastAsia" w:hAnsi="Arial" w:cs="Arial"/>
          <w:b w:val="0"/>
          <w:noProof/>
          <w:color w:val="auto"/>
          <w:sz w:val="22"/>
          <w:szCs w:val="22"/>
          <w:lang w:val="en-CA"/>
        </w:rPr>
      </w:pPr>
      <w:hyperlink w:anchor="_Toc38818735" w:history="1">
        <w:r w:rsidR="001B49F6" w:rsidRPr="00FD6ABF">
          <w:rPr>
            <w:rStyle w:val="Hyperlink"/>
            <w:rFonts w:ascii="Arial" w:hAnsi="Arial" w:cs="Arial"/>
            <w:noProof/>
            <w:sz w:val="22"/>
            <w:szCs w:val="22"/>
          </w:rPr>
          <w:t>3.</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Introduction</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_Toc38818735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14</w:t>
        </w:r>
        <w:r w:rsidR="001B49F6" w:rsidRPr="00FD6ABF">
          <w:rPr>
            <w:rFonts w:ascii="Arial" w:hAnsi="Arial" w:cs="Arial"/>
            <w:noProof/>
            <w:webHidden/>
            <w:sz w:val="22"/>
            <w:szCs w:val="22"/>
          </w:rPr>
          <w:fldChar w:fldCharType="end"/>
        </w:r>
      </w:hyperlink>
    </w:p>
    <w:p w14:paraId="4DAFCBDD" w14:textId="7F3F280B" w:rsidR="001B49F6" w:rsidRPr="00FD6ABF" w:rsidRDefault="00B971A8" w:rsidP="00FB2D39">
      <w:pPr>
        <w:pStyle w:val="TOC2"/>
        <w:rPr>
          <w:rFonts w:ascii="Arial" w:eastAsiaTheme="minorEastAsia" w:hAnsi="Arial" w:cs="Arial"/>
          <w:noProof/>
          <w:color w:val="auto"/>
          <w:sz w:val="22"/>
          <w:szCs w:val="22"/>
          <w:lang w:val="en-CA"/>
        </w:rPr>
      </w:pPr>
      <w:hyperlink w:anchor="_Toc38818736" w:history="1">
        <w:r w:rsidR="001B49F6" w:rsidRPr="00FD6ABF">
          <w:rPr>
            <w:rStyle w:val="Hyperlink"/>
            <w:rFonts w:ascii="Arial" w:hAnsi="Arial" w:cs="Arial"/>
            <w:noProof/>
            <w:sz w:val="22"/>
            <w:szCs w:val="22"/>
          </w:rPr>
          <w:t>3.1.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Background</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_Toc38818736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14</w:t>
        </w:r>
        <w:r w:rsidR="001B49F6" w:rsidRPr="00FD6ABF">
          <w:rPr>
            <w:rFonts w:ascii="Arial" w:hAnsi="Arial" w:cs="Arial"/>
            <w:noProof/>
            <w:webHidden/>
            <w:sz w:val="22"/>
            <w:szCs w:val="22"/>
          </w:rPr>
          <w:fldChar w:fldCharType="end"/>
        </w:r>
      </w:hyperlink>
    </w:p>
    <w:p w14:paraId="6C2CA9EF" w14:textId="41F244F8" w:rsidR="001B49F6" w:rsidRPr="00FD6ABF" w:rsidRDefault="00B971A8" w:rsidP="00FB2D39">
      <w:pPr>
        <w:pStyle w:val="TOC2"/>
        <w:rPr>
          <w:rFonts w:ascii="Arial" w:eastAsiaTheme="minorEastAsia" w:hAnsi="Arial" w:cs="Arial"/>
          <w:noProof/>
          <w:color w:val="auto"/>
          <w:sz w:val="22"/>
          <w:szCs w:val="22"/>
          <w:lang w:val="en-CA"/>
        </w:rPr>
      </w:pPr>
      <w:hyperlink w:anchor="_Toc38818737" w:history="1">
        <w:r w:rsidR="001B49F6" w:rsidRPr="00FD6ABF">
          <w:rPr>
            <w:rStyle w:val="Hyperlink"/>
            <w:rFonts w:ascii="Arial" w:hAnsi="Arial" w:cs="Arial"/>
            <w:noProof/>
            <w:sz w:val="22"/>
            <w:szCs w:val="22"/>
          </w:rPr>
          <w:t>3.2.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Study Rationale</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_Toc38818737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15</w:t>
        </w:r>
        <w:r w:rsidR="001B49F6" w:rsidRPr="00FD6ABF">
          <w:rPr>
            <w:rFonts w:ascii="Arial" w:hAnsi="Arial" w:cs="Arial"/>
            <w:noProof/>
            <w:webHidden/>
            <w:sz w:val="22"/>
            <w:szCs w:val="22"/>
          </w:rPr>
          <w:fldChar w:fldCharType="end"/>
        </w:r>
      </w:hyperlink>
    </w:p>
    <w:p w14:paraId="08802F10" w14:textId="7FE6D66A" w:rsidR="001B49F6" w:rsidRPr="00FD6ABF" w:rsidRDefault="00B971A8" w:rsidP="00FB2D39">
      <w:pPr>
        <w:pStyle w:val="TOC3"/>
        <w:rPr>
          <w:rFonts w:ascii="Arial" w:eastAsiaTheme="minorEastAsia" w:hAnsi="Arial" w:cs="Arial"/>
          <w:noProof/>
          <w:color w:val="auto"/>
          <w:sz w:val="22"/>
          <w:szCs w:val="22"/>
          <w:lang w:val="en-CA"/>
        </w:rPr>
      </w:pPr>
      <w:hyperlink w:anchor="_Toc38818738" w:history="1">
        <w:r w:rsidR="001B49F6" w:rsidRPr="00FD6ABF">
          <w:rPr>
            <w:rStyle w:val="Hyperlink"/>
            <w:rFonts w:ascii="Arial" w:hAnsi="Arial" w:cs="Arial"/>
            <w:noProof/>
            <w:sz w:val="22"/>
            <w:szCs w:val="22"/>
          </w:rPr>
          <w:t>3.2.1.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COVID-19 and Antiviral Approaches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_Toc38818738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15</w:t>
        </w:r>
        <w:r w:rsidR="001B49F6" w:rsidRPr="00FD6ABF">
          <w:rPr>
            <w:rFonts w:ascii="Arial" w:hAnsi="Arial" w:cs="Arial"/>
            <w:noProof/>
            <w:webHidden/>
            <w:sz w:val="22"/>
            <w:szCs w:val="22"/>
          </w:rPr>
          <w:fldChar w:fldCharType="end"/>
        </w:r>
      </w:hyperlink>
    </w:p>
    <w:p w14:paraId="389A2865" w14:textId="4A6FE05F" w:rsidR="001B49F6" w:rsidRPr="00FD6ABF" w:rsidRDefault="00B971A8" w:rsidP="00FB2D39">
      <w:pPr>
        <w:pStyle w:val="TOC3"/>
        <w:rPr>
          <w:rFonts w:ascii="Arial" w:eastAsiaTheme="minorEastAsia" w:hAnsi="Arial" w:cs="Arial"/>
          <w:noProof/>
          <w:color w:val="auto"/>
          <w:sz w:val="22"/>
          <w:szCs w:val="22"/>
          <w:lang w:val="en-CA"/>
        </w:rPr>
      </w:pPr>
      <w:hyperlink w:anchor="_Toc38818739" w:history="1">
        <w:r w:rsidR="001B49F6" w:rsidRPr="00FD6ABF">
          <w:rPr>
            <w:rStyle w:val="Hyperlink"/>
            <w:rFonts w:ascii="Arial" w:hAnsi="Arial" w:cs="Arial"/>
            <w:noProof/>
            <w:sz w:val="22"/>
            <w:szCs w:val="22"/>
          </w:rPr>
          <w:t>3.2.2.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Antiviral Effects of Chloroquine Analogues Against COVID-19</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_Toc38818739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16</w:t>
        </w:r>
        <w:r w:rsidR="001B49F6" w:rsidRPr="00FD6ABF">
          <w:rPr>
            <w:rFonts w:ascii="Arial" w:hAnsi="Arial" w:cs="Arial"/>
            <w:noProof/>
            <w:webHidden/>
            <w:sz w:val="22"/>
            <w:szCs w:val="22"/>
          </w:rPr>
          <w:fldChar w:fldCharType="end"/>
        </w:r>
      </w:hyperlink>
    </w:p>
    <w:p w14:paraId="0D0C6B48" w14:textId="4D92C7AF" w:rsidR="001B49F6" w:rsidRPr="00FD6ABF" w:rsidRDefault="00B971A8" w:rsidP="00FB2D39">
      <w:pPr>
        <w:pStyle w:val="TOC3"/>
        <w:rPr>
          <w:rFonts w:ascii="Arial" w:eastAsiaTheme="minorEastAsia" w:hAnsi="Arial" w:cs="Arial"/>
          <w:noProof/>
          <w:color w:val="auto"/>
          <w:sz w:val="22"/>
          <w:szCs w:val="22"/>
          <w:lang w:val="en-CA"/>
        </w:rPr>
      </w:pPr>
      <w:hyperlink w:anchor="_Toc38818740" w:history="1">
        <w:r w:rsidR="001B49F6" w:rsidRPr="00FD6ABF">
          <w:rPr>
            <w:rStyle w:val="Hyperlink"/>
            <w:rFonts w:ascii="Arial" w:hAnsi="Arial" w:cs="Arial"/>
            <w:noProof/>
            <w:sz w:val="22"/>
            <w:szCs w:val="22"/>
          </w:rPr>
          <w:t>3.2.3.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Antiviral Effects of Azithromycin Against COVID-19</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_Toc38818740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17</w:t>
        </w:r>
        <w:r w:rsidR="001B49F6" w:rsidRPr="00FD6ABF">
          <w:rPr>
            <w:rFonts w:ascii="Arial" w:hAnsi="Arial" w:cs="Arial"/>
            <w:noProof/>
            <w:webHidden/>
            <w:sz w:val="22"/>
            <w:szCs w:val="22"/>
          </w:rPr>
          <w:fldChar w:fldCharType="end"/>
        </w:r>
      </w:hyperlink>
    </w:p>
    <w:p w14:paraId="307C72AA" w14:textId="396CA486" w:rsidR="001B49F6" w:rsidRPr="00FD6ABF" w:rsidRDefault="00B971A8" w:rsidP="00FB2D39">
      <w:pPr>
        <w:pStyle w:val="TOC3"/>
        <w:rPr>
          <w:rFonts w:ascii="Arial" w:eastAsiaTheme="minorEastAsia" w:hAnsi="Arial" w:cs="Arial"/>
          <w:noProof/>
          <w:color w:val="auto"/>
          <w:sz w:val="22"/>
          <w:szCs w:val="22"/>
          <w:lang w:val="en-CA"/>
        </w:rPr>
      </w:pPr>
      <w:hyperlink w:anchor="_Toc38818741" w:history="1">
        <w:r w:rsidR="001B49F6" w:rsidRPr="00FD6ABF">
          <w:rPr>
            <w:rStyle w:val="Hyperlink"/>
            <w:rFonts w:ascii="Arial" w:hAnsi="Arial" w:cs="Arial"/>
            <w:noProof/>
            <w:sz w:val="22"/>
            <w:szCs w:val="22"/>
          </w:rPr>
          <w:t>3.2.4.</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Antiviral Effects of Lopinavir and Ritonavir Analogues Against COVID-19</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_Toc38818741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17</w:t>
        </w:r>
        <w:r w:rsidR="001B49F6" w:rsidRPr="00FD6ABF">
          <w:rPr>
            <w:rFonts w:ascii="Arial" w:hAnsi="Arial" w:cs="Arial"/>
            <w:noProof/>
            <w:webHidden/>
            <w:sz w:val="22"/>
            <w:szCs w:val="22"/>
          </w:rPr>
          <w:fldChar w:fldCharType="end"/>
        </w:r>
      </w:hyperlink>
    </w:p>
    <w:p w14:paraId="31479E81" w14:textId="389938D3" w:rsidR="001B49F6" w:rsidRPr="00FD6ABF" w:rsidRDefault="00B971A8" w:rsidP="00FB2D39">
      <w:pPr>
        <w:pStyle w:val="TOC3"/>
        <w:rPr>
          <w:rFonts w:ascii="Arial" w:eastAsiaTheme="minorEastAsia" w:hAnsi="Arial" w:cs="Arial"/>
          <w:noProof/>
          <w:color w:val="auto"/>
          <w:sz w:val="22"/>
          <w:szCs w:val="22"/>
          <w:lang w:val="en-CA"/>
        </w:rPr>
      </w:pPr>
      <w:hyperlink w:anchor="_Toc38818742" w:history="1">
        <w:r w:rsidR="001B49F6" w:rsidRPr="00FD6ABF">
          <w:rPr>
            <w:rStyle w:val="Hyperlink"/>
            <w:rFonts w:ascii="Arial" w:hAnsi="Arial" w:cs="Arial"/>
            <w:noProof/>
            <w:sz w:val="22"/>
            <w:szCs w:val="22"/>
          </w:rPr>
          <w:t>3.2.5.</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Antiviral Effects of Atazanavir Analogues Against COVID-19</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_Toc38818742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17</w:t>
        </w:r>
        <w:r w:rsidR="001B49F6" w:rsidRPr="00FD6ABF">
          <w:rPr>
            <w:rFonts w:ascii="Arial" w:hAnsi="Arial" w:cs="Arial"/>
            <w:noProof/>
            <w:webHidden/>
            <w:sz w:val="22"/>
            <w:szCs w:val="22"/>
          </w:rPr>
          <w:fldChar w:fldCharType="end"/>
        </w:r>
      </w:hyperlink>
    </w:p>
    <w:p w14:paraId="23987DED" w14:textId="3ADB0801" w:rsidR="001B49F6" w:rsidRPr="00FD6ABF" w:rsidRDefault="00B971A8" w:rsidP="00FB2D39">
      <w:pPr>
        <w:pStyle w:val="TOC3"/>
        <w:rPr>
          <w:rFonts w:ascii="Arial" w:eastAsiaTheme="minorEastAsia" w:hAnsi="Arial" w:cs="Arial"/>
          <w:noProof/>
          <w:color w:val="auto"/>
          <w:sz w:val="22"/>
          <w:szCs w:val="22"/>
          <w:lang w:val="en-CA"/>
        </w:rPr>
      </w:pPr>
      <w:hyperlink w:anchor="_Toc38818743" w:history="1">
        <w:r w:rsidR="001B49F6" w:rsidRPr="00FD6ABF">
          <w:rPr>
            <w:rStyle w:val="Hyperlink"/>
            <w:rFonts w:ascii="Arial" w:hAnsi="Arial" w:cs="Arial"/>
            <w:noProof/>
            <w:sz w:val="22"/>
            <w:szCs w:val="22"/>
          </w:rPr>
          <w:t>3.2.6.</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Rationale for Ascorbic Acid Control as a Comparator</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_Toc38818743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18</w:t>
        </w:r>
        <w:r w:rsidR="001B49F6" w:rsidRPr="00FD6ABF">
          <w:rPr>
            <w:rFonts w:ascii="Arial" w:hAnsi="Arial" w:cs="Arial"/>
            <w:noProof/>
            <w:webHidden/>
            <w:sz w:val="22"/>
            <w:szCs w:val="22"/>
          </w:rPr>
          <w:fldChar w:fldCharType="end"/>
        </w:r>
      </w:hyperlink>
    </w:p>
    <w:p w14:paraId="2C23B661" w14:textId="608FFF78" w:rsidR="001B49F6" w:rsidRPr="00FD6ABF" w:rsidRDefault="00B971A8" w:rsidP="00FB2D39">
      <w:pPr>
        <w:pStyle w:val="TOC3"/>
        <w:rPr>
          <w:rFonts w:ascii="Arial" w:eastAsiaTheme="minorEastAsia" w:hAnsi="Arial" w:cs="Arial"/>
          <w:noProof/>
          <w:color w:val="auto"/>
          <w:sz w:val="22"/>
          <w:szCs w:val="22"/>
          <w:lang w:val="en-CA"/>
        </w:rPr>
      </w:pPr>
      <w:hyperlink w:anchor="_Toc38818744" w:history="1">
        <w:r w:rsidR="001B49F6" w:rsidRPr="00FD6ABF">
          <w:rPr>
            <w:rStyle w:val="Hyperlink"/>
            <w:rFonts w:ascii="Arial" w:hAnsi="Arial" w:cs="Arial"/>
            <w:noProof/>
            <w:sz w:val="22"/>
            <w:szCs w:val="22"/>
          </w:rPr>
          <w:t>3.2.7.</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Rationale for Dosing Selection of Experimental Interventions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_Toc38818744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18</w:t>
        </w:r>
        <w:r w:rsidR="001B49F6" w:rsidRPr="00FD6ABF">
          <w:rPr>
            <w:rFonts w:ascii="Arial" w:hAnsi="Arial" w:cs="Arial"/>
            <w:noProof/>
            <w:webHidden/>
            <w:sz w:val="22"/>
            <w:szCs w:val="22"/>
          </w:rPr>
          <w:fldChar w:fldCharType="end"/>
        </w:r>
      </w:hyperlink>
    </w:p>
    <w:p w14:paraId="71187370" w14:textId="23E1A193" w:rsidR="001B49F6" w:rsidRPr="00FD6ABF" w:rsidRDefault="00B971A8" w:rsidP="00FB2D39">
      <w:pPr>
        <w:pStyle w:val="TOC2"/>
        <w:rPr>
          <w:rFonts w:ascii="Arial" w:eastAsiaTheme="minorEastAsia" w:hAnsi="Arial" w:cs="Arial"/>
          <w:noProof/>
          <w:color w:val="auto"/>
          <w:sz w:val="22"/>
          <w:szCs w:val="22"/>
          <w:lang w:val="en-CA"/>
        </w:rPr>
      </w:pPr>
      <w:hyperlink w:anchor="_Toc38818745" w:history="1">
        <w:r w:rsidR="001B49F6" w:rsidRPr="00FD6ABF">
          <w:rPr>
            <w:rStyle w:val="Hyperlink"/>
            <w:rFonts w:ascii="Arial" w:hAnsi="Arial" w:cs="Arial"/>
            <w:noProof/>
            <w:sz w:val="22"/>
            <w:szCs w:val="22"/>
          </w:rPr>
          <w:t>3.3.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Benefit/Risk Assessment</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_Toc38818745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18</w:t>
        </w:r>
        <w:r w:rsidR="001B49F6" w:rsidRPr="00FD6ABF">
          <w:rPr>
            <w:rFonts w:ascii="Arial" w:hAnsi="Arial" w:cs="Arial"/>
            <w:noProof/>
            <w:webHidden/>
            <w:sz w:val="22"/>
            <w:szCs w:val="22"/>
          </w:rPr>
          <w:fldChar w:fldCharType="end"/>
        </w:r>
      </w:hyperlink>
    </w:p>
    <w:p w14:paraId="52118579" w14:textId="0E659558" w:rsidR="001B49F6" w:rsidRPr="00FD6ABF" w:rsidRDefault="00B971A8" w:rsidP="00FB2D39">
      <w:pPr>
        <w:pStyle w:val="TOC1"/>
        <w:rPr>
          <w:rFonts w:ascii="Arial" w:eastAsiaTheme="minorEastAsia" w:hAnsi="Arial" w:cs="Arial"/>
          <w:b w:val="0"/>
          <w:noProof/>
          <w:color w:val="auto"/>
          <w:sz w:val="22"/>
          <w:szCs w:val="22"/>
          <w:lang w:val="en-CA"/>
        </w:rPr>
      </w:pPr>
      <w:hyperlink w:anchor="_Toc38818746" w:history="1">
        <w:r w:rsidR="001B49F6" w:rsidRPr="00FD6ABF">
          <w:rPr>
            <w:rStyle w:val="Hyperlink"/>
            <w:rFonts w:ascii="Arial" w:hAnsi="Arial" w:cs="Arial"/>
            <w:noProof/>
            <w:sz w:val="22"/>
            <w:szCs w:val="22"/>
          </w:rPr>
          <w:t>4.</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Objectives and Endpoints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_Toc38818746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20</w:t>
        </w:r>
        <w:r w:rsidR="001B49F6" w:rsidRPr="00FD6ABF">
          <w:rPr>
            <w:rFonts w:ascii="Arial" w:hAnsi="Arial" w:cs="Arial"/>
            <w:noProof/>
            <w:webHidden/>
            <w:sz w:val="22"/>
            <w:szCs w:val="22"/>
          </w:rPr>
          <w:fldChar w:fldCharType="end"/>
        </w:r>
      </w:hyperlink>
    </w:p>
    <w:p w14:paraId="053A617B" w14:textId="04CA1ACC" w:rsidR="001B49F6" w:rsidRPr="00FD6ABF" w:rsidRDefault="00B971A8" w:rsidP="00FB2D39">
      <w:pPr>
        <w:pStyle w:val="TOC1"/>
        <w:rPr>
          <w:rFonts w:ascii="Arial" w:eastAsiaTheme="minorEastAsia" w:hAnsi="Arial" w:cs="Arial"/>
          <w:b w:val="0"/>
          <w:noProof/>
          <w:color w:val="auto"/>
          <w:sz w:val="22"/>
          <w:szCs w:val="22"/>
          <w:lang w:val="en-CA"/>
        </w:rPr>
      </w:pPr>
      <w:hyperlink w:anchor="_Toc38818747" w:history="1">
        <w:r w:rsidR="001B49F6" w:rsidRPr="00FD6ABF">
          <w:rPr>
            <w:rStyle w:val="Hyperlink"/>
            <w:rFonts w:ascii="Arial" w:hAnsi="Arial" w:cs="Arial"/>
            <w:noProof/>
            <w:sz w:val="22"/>
            <w:szCs w:val="22"/>
          </w:rPr>
          <w:t>5.</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Study Design</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_Toc38818747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22</w:t>
        </w:r>
        <w:r w:rsidR="001B49F6" w:rsidRPr="00FD6ABF">
          <w:rPr>
            <w:rFonts w:ascii="Arial" w:hAnsi="Arial" w:cs="Arial"/>
            <w:noProof/>
            <w:webHidden/>
            <w:sz w:val="22"/>
            <w:szCs w:val="22"/>
          </w:rPr>
          <w:fldChar w:fldCharType="end"/>
        </w:r>
      </w:hyperlink>
    </w:p>
    <w:p w14:paraId="2BBA5C17" w14:textId="60CE7278" w:rsidR="001B49F6" w:rsidRPr="00FD6ABF" w:rsidRDefault="00B971A8" w:rsidP="00FB2D39">
      <w:pPr>
        <w:pStyle w:val="TOC2"/>
        <w:rPr>
          <w:rFonts w:ascii="Arial" w:eastAsiaTheme="minorEastAsia" w:hAnsi="Arial" w:cs="Arial"/>
          <w:noProof/>
          <w:color w:val="auto"/>
          <w:sz w:val="22"/>
          <w:szCs w:val="22"/>
          <w:lang w:val="en-CA"/>
        </w:rPr>
      </w:pPr>
      <w:hyperlink w:anchor="_Toc38818748" w:history="1">
        <w:r w:rsidR="001B49F6" w:rsidRPr="00FD6ABF">
          <w:rPr>
            <w:rStyle w:val="Hyperlink"/>
            <w:rFonts w:ascii="Arial" w:hAnsi="Arial" w:cs="Arial"/>
            <w:noProof/>
            <w:sz w:val="22"/>
            <w:szCs w:val="22"/>
          </w:rPr>
          <w:t>5.1.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Overall Design</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_Toc38818748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22</w:t>
        </w:r>
        <w:r w:rsidR="001B49F6" w:rsidRPr="00FD6ABF">
          <w:rPr>
            <w:rFonts w:ascii="Arial" w:hAnsi="Arial" w:cs="Arial"/>
            <w:noProof/>
            <w:webHidden/>
            <w:sz w:val="22"/>
            <w:szCs w:val="22"/>
          </w:rPr>
          <w:fldChar w:fldCharType="end"/>
        </w:r>
      </w:hyperlink>
    </w:p>
    <w:p w14:paraId="276B9EDF" w14:textId="1C9A3CD9" w:rsidR="001B49F6" w:rsidRPr="00FD6ABF" w:rsidRDefault="00B971A8" w:rsidP="00FB2D39">
      <w:pPr>
        <w:pStyle w:val="TOC2"/>
        <w:rPr>
          <w:rFonts w:ascii="Arial" w:eastAsiaTheme="minorEastAsia" w:hAnsi="Arial" w:cs="Arial"/>
          <w:noProof/>
          <w:color w:val="auto"/>
          <w:sz w:val="22"/>
          <w:szCs w:val="22"/>
          <w:lang w:val="en-CA"/>
        </w:rPr>
      </w:pPr>
      <w:hyperlink w:anchor="_Toc38818749" w:history="1">
        <w:r w:rsidR="001B49F6" w:rsidRPr="00FD6ABF">
          <w:rPr>
            <w:rStyle w:val="Hyperlink"/>
            <w:rFonts w:ascii="Arial" w:hAnsi="Arial" w:cs="Arial"/>
            <w:noProof/>
            <w:sz w:val="22"/>
            <w:szCs w:val="22"/>
          </w:rPr>
          <w:t>5.2.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Participant and Study Completion</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_Toc38818749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23</w:t>
        </w:r>
        <w:r w:rsidR="001B49F6" w:rsidRPr="00FD6ABF">
          <w:rPr>
            <w:rFonts w:ascii="Arial" w:hAnsi="Arial" w:cs="Arial"/>
            <w:noProof/>
            <w:webHidden/>
            <w:sz w:val="22"/>
            <w:szCs w:val="22"/>
          </w:rPr>
          <w:fldChar w:fldCharType="end"/>
        </w:r>
      </w:hyperlink>
    </w:p>
    <w:p w14:paraId="66BA938C" w14:textId="08A2CA9F" w:rsidR="001B49F6" w:rsidRPr="00FD6ABF" w:rsidRDefault="00B971A8" w:rsidP="00FB2D39">
      <w:pPr>
        <w:pStyle w:val="TOC1"/>
        <w:rPr>
          <w:rFonts w:ascii="Arial" w:eastAsiaTheme="minorEastAsia" w:hAnsi="Arial" w:cs="Arial"/>
          <w:b w:val="0"/>
          <w:noProof/>
          <w:color w:val="auto"/>
          <w:sz w:val="22"/>
          <w:szCs w:val="22"/>
          <w:lang w:val="en-CA"/>
        </w:rPr>
      </w:pPr>
      <w:hyperlink w:anchor="_Toc38818750" w:history="1">
        <w:r w:rsidR="001B49F6" w:rsidRPr="00FD6ABF">
          <w:rPr>
            <w:rStyle w:val="Hyperlink"/>
            <w:rFonts w:ascii="Arial" w:hAnsi="Arial" w:cs="Arial"/>
            <w:noProof/>
            <w:sz w:val="22"/>
            <w:szCs w:val="22"/>
          </w:rPr>
          <w:t>6.</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Study Population</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_Toc38818750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24</w:t>
        </w:r>
        <w:r w:rsidR="001B49F6" w:rsidRPr="00FD6ABF">
          <w:rPr>
            <w:rFonts w:ascii="Arial" w:hAnsi="Arial" w:cs="Arial"/>
            <w:noProof/>
            <w:webHidden/>
            <w:sz w:val="22"/>
            <w:szCs w:val="22"/>
          </w:rPr>
          <w:fldChar w:fldCharType="end"/>
        </w:r>
      </w:hyperlink>
    </w:p>
    <w:p w14:paraId="1EBB4717" w14:textId="0D5ADE4F" w:rsidR="001B49F6" w:rsidRPr="00FD6ABF" w:rsidRDefault="00B971A8" w:rsidP="00FB2D39">
      <w:pPr>
        <w:pStyle w:val="TOC2"/>
        <w:rPr>
          <w:rFonts w:ascii="Arial" w:eastAsiaTheme="minorEastAsia" w:hAnsi="Arial" w:cs="Arial"/>
          <w:noProof/>
          <w:color w:val="auto"/>
          <w:sz w:val="22"/>
          <w:szCs w:val="22"/>
          <w:lang w:val="en-CA"/>
        </w:rPr>
      </w:pPr>
      <w:hyperlink w:anchor="_Toc38818751" w:history="1">
        <w:r w:rsidR="001B49F6" w:rsidRPr="00FD6ABF">
          <w:rPr>
            <w:rStyle w:val="Hyperlink"/>
            <w:rFonts w:ascii="Arial" w:hAnsi="Arial" w:cs="Arial"/>
            <w:noProof/>
            <w:sz w:val="22"/>
            <w:szCs w:val="22"/>
          </w:rPr>
          <w:t>6.1.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Inclusion Criteria</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_Toc38818751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24</w:t>
        </w:r>
        <w:r w:rsidR="001B49F6" w:rsidRPr="00FD6ABF">
          <w:rPr>
            <w:rFonts w:ascii="Arial" w:hAnsi="Arial" w:cs="Arial"/>
            <w:noProof/>
            <w:webHidden/>
            <w:sz w:val="22"/>
            <w:szCs w:val="22"/>
          </w:rPr>
          <w:fldChar w:fldCharType="end"/>
        </w:r>
      </w:hyperlink>
    </w:p>
    <w:p w14:paraId="11A3000B" w14:textId="189A758E" w:rsidR="001B49F6" w:rsidRPr="00FD6ABF" w:rsidRDefault="00B971A8" w:rsidP="00FB2D39">
      <w:pPr>
        <w:pStyle w:val="TOC2"/>
        <w:rPr>
          <w:rFonts w:ascii="Arial" w:eastAsiaTheme="minorEastAsia" w:hAnsi="Arial" w:cs="Arial"/>
          <w:noProof/>
          <w:color w:val="auto"/>
          <w:sz w:val="22"/>
          <w:szCs w:val="22"/>
          <w:lang w:val="en-CA"/>
        </w:rPr>
      </w:pPr>
      <w:hyperlink w:anchor="_Toc38818752" w:history="1">
        <w:r w:rsidR="001B49F6" w:rsidRPr="00FD6ABF">
          <w:rPr>
            <w:rStyle w:val="Hyperlink"/>
            <w:rFonts w:ascii="Arial" w:hAnsi="Arial" w:cs="Arial"/>
            <w:noProof/>
            <w:sz w:val="22"/>
            <w:szCs w:val="22"/>
          </w:rPr>
          <w:t>6.2.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Exclusion Criteria</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_Toc38818752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25</w:t>
        </w:r>
        <w:r w:rsidR="001B49F6" w:rsidRPr="00FD6ABF">
          <w:rPr>
            <w:rFonts w:ascii="Arial" w:hAnsi="Arial" w:cs="Arial"/>
            <w:noProof/>
            <w:webHidden/>
            <w:sz w:val="22"/>
            <w:szCs w:val="22"/>
          </w:rPr>
          <w:fldChar w:fldCharType="end"/>
        </w:r>
      </w:hyperlink>
    </w:p>
    <w:p w14:paraId="354572CC" w14:textId="49239BC3" w:rsidR="001B49F6" w:rsidRPr="00FD6ABF" w:rsidRDefault="00B971A8" w:rsidP="00FB2D39">
      <w:pPr>
        <w:pStyle w:val="TOC2"/>
        <w:rPr>
          <w:rFonts w:ascii="Arial" w:eastAsiaTheme="minorEastAsia" w:hAnsi="Arial" w:cs="Arial"/>
          <w:noProof/>
          <w:color w:val="auto"/>
          <w:sz w:val="22"/>
          <w:szCs w:val="22"/>
          <w:lang w:val="en-CA"/>
        </w:rPr>
      </w:pPr>
      <w:hyperlink w:anchor="_Toc38818753" w:history="1">
        <w:r w:rsidR="001B49F6" w:rsidRPr="00FD6ABF">
          <w:rPr>
            <w:rStyle w:val="Hyperlink"/>
            <w:rFonts w:ascii="Arial" w:hAnsi="Arial" w:cs="Arial"/>
            <w:noProof/>
            <w:sz w:val="22"/>
            <w:szCs w:val="22"/>
          </w:rPr>
          <w:t>6.3.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Screen Failures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_Toc38818753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25</w:t>
        </w:r>
        <w:r w:rsidR="001B49F6" w:rsidRPr="00FD6ABF">
          <w:rPr>
            <w:rFonts w:ascii="Arial" w:hAnsi="Arial" w:cs="Arial"/>
            <w:noProof/>
            <w:webHidden/>
            <w:sz w:val="22"/>
            <w:szCs w:val="22"/>
          </w:rPr>
          <w:fldChar w:fldCharType="end"/>
        </w:r>
      </w:hyperlink>
    </w:p>
    <w:p w14:paraId="4451DCEB" w14:textId="74E69EAE" w:rsidR="001B49F6" w:rsidRPr="00FD6ABF" w:rsidRDefault="00B971A8" w:rsidP="00FB2D39">
      <w:pPr>
        <w:pStyle w:val="TOC2"/>
        <w:rPr>
          <w:rFonts w:ascii="Arial" w:eastAsiaTheme="minorEastAsia" w:hAnsi="Arial" w:cs="Arial"/>
          <w:noProof/>
          <w:color w:val="auto"/>
          <w:sz w:val="22"/>
          <w:szCs w:val="22"/>
          <w:lang w:val="en-CA"/>
        </w:rPr>
      </w:pPr>
      <w:hyperlink w:anchor="_Toc38818754" w:history="1">
        <w:r w:rsidR="001B49F6" w:rsidRPr="00FD6ABF">
          <w:rPr>
            <w:rStyle w:val="Hyperlink"/>
            <w:rFonts w:ascii="Arial" w:hAnsi="Arial" w:cs="Arial"/>
            <w:noProof/>
            <w:sz w:val="22"/>
            <w:szCs w:val="22"/>
          </w:rPr>
          <w:t>6.4.</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Recruitment</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_Toc38818754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26</w:t>
        </w:r>
        <w:r w:rsidR="001B49F6" w:rsidRPr="00FD6ABF">
          <w:rPr>
            <w:rFonts w:ascii="Arial" w:hAnsi="Arial" w:cs="Arial"/>
            <w:noProof/>
            <w:webHidden/>
            <w:sz w:val="22"/>
            <w:szCs w:val="22"/>
          </w:rPr>
          <w:fldChar w:fldCharType="end"/>
        </w:r>
      </w:hyperlink>
    </w:p>
    <w:p w14:paraId="1394F0ED" w14:textId="0976DC4A" w:rsidR="001B49F6" w:rsidRPr="00FD6ABF" w:rsidRDefault="00B971A8" w:rsidP="00FB2D39">
      <w:pPr>
        <w:pStyle w:val="TOC2"/>
        <w:rPr>
          <w:rFonts w:ascii="Arial" w:eastAsiaTheme="minorEastAsia" w:hAnsi="Arial" w:cs="Arial"/>
          <w:noProof/>
          <w:color w:val="auto"/>
          <w:sz w:val="22"/>
          <w:szCs w:val="22"/>
          <w:lang w:val="en-CA"/>
        </w:rPr>
      </w:pPr>
      <w:hyperlink w:anchor="_Toc38818755" w:history="1">
        <w:r w:rsidR="001B49F6" w:rsidRPr="00FD6ABF">
          <w:rPr>
            <w:rStyle w:val="Hyperlink"/>
            <w:rFonts w:ascii="Arial" w:hAnsi="Arial" w:cs="Arial"/>
            <w:noProof/>
            <w:sz w:val="22"/>
            <w:szCs w:val="22"/>
          </w:rPr>
          <w:t>6.5.</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Co-enrollment Guidelines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_Toc38818755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26</w:t>
        </w:r>
        <w:r w:rsidR="001B49F6" w:rsidRPr="00FD6ABF">
          <w:rPr>
            <w:rFonts w:ascii="Arial" w:hAnsi="Arial" w:cs="Arial"/>
            <w:noProof/>
            <w:webHidden/>
            <w:sz w:val="22"/>
            <w:szCs w:val="22"/>
          </w:rPr>
          <w:fldChar w:fldCharType="end"/>
        </w:r>
      </w:hyperlink>
    </w:p>
    <w:p w14:paraId="53EB677F" w14:textId="0DD944C1" w:rsidR="001B49F6" w:rsidRPr="00FD6ABF" w:rsidRDefault="00B971A8" w:rsidP="00FB2D39">
      <w:pPr>
        <w:pStyle w:val="TOC1"/>
        <w:rPr>
          <w:rFonts w:ascii="Arial" w:eastAsiaTheme="minorEastAsia" w:hAnsi="Arial" w:cs="Arial"/>
          <w:b w:val="0"/>
          <w:noProof/>
          <w:color w:val="auto"/>
          <w:sz w:val="22"/>
          <w:szCs w:val="22"/>
          <w:lang w:val="en-CA"/>
        </w:rPr>
      </w:pPr>
      <w:hyperlink w:anchor="_Toc38818756" w:history="1">
        <w:r w:rsidR="001B49F6" w:rsidRPr="00FD6ABF">
          <w:rPr>
            <w:rStyle w:val="Hyperlink"/>
            <w:rFonts w:ascii="Arial" w:hAnsi="Arial" w:cs="Arial"/>
            <w:noProof/>
            <w:sz w:val="22"/>
            <w:szCs w:val="22"/>
          </w:rPr>
          <w:t>7.</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Treatments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_Toc38818756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27</w:t>
        </w:r>
        <w:r w:rsidR="001B49F6" w:rsidRPr="00FD6ABF">
          <w:rPr>
            <w:rFonts w:ascii="Arial" w:hAnsi="Arial" w:cs="Arial"/>
            <w:noProof/>
            <w:webHidden/>
            <w:sz w:val="22"/>
            <w:szCs w:val="22"/>
          </w:rPr>
          <w:fldChar w:fldCharType="end"/>
        </w:r>
      </w:hyperlink>
    </w:p>
    <w:p w14:paraId="08EE6435" w14:textId="77879344" w:rsidR="001B49F6" w:rsidRPr="00FD6ABF" w:rsidRDefault="00B971A8" w:rsidP="00FB2D39">
      <w:pPr>
        <w:pStyle w:val="TOC2"/>
        <w:rPr>
          <w:rFonts w:ascii="Arial" w:eastAsiaTheme="minorEastAsia" w:hAnsi="Arial" w:cs="Arial"/>
          <w:noProof/>
          <w:color w:val="auto"/>
          <w:sz w:val="22"/>
          <w:szCs w:val="22"/>
          <w:lang w:val="en-CA"/>
        </w:rPr>
      </w:pPr>
      <w:hyperlink w:anchor="_Toc38818757" w:history="1">
        <w:r w:rsidR="001B49F6" w:rsidRPr="00FD6ABF">
          <w:rPr>
            <w:rStyle w:val="Hyperlink"/>
            <w:rFonts w:ascii="Arial" w:hAnsi="Arial" w:cs="Arial"/>
            <w:noProof/>
            <w:sz w:val="22"/>
            <w:szCs w:val="22"/>
          </w:rPr>
          <w:t>7.1.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Treatments Administered</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_Toc38818757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27</w:t>
        </w:r>
        <w:r w:rsidR="001B49F6" w:rsidRPr="00FD6ABF">
          <w:rPr>
            <w:rFonts w:ascii="Arial" w:hAnsi="Arial" w:cs="Arial"/>
            <w:noProof/>
            <w:webHidden/>
            <w:sz w:val="22"/>
            <w:szCs w:val="22"/>
          </w:rPr>
          <w:fldChar w:fldCharType="end"/>
        </w:r>
      </w:hyperlink>
    </w:p>
    <w:p w14:paraId="3C86FC67" w14:textId="625FD17F" w:rsidR="001B49F6" w:rsidRPr="00FD6ABF" w:rsidRDefault="00B971A8" w:rsidP="00FB2D39">
      <w:pPr>
        <w:pStyle w:val="TOC2"/>
        <w:rPr>
          <w:rFonts w:ascii="Arial" w:eastAsiaTheme="minorEastAsia" w:hAnsi="Arial" w:cs="Arial"/>
          <w:noProof/>
          <w:color w:val="auto"/>
          <w:sz w:val="22"/>
          <w:szCs w:val="22"/>
          <w:lang w:val="en-CA"/>
        </w:rPr>
      </w:pPr>
      <w:hyperlink w:anchor="_Toc38818758" w:history="1">
        <w:r w:rsidR="001B49F6" w:rsidRPr="00FD6ABF">
          <w:rPr>
            <w:rStyle w:val="Hyperlink"/>
            <w:rFonts w:ascii="Arial" w:hAnsi="Arial" w:cs="Arial"/>
            <w:noProof/>
            <w:sz w:val="22"/>
            <w:szCs w:val="22"/>
          </w:rPr>
          <w:t>7.2.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Risks to the Participants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_Toc38818758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27</w:t>
        </w:r>
        <w:r w:rsidR="001B49F6" w:rsidRPr="00FD6ABF">
          <w:rPr>
            <w:rFonts w:ascii="Arial" w:hAnsi="Arial" w:cs="Arial"/>
            <w:noProof/>
            <w:webHidden/>
            <w:sz w:val="22"/>
            <w:szCs w:val="22"/>
          </w:rPr>
          <w:fldChar w:fldCharType="end"/>
        </w:r>
      </w:hyperlink>
    </w:p>
    <w:p w14:paraId="218DC945" w14:textId="503BEBC1" w:rsidR="001B49F6" w:rsidRPr="00FD6ABF" w:rsidRDefault="00B971A8" w:rsidP="00FB2D39">
      <w:pPr>
        <w:pStyle w:val="TOC3"/>
        <w:rPr>
          <w:rFonts w:ascii="Arial" w:eastAsiaTheme="minorEastAsia" w:hAnsi="Arial" w:cs="Arial"/>
          <w:noProof/>
          <w:color w:val="auto"/>
          <w:sz w:val="22"/>
          <w:szCs w:val="22"/>
          <w:lang w:val="en-CA"/>
        </w:rPr>
      </w:pPr>
      <w:hyperlink w:anchor="_Toc38818759" w:history="1">
        <w:r w:rsidR="001B49F6" w:rsidRPr="00FD6ABF">
          <w:rPr>
            <w:rStyle w:val="Hyperlink"/>
            <w:rFonts w:ascii="Arial" w:hAnsi="Arial" w:cs="Arial"/>
            <w:noProof/>
            <w:sz w:val="22"/>
            <w:szCs w:val="22"/>
          </w:rPr>
          <w:t>7.2.1.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Risks Associated Administration with experimental therapies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_Toc38818759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27</w:t>
        </w:r>
        <w:r w:rsidR="001B49F6" w:rsidRPr="00FD6ABF">
          <w:rPr>
            <w:rFonts w:ascii="Arial" w:hAnsi="Arial" w:cs="Arial"/>
            <w:noProof/>
            <w:webHidden/>
            <w:sz w:val="22"/>
            <w:szCs w:val="22"/>
          </w:rPr>
          <w:fldChar w:fldCharType="end"/>
        </w:r>
      </w:hyperlink>
    </w:p>
    <w:p w14:paraId="576F2B57" w14:textId="6B369599" w:rsidR="001B49F6" w:rsidRPr="00FD6ABF" w:rsidRDefault="00B971A8" w:rsidP="00FB2D39">
      <w:pPr>
        <w:pStyle w:val="TOC3"/>
        <w:rPr>
          <w:rFonts w:ascii="Arial" w:eastAsiaTheme="minorEastAsia" w:hAnsi="Arial" w:cs="Arial"/>
          <w:noProof/>
          <w:color w:val="auto"/>
          <w:sz w:val="22"/>
          <w:szCs w:val="22"/>
          <w:lang w:val="en-CA"/>
        </w:rPr>
      </w:pPr>
      <w:hyperlink w:anchor="_Toc38818760" w:history="1">
        <w:r w:rsidR="001B49F6" w:rsidRPr="00FD6ABF">
          <w:rPr>
            <w:rStyle w:val="Hyperlink"/>
            <w:rFonts w:ascii="Arial" w:hAnsi="Arial" w:cs="Arial"/>
            <w:noProof/>
            <w:sz w:val="22"/>
            <w:szCs w:val="22"/>
          </w:rPr>
          <w:t>7.2.2.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Risks Associated with COVID-19 Diagnosis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_Toc38818760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28</w:t>
        </w:r>
        <w:r w:rsidR="001B49F6" w:rsidRPr="00FD6ABF">
          <w:rPr>
            <w:rFonts w:ascii="Arial" w:hAnsi="Arial" w:cs="Arial"/>
            <w:noProof/>
            <w:webHidden/>
            <w:sz w:val="22"/>
            <w:szCs w:val="22"/>
          </w:rPr>
          <w:fldChar w:fldCharType="end"/>
        </w:r>
      </w:hyperlink>
    </w:p>
    <w:p w14:paraId="5EDE8930" w14:textId="75FEBD2B" w:rsidR="001B49F6" w:rsidRPr="00FD6ABF" w:rsidRDefault="00B971A8" w:rsidP="00FB2D39">
      <w:pPr>
        <w:pStyle w:val="TOC3"/>
        <w:rPr>
          <w:rFonts w:ascii="Arial" w:eastAsiaTheme="minorEastAsia" w:hAnsi="Arial" w:cs="Arial"/>
          <w:noProof/>
          <w:color w:val="auto"/>
          <w:sz w:val="22"/>
          <w:szCs w:val="22"/>
          <w:lang w:val="en-CA"/>
        </w:rPr>
      </w:pPr>
      <w:hyperlink w:anchor="_Toc38818761" w:history="1">
        <w:r w:rsidR="001B49F6" w:rsidRPr="00FD6ABF">
          <w:rPr>
            <w:rStyle w:val="Hyperlink"/>
            <w:rFonts w:ascii="Arial" w:hAnsi="Arial" w:cs="Arial"/>
            <w:noProof/>
            <w:sz w:val="22"/>
            <w:szCs w:val="22"/>
          </w:rPr>
          <w:t>7.2.3.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Management of Participants to Limit Risks of SARS-CoV-2 Transmission</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_Toc38818761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28</w:t>
        </w:r>
        <w:r w:rsidR="001B49F6" w:rsidRPr="00FD6ABF">
          <w:rPr>
            <w:rFonts w:ascii="Arial" w:hAnsi="Arial" w:cs="Arial"/>
            <w:noProof/>
            <w:webHidden/>
            <w:sz w:val="22"/>
            <w:szCs w:val="22"/>
          </w:rPr>
          <w:fldChar w:fldCharType="end"/>
        </w:r>
      </w:hyperlink>
    </w:p>
    <w:p w14:paraId="1A41D573" w14:textId="5D50C7A3" w:rsidR="001B49F6" w:rsidRPr="00FD6ABF" w:rsidRDefault="00B971A8" w:rsidP="00FB2D39">
      <w:pPr>
        <w:pStyle w:val="TOC2"/>
        <w:rPr>
          <w:rFonts w:ascii="Arial" w:eastAsiaTheme="minorEastAsia" w:hAnsi="Arial" w:cs="Arial"/>
          <w:noProof/>
          <w:color w:val="auto"/>
          <w:sz w:val="22"/>
          <w:szCs w:val="22"/>
          <w:lang w:val="en-CA"/>
        </w:rPr>
      </w:pPr>
      <w:hyperlink w:anchor="_Toc38818762" w:history="1">
        <w:r w:rsidR="001B49F6" w:rsidRPr="00FD6ABF">
          <w:rPr>
            <w:rStyle w:val="Hyperlink"/>
            <w:rFonts w:ascii="Arial" w:hAnsi="Arial" w:cs="Arial"/>
            <w:noProof/>
            <w:sz w:val="22"/>
            <w:szCs w:val="22"/>
          </w:rPr>
          <w:t>7.3.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Dose Modification and Toxicity Management</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_Toc38818762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28</w:t>
        </w:r>
        <w:r w:rsidR="001B49F6" w:rsidRPr="00FD6ABF">
          <w:rPr>
            <w:rFonts w:ascii="Arial" w:hAnsi="Arial" w:cs="Arial"/>
            <w:noProof/>
            <w:webHidden/>
            <w:sz w:val="22"/>
            <w:szCs w:val="22"/>
          </w:rPr>
          <w:fldChar w:fldCharType="end"/>
        </w:r>
      </w:hyperlink>
    </w:p>
    <w:p w14:paraId="6AA65C8A" w14:textId="1EBEA130" w:rsidR="001B49F6" w:rsidRPr="00FD6ABF" w:rsidRDefault="00B971A8" w:rsidP="00FB2D39">
      <w:pPr>
        <w:pStyle w:val="TOC2"/>
        <w:rPr>
          <w:rFonts w:ascii="Arial" w:eastAsiaTheme="minorEastAsia" w:hAnsi="Arial" w:cs="Arial"/>
          <w:noProof/>
          <w:color w:val="auto"/>
          <w:sz w:val="22"/>
          <w:szCs w:val="22"/>
          <w:lang w:val="en-CA"/>
        </w:rPr>
      </w:pPr>
      <w:hyperlink w:anchor="_Toc38818763" w:history="1">
        <w:r w:rsidR="001B49F6" w:rsidRPr="00FD6ABF">
          <w:rPr>
            <w:rStyle w:val="Hyperlink"/>
            <w:rFonts w:ascii="Arial" w:hAnsi="Arial" w:cs="Arial"/>
            <w:noProof/>
            <w:sz w:val="22"/>
            <w:szCs w:val="22"/>
          </w:rPr>
          <w:t>7.4.</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Method of Treatment Assignment</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_Toc38818763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29</w:t>
        </w:r>
        <w:r w:rsidR="001B49F6" w:rsidRPr="00FD6ABF">
          <w:rPr>
            <w:rFonts w:ascii="Arial" w:hAnsi="Arial" w:cs="Arial"/>
            <w:noProof/>
            <w:webHidden/>
            <w:sz w:val="22"/>
            <w:szCs w:val="22"/>
          </w:rPr>
          <w:fldChar w:fldCharType="end"/>
        </w:r>
      </w:hyperlink>
    </w:p>
    <w:p w14:paraId="0B390A14" w14:textId="4BE94057" w:rsidR="001B49F6" w:rsidRPr="00FD6ABF" w:rsidRDefault="00B971A8" w:rsidP="00FB2D39">
      <w:pPr>
        <w:pStyle w:val="TOC2"/>
        <w:rPr>
          <w:rFonts w:ascii="Arial" w:eastAsiaTheme="minorEastAsia" w:hAnsi="Arial" w:cs="Arial"/>
          <w:noProof/>
          <w:color w:val="auto"/>
          <w:sz w:val="22"/>
          <w:szCs w:val="22"/>
          <w:lang w:val="en-CA"/>
        </w:rPr>
      </w:pPr>
      <w:hyperlink w:anchor="_Toc38818764" w:history="1">
        <w:r w:rsidR="001B49F6" w:rsidRPr="00FD6ABF">
          <w:rPr>
            <w:rStyle w:val="Hyperlink"/>
            <w:rFonts w:ascii="Arial" w:hAnsi="Arial" w:cs="Arial"/>
            <w:noProof/>
            <w:sz w:val="22"/>
            <w:szCs w:val="22"/>
          </w:rPr>
          <w:t>7.5.</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Blinding</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_Toc38818764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29</w:t>
        </w:r>
        <w:r w:rsidR="001B49F6" w:rsidRPr="00FD6ABF">
          <w:rPr>
            <w:rFonts w:ascii="Arial" w:hAnsi="Arial" w:cs="Arial"/>
            <w:noProof/>
            <w:webHidden/>
            <w:sz w:val="22"/>
            <w:szCs w:val="22"/>
          </w:rPr>
          <w:fldChar w:fldCharType="end"/>
        </w:r>
      </w:hyperlink>
    </w:p>
    <w:p w14:paraId="264462FB" w14:textId="4AF40554" w:rsidR="001B49F6" w:rsidRPr="00FD6ABF" w:rsidRDefault="00B971A8" w:rsidP="00FB2D39">
      <w:pPr>
        <w:pStyle w:val="TOC2"/>
        <w:rPr>
          <w:rFonts w:ascii="Arial" w:eastAsiaTheme="minorEastAsia" w:hAnsi="Arial" w:cs="Arial"/>
          <w:noProof/>
          <w:color w:val="auto"/>
          <w:sz w:val="22"/>
          <w:szCs w:val="22"/>
          <w:lang w:val="en-CA"/>
        </w:rPr>
      </w:pPr>
      <w:hyperlink w:anchor="_Toc38818765" w:history="1">
        <w:r w:rsidR="001B49F6" w:rsidRPr="00FD6ABF">
          <w:rPr>
            <w:rStyle w:val="Hyperlink"/>
            <w:rFonts w:ascii="Arial" w:hAnsi="Arial" w:cs="Arial"/>
            <w:noProof/>
            <w:sz w:val="22"/>
            <w:szCs w:val="22"/>
          </w:rPr>
          <w:t>7.6.</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Preparation/Handling/Storage/Accountability</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_Toc38818765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30</w:t>
        </w:r>
        <w:r w:rsidR="001B49F6" w:rsidRPr="00FD6ABF">
          <w:rPr>
            <w:rFonts w:ascii="Arial" w:hAnsi="Arial" w:cs="Arial"/>
            <w:noProof/>
            <w:webHidden/>
            <w:sz w:val="22"/>
            <w:szCs w:val="22"/>
          </w:rPr>
          <w:fldChar w:fldCharType="end"/>
        </w:r>
      </w:hyperlink>
    </w:p>
    <w:p w14:paraId="2895F620" w14:textId="2EAF0571" w:rsidR="001B49F6" w:rsidRPr="00FD6ABF" w:rsidRDefault="00B971A8" w:rsidP="00FB2D39">
      <w:pPr>
        <w:pStyle w:val="TOC2"/>
        <w:rPr>
          <w:rFonts w:ascii="Arial" w:eastAsiaTheme="minorEastAsia" w:hAnsi="Arial" w:cs="Arial"/>
          <w:noProof/>
          <w:color w:val="auto"/>
          <w:sz w:val="22"/>
          <w:szCs w:val="22"/>
          <w:lang w:val="en-CA"/>
        </w:rPr>
      </w:pPr>
      <w:hyperlink w:anchor="_Toc38818766" w:history="1">
        <w:r w:rsidR="001B49F6" w:rsidRPr="00FD6ABF">
          <w:rPr>
            <w:rStyle w:val="Hyperlink"/>
            <w:rFonts w:ascii="Arial" w:hAnsi="Arial" w:cs="Arial"/>
            <w:noProof/>
            <w:sz w:val="22"/>
            <w:szCs w:val="22"/>
          </w:rPr>
          <w:t>7.7.</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Treatment Compliance</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_Toc38818766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30</w:t>
        </w:r>
        <w:r w:rsidR="001B49F6" w:rsidRPr="00FD6ABF">
          <w:rPr>
            <w:rFonts w:ascii="Arial" w:hAnsi="Arial" w:cs="Arial"/>
            <w:noProof/>
            <w:webHidden/>
            <w:sz w:val="22"/>
            <w:szCs w:val="22"/>
          </w:rPr>
          <w:fldChar w:fldCharType="end"/>
        </w:r>
      </w:hyperlink>
    </w:p>
    <w:p w14:paraId="1C0FF348" w14:textId="05A0B8DA" w:rsidR="001B49F6" w:rsidRPr="00FD6ABF" w:rsidRDefault="00B971A8" w:rsidP="00FB2D39">
      <w:pPr>
        <w:pStyle w:val="TOC2"/>
        <w:rPr>
          <w:rFonts w:ascii="Arial" w:eastAsiaTheme="minorEastAsia" w:hAnsi="Arial" w:cs="Arial"/>
          <w:noProof/>
          <w:color w:val="auto"/>
          <w:sz w:val="22"/>
          <w:szCs w:val="22"/>
          <w:lang w:val="en-CA"/>
        </w:rPr>
      </w:pPr>
      <w:hyperlink w:anchor="_Toc38818767" w:history="1">
        <w:r w:rsidR="001B49F6" w:rsidRPr="00FD6ABF">
          <w:rPr>
            <w:rStyle w:val="Hyperlink"/>
            <w:rFonts w:ascii="Arial" w:hAnsi="Arial" w:cs="Arial"/>
            <w:noProof/>
            <w:sz w:val="22"/>
            <w:szCs w:val="22"/>
          </w:rPr>
          <w:t>7.8.</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Concomitant Therapy</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_Toc38818767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30</w:t>
        </w:r>
        <w:r w:rsidR="001B49F6" w:rsidRPr="00FD6ABF">
          <w:rPr>
            <w:rFonts w:ascii="Arial" w:hAnsi="Arial" w:cs="Arial"/>
            <w:noProof/>
            <w:webHidden/>
            <w:sz w:val="22"/>
            <w:szCs w:val="22"/>
          </w:rPr>
          <w:fldChar w:fldCharType="end"/>
        </w:r>
      </w:hyperlink>
    </w:p>
    <w:p w14:paraId="2AF4D9D7" w14:textId="3755DAFB" w:rsidR="001B49F6" w:rsidRPr="00FD6ABF" w:rsidRDefault="00B971A8" w:rsidP="00FB2D39">
      <w:pPr>
        <w:pStyle w:val="TOC3"/>
        <w:rPr>
          <w:rFonts w:ascii="Arial" w:eastAsiaTheme="minorEastAsia" w:hAnsi="Arial" w:cs="Arial"/>
          <w:noProof/>
          <w:color w:val="auto"/>
          <w:sz w:val="22"/>
          <w:szCs w:val="22"/>
          <w:lang w:val="en-CA"/>
        </w:rPr>
      </w:pPr>
      <w:hyperlink w:anchor="_Toc38818768" w:history="1">
        <w:r w:rsidR="001B49F6" w:rsidRPr="00FD6ABF">
          <w:rPr>
            <w:rStyle w:val="Hyperlink"/>
            <w:rFonts w:ascii="Arial" w:hAnsi="Arial" w:cs="Arial"/>
            <w:noProof/>
            <w:sz w:val="22"/>
            <w:szCs w:val="22"/>
          </w:rPr>
          <w:t>7.8.1.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Prohibited Medications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_Toc38818768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31</w:t>
        </w:r>
        <w:r w:rsidR="001B49F6" w:rsidRPr="00FD6ABF">
          <w:rPr>
            <w:rFonts w:ascii="Arial" w:hAnsi="Arial" w:cs="Arial"/>
            <w:noProof/>
            <w:webHidden/>
            <w:sz w:val="22"/>
            <w:szCs w:val="22"/>
          </w:rPr>
          <w:fldChar w:fldCharType="end"/>
        </w:r>
      </w:hyperlink>
    </w:p>
    <w:p w14:paraId="0E55C7ED" w14:textId="5349101D" w:rsidR="001B49F6" w:rsidRPr="00FD6ABF" w:rsidRDefault="00B971A8" w:rsidP="00FB2D39">
      <w:pPr>
        <w:pStyle w:val="TOC3"/>
        <w:rPr>
          <w:rFonts w:ascii="Arial" w:eastAsiaTheme="minorEastAsia" w:hAnsi="Arial" w:cs="Arial"/>
          <w:noProof/>
          <w:color w:val="auto"/>
          <w:sz w:val="22"/>
          <w:szCs w:val="22"/>
          <w:lang w:val="en-CA"/>
        </w:rPr>
      </w:pPr>
      <w:hyperlink w:anchor="_Toc38818769" w:history="1">
        <w:r w:rsidR="001B49F6" w:rsidRPr="00FD6ABF">
          <w:rPr>
            <w:rStyle w:val="Hyperlink"/>
            <w:rFonts w:ascii="Arial" w:hAnsi="Arial" w:cs="Arial"/>
            <w:noProof/>
            <w:sz w:val="22"/>
            <w:szCs w:val="22"/>
          </w:rPr>
          <w:t>7.8.2.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Precautionary Medications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_Toc38818769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31</w:t>
        </w:r>
        <w:r w:rsidR="001B49F6" w:rsidRPr="00FD6ABF">
          <w:rPr>
            <w:rFonts w:ascii="Arial" w:hAnsi="Arial" w:cs="Arial"/>
            <w:noProof/>
            <w:webHidden/>
            <w:sz w:val="22"/>
            <w:szCs w:val="22"/>
          </w:rPr>
          <w:fldChar w:fldCharType="end"/>
        </w:r>
      </w:hyperlink>
    </w:p>
    <w:p w14:paraId="0BE39921" w14:textId="00BE7563" w:rsidR="001B49F6" w:rsidRPr="00FD6ABF" w:rsidRDefault="00B971A8" w:rsidP="00FB2D39">
      <w:pPr>
        <w:pStyle w:val="TOC2"/>
        <w:rPr>
          <w:rFonts w:ascii="Arial" w:eastAsiaTheme="minorEastAsia" w:hAnsi="Arial" w:cs="Arial"/>
          <w:noProof/>
          <w:color w:val="auto"/>
          <w:sz w:val="22"/>
          <w:szCs w:val="22"/>
          <w:lang w:val="en-CA"/>
        </w:rPr>
      </w:pPr>
      <w:hyperlink w:anchor="_Toc38818770" w:history="1">
        <w:r w:rsidR="001B49F6" w:rsidRPr="00FD6ABF">
          <w:rPr>
            <w:rStyle w:val="Hyperlink"/>
            <w:rFonts w:ascii="Arial" w:hAnsi="Arial" w:cs="Arial"/>
            <w:noProof/>
            <w:sz w:val="22"/>
            <w:szCs w:val="22"/>
          </w:rPr>
          <w:t>7.9.</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Treatment After the End of the Study</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_Toc38818770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31</w:t>
        </w:r>
        <w:r w:rsidR="001B49F6" w:rsidRPr="00FD6ABF">
          <w:rPr>
            <w:rFonts w:ascii="Arial" w:hAnsi="Arial" w:cs="Arial"/>
            <w:noProof/>
            <w:webHidden/>
            <w:sz w:val="22"/>
            <w:szCs w:val="22"/>
          </w:rPr>
          <w:fldChar w:fldCharType="end"/>
        </w:r>
      </w:hyperlink>
    </w:p>
    <w:p w14:paraId="35764C26" w14:textId="2956FF04" w:rsidR="001B49F6" w:rsidRPr="00FD6ABF" w:rsidRDefault="00B971A8" w:rsidP="00FB2D39">
      <w:pPr>
        <w:pStyle w:val="TOC1"/>
        <w:rPr>
          <w:rFonts w:ascii="Arial" w:eastAsiaTheme="minorEastAsia" w:hAnsi="Arial" w:cs="Arial"/>
          <w:b w:val="0"/>
          <w:noProof/>
          <w:color w:val="auto"/>
          <w:sz w:val="22"/>
          <w:szCs w:val="22"/>
          <w:lang w:val="en-CA"/>
        </w:rPr>
      </w:pPr>
      <w:hyperlink w:anchor="_Toc38818771" w:history="1">
        <w:r w:rsidR="001B49F6" w:rsidRPr="00FD6ABF">
          <w:rPr>
            <w:rStyle w:val="Hyperlink"/>
            <w:rFonts w:ascii="Arial" w:hAnsi="Arial" w:cs="Arial"/>
            <w:noProof/>
            <w:sz w:val="22"/>
            <w:szCs w:val="22"/>
          </w:rPr>
          <w:t>8.</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Discontinuation/Withdrawal Criteria</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_Toc38818771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32</w:t>
        </w:r>
        <w:r w:rsidR="001B49F6" w:rsidRPr="00FD6ABF">
          <w:rPr>
            <w:rFonts w:ascii="Arial" w:hAnsi="Arial" w:cs="Arial"/>
            <w:noProof/>
            <w:webHidden/>
            <w:sz w:val="22"/>
            <w:szCs w:val="22"/>
          </w:rPr>
          <w:fldChar w:fldCharType="end"/>
        </w:r>
      </w:hyperlink>
    </w:p>
    <w:p w14:paraId="16541A62" w14:textId="6AD4483D" w:rsidR="001B49F6" w:rsidRPr="00FD6ABF" w:rsidRDefault="00B971A8" w:rsidP="00FB2D39">
      <w:pPr>
        <w:pStyle w:val="TOC2"/>
        <w:rPr>
          <w:rFonts w:ascii="Arial" w:eastAsiaTheme="minorEastAsia" w:hAnsi="Arial" w:cs="Arial"/>
          <w:noProof/>
          <w:color w:val="auto"/>
          <w:sz w:val="22"/>
          <w:szCs w:val="22"/>
          <w:lang w:val="en-CA"/>
        </w:rPr>
      </w:pPr>
      <w:hyperlink w:anchor="_Toc38818772" w:history="1">
        <w:r w:rsidR="001B49F6" w:rsidRPr="00FD6ABF">
          <w:rPr>
            <w:rStyle w:val="Hyperlink"/>
            <w:rFonts w:ascii="Arial" w:hAnsi="Arial" w:cs="Arial"/>
            <w:noProof/>
            <w:sz w:val="22"/>
            <w:szCs w:val="22"/>
          </w:rPr>
          <w:t>8.1.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Discontinuation of Study Treatment</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_Toc38818772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32</w:t>
        </w:r>
        <w:r w:rsidR="001B49F6" w:rsidRPr="00FD6ABF">
          <w:rPr>
            <w:rFonts w:ascii="Arial" w:hAnsi="Arial" w:cs="Arial"/>
            <w:noProof/>
            <w:webHidden/>
            <w:sz w:val="22"/>
            <w:szCs w:val="22"/>
          </w:rPr>
          <w:fldChar w:fldCharType="end"/>
        </w:r>
      </w:hyperlink>
    </w:p>
    <w:p w14:paraId="3384ED81" w14:textId="12E9B68B" w:rsidR="001B49F6" w:rsidRPr="00FD6ABF" w:rsidRDefault="00B971A8" w:rsidP="00FB2D39">
      <w:pPr>
        <w:pStyle w:val="TOC2"/>
        <w:rPr>
          <w:rFonts w:ascii="Arial" w:eastAsiaTheme="minorEastAsia" w:hAnsi="Arial" w:cs="Arial"/>
          <w:noProof/>
          <w:color w:val="auto"/>
          <w:sz w:val="22"/>
          <w:szCs w:val="22"/>
          <w:lang w:val="en-CA"/>
        </w:rPr>
      </w:pPr>
      <w:hyperlink w:anchor="_Toc38818773" w:history="1">
        <w:r w:rsidR="001B49F6" w:rsidRPr="00FD6ABF">
          <w:rPr>
            <w:rStyle w:val="Hyperlink"/>
            <w:rFonts w:ascii="Arial" w:hAnsi="Arial" w:cs="Arial"/>
            <w:noProof/>
            <w:sz w:val="22"/>
            <w:szCs w:val="22"/>
          </w:rPr>
          <w:t>8.2.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Withdrawal from the Study</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_Toc38818773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32</w:t>
        </w:r>
        <w:r w:rsidR="001B49F6" w:rsidRPr="00FD6ABF">
          <w:rPr>
            <w:rFonts w:ascii="Arial" w:hAnsi="Arial" w:cs="Arial"/>
            <w:noProof/>
            <w:webHidden/>
            <w:sz w:val="22"/>
            <w:szCs w:val="22"/>
          </w:rPr>
          <w:fldChar w:fldCharType="end"/>
        </w:r>
      </w:hyperlink>
    </w:p>
    <w:p w14:paraId="0D9847C8" w14:textId="3C36B038" w:rsidR="001B49F6" w:rsidRPr="00FD6ABF" w:rsidRDefault="00B971A8" w:rsidP="00FB2D39">
      <w:pPr>
        <w:pStyle w:val="TOC2"/>
        <w:rPr>
          <w:rFonts w:ascii="Arial" w:eastAsiaTheme="minorEastAsia" w:hAnsi="Arial" w:cs="Arial"/>
          <w:noProof/>
          <w:color w:val="auto"/>
          <w:sz w:val="22"/>
          <w:szCs w:val="22"/>
          <w:lang w:val="en-CA"/>
        </w:rPr>
      </w:pPr>
      <w:hyperlink w:anchor="_Toc38818774" w:history="1">
        <w:r w:rsidR="001B49F6" w:rsidRPr="00FD6ABF">
          <w:rPr>
            <w:rStyle w:val="Hyperlink"/>
            <w:rFonts w:ascii="Arial" w:hAnsi="Arial" w:cs="Arial"/>
            <w:noProof/>
            <w:sz w:val="22"/>
            <w:szCs w:val="22"/>
          </w:rPr>
          <w:t>8.3.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Lost to Follow-up</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_Toc38818774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32</w:t>
        </w:r>
        <w:r w:rsidR="001B49F6" w:rsidRPr="00FD6ABF">
          <w:rPr>
            <w:rFonts w:ascii="Arial" w:hAnsi="Arial" w:cs="Arial"/>
            <w:noProof/>
            <w:webHidden/>
            <w:sz w:val="22"/>
            <w:szCs w:val="22"/>
          </w:rPr>
          <w:fldChar w:fldCharType="end"/>
        </w:r>
      </w:hyperlink>
    </w:p>
    <w:p w14:paraId="260675EF" w14:textId="3B82FF46" w:rsidR="001B49F6" w:rsidRPr="00FD6ABF" w:rsidRDefault="00B971A8" w:rsidP="00FB2D39">
      <w:pPr>
        <w:pStyle w:val="TOC1"/>
        <w:rPr>
          <w:rFonts w:ascii="Arial" w:eastAsiaTheme="minorEastAsia" w:hAnsi="Arial" w:cs="Arial"/>
          <w:b w:val="0"/>
          <w:noProof/>
          <w:color w:val="auto"/>
          <w:sz w:val="22"/>
          <w:szCs w:val="22"/>
          <w:lang w:val="en-CA"/>
        </w:rPr>
      </w:pPr>
      <w:hyperlink w:anchor="_Toc38818775" w:history="1">
        <w:r w:rsidR="001B49F6" w:rsidRPr="00FD6ABF">
          <w:rPr>
            <w:rStyle w:val="Hyperlink"/>
            <w:rFonts w:ascii="Arial" w:hAnsi="Arial" w:cs="Arial"/>
            <w:noProof/>
            <w:sz w:val="22"/>
            <w:szCs w:val="22"/>
          </w:rPr>
          <w:t>9.</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bCs/>
            <w:noProof/>
            <w:sz w:val="22"/>
            <w:szCs w:val="22"/>
          </w:rPr>
          <w:t>Study Encounters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_Toc38818775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34</w:t>
        </w:r>
        <w:r w:rsidR="001B49F6" w:rsidRPr="00FD6ABF">
          <w:rPr>
            <w:rFonts w:ascii="Arial" w:hAnsi="Arial" w:cs="Arial"/>
            <w:noProof/>
            <w:webHidden/>
            <w:sz w:val="22"/>
            <w:szCs w:val="22"/>
          </w:rPr>
          <w:fldChar w:fldCharType="end"/>
        </w:r>
      </w:hyperlink>
    </w:p>
    <w:p w14:paraId="60E72717" w14:textId="24F6C9FB" w:rsidR="001B49F6" w:rsidRPr="00FD6ABF" w:rsidRDefault="00B971A8" w:rsidP="00FB2D39">
      <w:pPr>
        <w:pStyle w:val="TOC2"/>
        <w:rPr>
          <w:rFonts w:ascii="Arial" w:eastAsiaTheme="minorEastAsia" w:hAnsi="Arial" w:cs="Arial"/>
          <w:noProof/>
          <w:color w:val="auto"/>
          <w:sz w:val="22"/>
          <w:szCs w:val="22"/>
          <w:lang w:val="en-CA"/>
        </w:rPr>
      </w:pPr>
      <w:hyperlink w:anchor="_Toc38818776" w:history="1">
        <w:r w:rsidR="001B49F6" w:rsidRPr="00FD6ABF">
          <w:rPr>
            <w:rStyle w:val="Hyperlink"/>
            <w:rFonts w:ascii="Arial" w:hAnsi="Arial" w:cs="Arial"/>
            <w:noProof/>
            <w:sz w:val="22"/>
            <w:szCs w:val="22"/>
          </w:rPr>
          <w:t>9.1.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Screening/Baseline Evaluation: Day 0/1</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_Toc38818776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34</w:t>
        </w:r>
        <w:r w:rsidR="001B49F6" w:rsidRPr="00FD6ABF">
          <w:rPr>
            <w:rFonts w:ascii="Arial" w:hAnsi="Arial" w:cs="Arial"/>
            <w:noProof/>
            <w:webHidden/>
            <w:sz w:val="22"/>
            <w:szCs w:val="22"/>
          </w:rPr>
          <w:fldChar w:fldCharType="end"/>
        </w:r>
      </w:hyperlink>
    </w:p>
    <w:p w14:paraId="1ED39252" w14:textId="60D0FC1A" w:rsidR="001B49F6" w:rsidRPr="00FD6ABF" w:rsidRDefault="00B971A8" w:rsidP="00FB2D39">
      <w:pPr>
        <w:pStyle w:val="TOC2"/>
        <w:rPr>
          <w:rFonts w:ascii="Arial" w:eastAsiaTheme="minorEastAsia" w:hAnsi="Arial" w:cs="Arial"/>
          <w:noProof/>
          <w:color w:val="auto"/>
          <w:sz w:val="22"/>
          <w:szCs w:val="22"/>
          <w:lang w:val="en-CA"/>
        </w:rPr>
      </w:pPr>
      <w:hyperlink w:anchor="_Toc38818777" w:history="1">
        <w:r w:rsidR="001B49F6" w:rsidRPr="00FD6ABF">
          <w:rPr>
            <w:rStyle w:val="Hyperlink"/>
            <w:rFonts w:ascii="Arial" w:hAnsi="Arial" w:cs="Arial"/>
            <w:noProof/>
            <w:sz w:val="22"/>
            <w:szCs w:val="22"/>
          </w:rPr>
          <w:t>9.2.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Day 2 Through Day 13</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_Toc38818777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35</w:t>
        </w:r>
        <w:r w:rsidR="001B49F6" w:rsidRPr="00FD6ABF">
          <w:rPr>
            <w:rFonts w:ascii="Arial" w:hAnsi="Arial" w:cs="Arial"/>
            <w:noProof/>
            <w:webHidden/>
            <w:sz w:val="22"/>
            <w:szCs w:val="22"/>
          </w:rPr>
          <w:fldChar w:fldCharType="end"/>
        </w:r>
      </w:hyperlink>
    </w:p>
    <w:p w14:paraId="35A11C05" w14:textId="4A575ADE" w:rsidR="001B49F6" w:rsidRPr="00FD6ABF" w:rsidRDefault="00B971A8" w:rsidP="00FB2D39">
      <w:pPr>
        <w:pStyle w:val="TOC2"/>
        <w:rPr>
          <w:rFonts w:ascii="Arial" w:eastAsiaTheme="minorEastAsia" w:hAnsi="Arial" w:cs="Arial"/>
          <w:noProof/>
          <w:color w:val="auto"/>
          <w:sz w:val="22"/>
          <w:szCs w:val="22"/>
          <w:lang w:val="en-CA"/>
        </w:rPr>
      </w:pPr>
      <w:hyperlink w:anchor="_Toc38818778" w:history="1">
        <w:r w:rsidR="001B49F6" w:rsidRPr="00FD6ABF">
          <w:rPr>
            <w:rStyle w:val="Hyperlink"/>
            <w:rFonts w:ascii="Arial" w:hAnsi="Arial" w:cs="Arial"/>
            <w:noProof/>
            <w:sz w:val="22"/>
            <w:szCs w:val="22"/>
          </w:rPr>
          <w:t>9.3.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Days 3, 8 and  14 (+/-1 day)</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_Toc38818778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35</w:t>
        </w:r>
        <w:r w:rsidR="001B49F6" w:rsidRPr="00FD6ABF">
          <w:rPr>
            <w:rFonts w:ascii="Arial" w:hAnsi="Arial" w:cs="Arial"/>
            <w:noProof/>
            <w:webHidden/>
            <w:sz w:val="22"/>
            <w:szCs w:val="22"/>
          </w:rPr>
          <w:fldChar w:fldCharType="end"/>
        </w:r>
      </w:hyperlink>
    </w:p>
    <w:p w14:paraId="00BCC98E" w14:textId="749BAB5A" w:rsidR="001B49F6" w:rsidRPr="00FD6ABF" w:rsidRDefault="00B971A8" w:rsidP="00FB2D39">
      <w:pPr>
        <w:pStyle w:val="TOC2"/>
        <w:rPr>
          <w:rFonts w:ascii="Arial" w:eastAsiaTheme="minorEastAsia" w:hAnsi="Arial" w:cs="Arial"/>
          <w:noProof/>
          <w:color w:val="auto"/>
          <w:sz w:val="22"/>
          <w:szCs w:val="22"/>
          <w:lang w:val="en-CA"/>
        </w:rPr>
      </w:pPr>
      <w:hyperlink w:anchor="_Toc38818779" w:history="1">
        <w:r w:rsidR="001B49F6" w:rsidRPr="00FD6ABF">
          <w:rPr>
            <w:rStyle w:val="Hyperlink"/>
            <w:rFonts w:ascii="Arial" w:hAnsi="Arial" w:cs="Arial"/>
            <w:noProof/>
            <w:sz w:val="22"/>
            <w:szCs w:val="22"/>
          </w:rPr>
          <w:t>9.4.</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Day 14</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_Toc38818779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35</w:t>
        </w:r>
        <w:r w:rsidR="001B49F6" w:rsidRPr="00FD6ABF">
          <w:rPr>
            <w:rFonts w:ascii="Arial" w:hAnsi="Arial" w:cs="Arial"/>
            <w:noProof/>
            <w:webHidden/>
            <w:sz w:val="22"/>
            <w:szCs w:val="22"/>
          </w:rPr>
          <w:fldChar w:fldCharType="end"/>
        </w:r>
      </w:hyperlink>
    </w:p>
    <w:p w14:paraId="658D08FA" w14:textId="01135B0D" w:rsidR="001B49F6" w:rsidRPr="00FD6ABF" w:rsidRDefault="00B971A8" w:rsidP="00FB2D39">
      <w:pPr>
        <w:pStyle w:val="TOC2"/>
        <w:rPr>
          <w:rFonts w:ascii="Arial" w:eastAsiaTheme="minorEastAsia" w:hAnsi="Arial" w:cs="Arial"/>
          <w:noProof/>
          <w:color w:val="auto"/>
          <w:sz w:val="22"/>
          <w:szCs w:val="22"/>
          <w:lang w:val="en-CA"/>
        </w:rPr>
      </w:pPr>
      <w:hyperlink w:anchor="_Toc38818780" w:history="1">
        <w:r w:rsidR="001B49F6" w:rsidRPr="00FD6ABF">
          <w:rPr>
            <w:rStyle w:val="Hyperlink"/>
            <w:rFonts w:ascii="Arial" w:hAnsi="Arial" w:cs="Arial"/>
            <w:noProof/>
            <w:sz w:val="22"/>
            <w:szCs w:val="22"/>
          </w:rPr>
          <w:t>9.5.</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Optional Day 56:  DBS for antibody development</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_Toc38818780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36</w:t>
        </w:r>
        <w:r w:rsidR="001B49F6" w:rsidRPr="00FD6ABF">
          <w:rPr>
            <w:rFonts w:ascii="Arial" w:hAnsi="Arial" w:cs="Arial"/>
            <w:noProof/>
            <w:webHidden/>
            <w:sz w:val="22"/>
            <w:szCs w:val="22"/>
          </w:rPr>
          <w:fldChar w:fldCharType="end"/>
        </w:r>
      </w:hyperlink>
    </w:p>
    <w:p w14:paraId="6E9E4818" w14:textId="6E1620C8" w:rsidR="001B49F6" w:rsidRPr="00FD6ABF" w:rsidRDefault="00B971A8" w:rsidP="00FB2D39">
      <w:pPr>
        <w:pStyle w:val="TOC2"/>
        <w:rPr>
          <w:rFonts w:ascii="Arial" w:eastAsiaTheme="minorEastAsia" w:hAnsi="Arial" w:cs="Arial"/>
          <w:noProof/>
          <w:color w:val="auto"/>
          <w:sz w:val="22"/>
          <w:szCs w:val="22"/>
          <w:lang w:val="en-CA"/>
        </w:rPr>
      </w:pPr>
      <w:hyperlink w:anchor="_Toc38818781" w:history="1">
        <w:r w:rsidR="001B49F6" w:rsidRPr="00FD6ABF">
          <w:rPr>
            <w:rStyle w:val="Hyperlink"/>
            <w:rFonts w:ascii="Arial" w:hAnsi="Arial" w:cs="Arial"/>
            <w:noProof/>
            <w:sz w:val="22"/>
            <w:szCs w:val="22"/>
          </w:rPr>
          <w:t>Participant Reimbursement</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_Toc38818781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36</w:t>
        </w:r>
        <w:r w:rsidR="001B49F6" w:rsidRPr="00FD6ABF">
          <w:rPr>
            <w:rFonts w:ascii="Arial" w:hAnsi="Arial" w:cs="Arial"/>
            <w:noProof/>
            <w:webHidden/>
            <w:sz w:val="22"/>
            <w:szCs w:val="22"/>
          </w:rPr>
          <w:fldChar w:fldCharType="end"/>
        </w:r>
      </w:hyperlink>
    </w:p>
    <w:p w14:paraId="4940ADE4" w14:textId="454A3859" w:rsidR="001B49F6" w:rsidRPr="00FD6ABF" w:rsidRDefault="00B971A8" w:rsidP="00FB2D39">
      <w:pPr>
        <w:pStyle w:val="TOC1"/>
        <w:rPr>
          <w:rFonts w:ascii="Arial" w:eastAsiaTheme="minorEastAsia" w:hAnsi="Arial" w:cs="Arial"/>
          <w:b w:val="0"/>
          <w:noProof/>
          <w:color w:val="auto"/>
          <w:sz w:val="22"/>
          <w:szCs w:val="22"/>
          <w:lang w:val="en-CA"/>
        </w:rPr>
      </w:pPr>
      <w:hyperlink w:anchor="_Toc38818782" w:history="1">
        <w:r w:rsidR="001B49F6" w:rsidRPr="00FD6ABF">
          <w:rPr>
            <w:rStyle w:val="Hyperlink"/>
            <w:rFonts w:ascii="Arial" w:hAnsi="Arial" w:cs="Arial"/>
            <w:noProof/>
            <w:sz w:val="22"/>
            <w:szCs w:val="22"/>
          </w:rPr>
          <w:t>10.</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Study Assessments and Procedures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_Toc38818782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37</w:t>
        </w:r>
        <w:r w:rsidR="001B49F6" w:rsidRPr="00FD6ABF">
          <w:rPr>
            <w:rFonts w:ascii="Arial" w:hAnsi="Arial" w:cs="Arial"/>
            <w:noProof/>
            <w:webHidden/>
            <w:sz w:val="22"/>
            <w:szCs w:val="22"/>
          </w:rPr>
          <w:fldChar w:fldCharType="end"/>
        </w:r>
      </w:hyperlink>
    </w:p>
    <w:p w14:paraId="515BD054" w14:textId="408D3699" w:rsidR="001B49F6" w:rsidRPr="00FD6ABF" w:rsidRDefault="00B971A8" w:rsidP="00FB2D39">
      <w:pPr>
        <w:pStyle w:val="TOC2"/>
        <w:rPr>
          <w:rFonts w:ascii="Arial" w:eastAsiaTheme="minorEastAsia" w:hAnsi="Arial" w:cs="Arial"/>
          <w:noProof/>
          <w:color w:val="auto"/>
          <w:sz w:val="22"/>
          <w:szCs w:val="22"/>
          <w:lang w:val="en-CA"/>
        </w:rPr>
      </w:pPr>
      <w:hyperlink w:anchor="_Toc38818783" w:history="1">
        <w:r w:rsidR="001B49F6" w:rsidRPr="00FD6ABF">
          <w:rPr>
            <w:rStyle w:val="Hyperlink"/>
            <w:rFonts w:ascii="Arial" w:hAnsi="Arial" w:cs="Arial"/>
            <w:noProof/>
            <w:sz w:val="22"/>
            <w:szCs w:val="22"/>
          </w:rPr>
          <w:t>10.1.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Efficacy Assessments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_Toc38818783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37</w:t>
        </w:r>
        <w:r w:rsidR="001B49F6" w:rsidRPr="00FD6ABF">
          <w:rPr>
            <w:rFonts w:ascii="Arial" w:hAnsi="Arial" w:cs="Arial"/>
            <w:noProof/>
            <w:webHidden/>
            <w:sz w:val="22"/>
            <w:szCs w:val="22"/>
          </w:rPr>
          <w:fldChar w:fldCharType="end"/>
        </w:r>
      </w:hyperlink>
    </w:p>
    <w:p w14:paraId="4A5411D0" w14:textId="415EA38F" w:rsidR="001B49F6" w:rsidRPr="00FD6ABF" w:rsidRDefault="00B971A8" w:rsidP="00FB2D39">
      <w:pPr>
        <w:pStyle w:val="TOC3"/>
        <w:rPr>
          <w:rFonts w:ascii="Arial" w:eastAsiaTheme="minorEastAsia" w:hAnsi="Arial" w:cs="Arial"/>
          <w:noProof/>
          <w:color w:val="auto"/>
          <w:sz w:val="22"/>
          <w:szCs w:val="22"/>
          <w:lang w:val="en-CA"/>
        </w:rPr>
      </w:pPr>
      <w:hyperlink w:anchor="_Toc38818784" w:history="1">
        <w:r w:rsidR="001B49F6" w:rsidRPr="00FD6ABF">
          <w:rPr>
            <w:rStyle w:val="Hyperlink"/>
            <w:rFonts w:ascii="Arial" w:hAnsi="Arial" w:cs="Arial"/>
            <w:noProof/>
            <w:sz w:val="22"/>
            <w:szCs w:val="22"/>
          </w:rPr>
          <w:t>10.1.1.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Mid-nasal Swab</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_Toc38818784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37</w:t>
        </w:r>
        <w:r w:rsidR="001B49F6" w:rsidRPr="00FD6ABF">
          <w:rPr>
            <w:rFonts w:ascii="Arial" w:hAnsi="Arial" w:cs="Arial"/>
            <w:noProof/>
            <w:webHidden/>
            <w:sz w:val="22"/>
            <w:szCs w:val="22"/>
          </w:rPr>
          <w:fldChar w:fldCharType="end"/>
        </w:r>
      </w:hyperlink>
    </w:p>
    <w:p w14:paraId="163C369A" w14:textId="3564EF0F" w:rsidR="001B49F6" w:rsidRPr="00FD6ABF" w:rsidRDefault="00B971A8" w:rsidP="00FB2D39">
      <w:pPr>
        <w:pStyle w:val="TOC3"/>
        <w:rPr>
          <w:rFonts w:ascii="Arial" w:eastAsiaTheme="minorEastAsia" w:hAnsi="Arial" w:cs="Arial"/>
          <w:noProof/>
          <w:color w:val="auto"/>
          <w:sz w:val="22"/>
          <w:szCs w:val="22"/>
          <w:lang w:val="en-CA"/>
        </w:rPr>
      </w:pPr>
      <w:hyperlink w:anchor="_Toc38818785" w:history="1">
        <w:r w:rsidR="001B49F6" w:rsidRPr="00FD6ABF">
          <w:rPr>
            <w:rStyle w:val="Hyperlink"/>
            <w:rFonts w:ascii="Arial" w:hAnsi="Arial" w:cs="Arial"/>
            <w:noProof/>
            <w:sz w:val="22"/>
            <w:szCs w:val="22"/>
          </w:rPr>
          <w:t>10.1.2.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Participant Survey</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_Toc38818785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37</w:t>
        </w:r>
        <w:r w:rsidR="001B49F6" w:rsidRPr="00FD6ABF">
          <w:rPr>
            <w:rFonts w:ascii="Arial" w:hAnsi="Arial" w:cs="Arial"/>
            <w:noProof/>
            <w:webHidden/>
            <w:sz w:val="22"/>
            <w:szCs w:val="22"/>
          </w:rPr>
          <w:fldChar w:fldCharType="end"/>
        </w:r>
      </w:hyperlink>
    </w:p>
    <w:p w14:paraId="1F0763DA" w14:textId="76BE8673" w:rsidR="001B49F6" w:rsidRPr="00FD6ABF" w:rsidRDefault="00B971A8" w:rsidP="00FB2D39">
      <w:pPr>
        <w:pStyle w:val="TOC2"/>
        <w:rPr>
          <w:rFonts w:ascii="Arial" w:eastAsiaTheme="minorEastAsia" w:hAnsi="Arial" w:cs="Arial"/>
          <w:noProof/>
          <w:color w:val="auto"/>
          <w:sz w:val="22"/>
          <w:szCs w:val="22"/>
          <w:lang w:val="en-CA"/>
        </w:rPr>
      </w:pPr>
      <w:hyperlink w:anchor="_Toc38818786" w:history="1">
        <w:r w:rsidR="001B49F6" w:rsidRPr="00FD6ABF">
          <w:rPr>
            <w:rStyle w:val="Hyperlink"/>
            <w:rFonts w:ascii="Arial" w:hAnsi="Arial" w:cs="Arial"/>
            <w:noProof/>
            <w:sz w:val="22"/>
            <w:szCs w:val="22"/>
          </w:rPr>
          <w:t>10.2.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Adverse Events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_Toc38818786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38</w:t>
        </w:r>
        <w:r w:rsidR="001B49F6" w:rsidRPr="00FD6ABF">
          <w:rPr>
            <w:rFonts w:ascii="Arial" w:hAnsi="Arial" w:cs="Arial"/>
            <w:noProof/>
            <w:webHidden/>
            <w:sz w:val="22"/>
            <w:szCs w:val="22"/>
          </w:rPr>
          <w:fldChar w:fldCharType="end"/>
        </w:r>
      </w:hyperlink>
    </w:p>
    <w:p w14:paraId="798E549E" w14:textId="61C93F9D" w:rsidR="001B49F6" w:rsidRPr="00FD6ABF" w:rsidRDefault="00B971A8" w:rsidP="00FB2D39">
      <w:pPr>
        <w:pStyle w:val="TOC3"/>
        <w:rPr>
          <w:rFonts w:ascii="Arial" w:eastAsiaTheme="minorEastAsia" w:hAnsi="Arial" w:cs="Arial"/>
          <w:noProof/>
          <w:color w:val="auto"/>
          <w:sz w:val="22"/>
          <w:szCs w:val="22"/>
          <w:lang w:val="en-CA"/>
        </w:rPr>
      </w:pPr>
      <w:hyperlink w:anchor="_Toc38818787" w:history="1">
        <w:r w:rsidR="001B49F6" w:rsidRPr="00FD6ABF">
          <w:rPr>
            <w:rStyle w:val="Hyperlink"/>
            <w:rFonts w:ascii="Arial" w:hAnsi="Arial" w:cs="Arial"/>
            <w:noProof/>
            <w:sz w:val="22"/>
            <w:szCs w:val="22"/>
          </w:rPr>
          <w:t>10.2.1.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Serious Adverse Events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_Toc38818787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38</w:t>
        </w:r>
        <w:r w:rsidR="001B49F6" w:rsidRPr="00FD6ABF">
          <w:rPr>
            <w:rFonts w:ascii="Arial" w:hAnsi="Arial" w:cs="Arial"/>
            <w:noProof/>
            <w:webHidden/>
            <w:sz w:val="22"/>
            <w:szCs w:val="22"/>
          </w:rPr>
          <w:fldChar w:fldCharType="end"/>
        </w:r>
      </w:hyperlink>
    </w:p>
    <w:p w14:paraId="64513AF7" w14:textId="2A8E5387" w:rsidR="001B49F6" w:rsidRPr="00FD6ABF" w:rsidRDefault="00B971A8" w:rsidP="00FB2D39">
      <w:pPr>
        <w:pStyle w:val="TOC3"/>
        <w:rPr>
          <w:rFonts w:ascii="Arial" w:eastAsiaTheme="minorEastAsia" w:hAnsi="Arial" w:cs="Arial"/>
          <w:noProof/>
          <w:color w:val="auto"/>
          <w:sz w:val="22"/>
          <w:szCs w:val="22"/>
          <w:lang w:val="en-CA"/>
        </w:rPr>
      </w:pPr>
      <w:hyperlink w:anchor="_Toc38818788" w:history="1">
        <w:r w:rsidR="001B49F6" w:rsidRPr="00FD6ABF">
          <w:rPr>
            <w:rStyle w:val="Hyperlink"/>
            <w:rFonts w:ascii="Arial" w:hAnsi="Arial" w:cs="Arial"/>
            <w:noProof/>
            <w:sz w:val="22"/>
            <w:szCs w:val="22"/>
          </w:rPr>
          <w:t>10.2.2.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AE and SAE Attribution to HCQ or LPV/r</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_Toc38818788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38</w:t>
        </w:r>
        <w:r w:rsidR="001B49F6" w:rsidRPr="00FD6ABF">
          <w:rPr>
            <w:rFonts w:ascii="Arial" w:hAnsi="Arial" w:cs="Arial"/>
            <w:noProof/>
            <w:webHidden/>
            <w:sz w:val="22"/>
            <w:szCs w:val="22"/>
          </w:rPr>
          <w:fldChar w:fldCharType="end"/>
        </w:r>
      </w:hyperlink>
    </w:p>
    <w:p w14:paraId="1B500274" w14:textId="1B7CE9A3" w:rsidR="001B49F6" w:rsidRPr="00FD6ABF" w:rsidRDefault="00B971A8" w:rsidP="00FB2D39">
      <w:pPr>
        <w:pStyle w:val="TOC2"/>
        <w:rPr>
          <w:rFonts w:ascii="Arial" w:eastAsiaTheme="minorEastAsia" w:hAnsi="Arial" w:cs="Arial"/>
          <w:noProof/>
          <w:color w:val="auto"/>
          <w:sz w:val="22"/>
          <w:szCs w:val="22"/>
          <w:lang w:val="en-CA"/>
        </w:rPr>
      </w:pPr>
      <w:hyperlink w:anchor="_Toc38818789" w:history="1">
        <w:r w:rsidR="001B49F6" w:rsidRPr="00FD6ABF">
          <w:rPr>
            <w:rStyle w:val="Hyperlink"/>
            <w:rFonts w:ascii="Arial" w:hAnsi="Arial" w:cs="Arial"/>
            <w:noProof/>
            <w:sz w:val="22"/>
            <w:szCs w:val="22"/>
          </w:rPr>
          <w:t>10.3.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Treatment of Overdose</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_Toc38818789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38</w:t>
        </w:r>
        <w:r w:rsidR="001B49F6" w:rsidRPr="00FD6ABF">
          <w:rPr>
            <w:rFonts w:ascii="Arial" w:hAnsi="Arial" w:cs="Arial"/>
            <w:noProof/>
            <w:webHidden/>
            <w:sz w:val="22"/>
            <w:szCs w:val="22"/>
          </w:rPr>
          <w:fldChar w:fldCharType="end"/>
        </w:r>
      </w:hyperlink>
    </w:p>
    <w:p w14:paraId="677AE51E" w14:textId="4F1C85FE" w:rsidR="001B49F6" w:rsidRPr="00FD6ABF" w:rsidRDefault="00B971A8" w:rsidP="00FB2D39">
      <w:pPr>
        <w:pStyle w:val="TOC2"/>
        <w:rPr>
          <w:rFonts w:ascii="Arial" w:eastAsiaTheme="minorEastAsia" w:hAnsi="Arial" w:cs="Arial"/>
          <w:noProof/>
          <w:color w:val="auto"/>
          <w:sz w:val="22"/>
          <w:szCs w:val="22"/>
          <w:lang w:val="en-CA"/>
        </w:rPr>
      </w:pPr>
      <w:hyperlink w:anchor="_Toc38818790" w:history="1">
        <w:r w:rsidR="001B49F6" w:rsidRPr="00FD6ABF">
          <w:rPr>
            <w:rStyle w:val="Hyperlink"/>
            <w:rFonts w:ascii="Arial" w:hAnsi="Arial" w:cs="Arial"/>
            <w:noProof/>
            <w:sz w:val="22"/>
            <w:szCs w:val="22"/>
          </w:rPr>
          <w:t>10.4.</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Safety Assessments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_Toc38818790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38</w:t>
        </w:r>
        <w:r w:rsidR="001B49F6" w:rsidRPr="00FD6ABF">
          <w:rPr>
            <w:rFonts w:ascii="Arial" w:hAnsi="Arial" w:cs="Arial"/>
            <w:noProof/>
            <w:webHidden/>
            <w:sz w:val="22"/>
            <w:szCs w:val="22"/>
          </w:rPr>
          <w:fldChar w:fldCharType="end"/>
        </w:r>
      </w:hyperlink>
    </w:p>
    <w:p w14:paraId="70B4ACF3" w14:textId="15B54E17" w:rsidR="001B49F6" w:rsidRPr="00FD6ABF" w:rsidRDefault="00B971A8" w:rsidP="00FB2D39">
      <w:pPr>
        <w:pStyle w:val="TOC2"/>
        <w:rPr>
          <w:rFonts w:ascii="Arial" w:eastAsiaTheme="minorEastAsia" w:hAnsi="Arial" w:cs="Arial"/>
          <w:noProof/>
          <w:color w:val="auto"/>
          <w:sz w:val="22"/>
          <w:szCs w:val="22"/>
          <w:lang w:val="en-CA"/>
        </w:rPr>
      </w:pPr>
      <w:hyperlink w:anchor="_Toc38818791" w:history="1">
        <w:r w:rsidR="001B49F6" w:rsidRPr="00FD6ABF">
          <w:rPr>
            <w:rStyle w:val="Hyperlink"/>
            <w:rFonts w:ascii="Arial" w:hAnsi="Arial" w:cs="Arial"/>
            <w:noProof/>
            <w:sz w:val="22"/>
            <w:szCs w:val="22"/>
          </w:rPr>
          <w:t>10.5.</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Dried Blood Spot Optional Sub-study</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_Toc38818791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39</w:t>
        </w:r>
        <w:r w:rsidR="001B49F6" w:rsidRPr="00FD6ABF">
          <w:rPr>
            <w:rFonts w:ascii="Arial" w:hAnsi="Arial" w:cs="Arial"/>
            <w:noProof/>
            <w:webHidden/>
            <w:sz w:val="22"/>
            <w:szCs w:val="22"/>
          </w:rPr>
          <w:fldChar w:fldCharType="end"/>
        </w:r>
      </w:hyperlink>
    </w:p>
    <w:p w14:paraId="5E5BEC8C" w14:textId="6BFC7D13" w:rsidR="001B49F6" w:rsidRPr="00FD6ABF" w:rsidRDefault="00B971A8" w:rsidP="00FB2D39">
      <w:pPr>
        <w:pStyle w:val="TOC2"/>
        <w:rPr>
          <w:rFonts w:ascii="Arial" w:eastAsiaTheme="minorEastAsia" w:hAnsi="Arial" w:cs="Arial"/>
          <w:noProof/>
          <w:color w:val="auto"/>
          <w:sz w:val="22"/>
          <w:szCs w:val="22"/>
          <w:lang w:val="en-CA"/>
        </w:rPr>
      </w:pPr>
      <w:hyperlink w:anchor="_Toc38818792" w:history="1">
        <w:r w:rsidR="001B49F6" w:rsidRPr="00FD6ABF">
          <w:rPr>
            <w:rStyle w:val="Hyperlink"/>
            <w:rFonts w:ascii="Arial" w:hAnsi="Arial" w:cs="Arial"/>
            <w:noProof/>
            <w:sz w:val="22"/>
            <w:szCs w:val="22"/>
          </w:rPr>
          <w:t>10.6.</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Biohazard Containment</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_Toc38818792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40</w:t>
        </w:r>
        <w:r w:rsidR="001B49F6" w:rsidRPr="00FD6ABF">
          <w:rPr>
            <w:rFonts w:ascii="Arial" w:hAnsi="Arial" w:cs="Arial"/>
            <w:noProof/>
            <w:webHidden/>
            <w:sz w:val="22"/>
            <w:szCs w:val="22"/>
          </w:rPr>
          <w:fldChar w:fldCharType="end"/>
        </w:r>
      </w:hyperlink>
    </w:p>
    <w:p w14:paraId="078EA3E2" w14:textId="6EFA1938" w:rsidR="001B49F6" w:rsidRPr="00FD6ABF" w:rsidRDefault="00B971A8" w:rsidP="00FB2D39">
      <w:pPr>
        <w:pStyle w:val="TOC1"/>
        <w:rPr>
          <w:rFonts w:ascii="Arial" w:eastAsiaTheme="minorEastAsia" w:hAnsi="Arial" w:cs="Arial"/>
          <w:b w:val="0"/>
          <w:noProof/>
          <w:color w:val="auto"/>
          <w:sz w:val="22"/>
          <w:szCs w:val="22"/>
          <w:lang w:val="en-CA"/>
        </w:rPr>
      </w:pPr>
      <w:hyperlink w:anchor="_Toc38818793" w:history="1">
        <w:r w:rsidR="001B49F6" w:rsidRPr="00FD6ABF">
          <w:rPr>
            <w:rStyle w:val="Hyperlink"/>
            <w:rFonts w:ascii="Arial" w:hAnsi="Arial" w:cs="Arial"/>
            <w:noProof/>
            <w:sz w:val="22"/>
            <w:szCs w:val="22"/>
          </w:rPr>
          <w:t>11.</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Statistical Considerations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_Toc38818793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41</w:t>
        </w:r>
        <w:r w:rsidR="001B49F6" w:rsidRPr="00FD6ABF">
          <w:rPr>
            <w:rFonts w:ascii="Arial" w:hAnsi="Arial" w:cs="Arial"/>
            <w:noProof/>
            <w:webHidden/>
            <w:sz w:val="22"/>
            <w:szCs w:val="22"/>
          </w:rPr>
          <w:fldChar w:fldCharType="end"/>
        </w:r>
      </w:hyperlink>
    </w:p>
    <w:p w14:paraId="0631D398" w14:textId="69D7E12B" w:rsidR="001B49F6" w:rsidRPr="00FD6ABF" w:rsidRDefault="00B971A8" w:rsidP="00FB2D39">
      <w:pPr>
        <w:pStyle w:val="TOC2"/>
        <w:rPr>
          <w:rFonts w:ascii="Arial" w:eastAsiaTheme="minorEastAsia" w:hAnsi="Arial" w:cs="Arial"/>
          <w:noProof/>
          <w:color w:val="auto"/>
          <w:sz w:val="22"/>
          <w:szCs w:val="22"/>
          <w:lang w:val="en-CA"/>
        </w:rPr>
      </w:pPr>
      <w:hyperlink w:anchor="_Toc38818794" w:history="1">
        <w:r w:rsidR="001B49F6" w:rsidRPr="00FD6ABF">
          <w:rPr>
            <w:rStyle w:val="Hyperlink"/>
            <w:rFonts w:ascii="Arial" w:hAnsi="Arial" w:cs="Arial"/>
            <w:noProof/>
            <w:sz w:val="22"/>
            <w:szCs w:val="22"/>
          </w:rPr>
          <w:t>11.1.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Sample Size Determination</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_Toc38818794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41</w:t>
        </w:r>
        <w:r w:rsidR="001B49F6" w:rsidRPr="00FD6ABF">
          <w:rPr>
            <w:rFonts w:ascii="Arial" w:hAnsi="Arial" w:cs="Arial"/>
            <w:noProof/>
            <w:webHidden/>
            <w:sz w:val="22"/>
            <w:szCs w:val="22"/>
          </w:rPr>
          <w:fldChar w:fldCharType="end"/>
        </w:r>
      </w:hyperlink>
    </w:p>
    <w:p w14:paraId="408F346D" w14:textId="4E7271B4" w:rsidR="001B49F6" w:rsidRPr="00FD6ABF" w:rsidRDefault="00B971A8" w:rsidP="00FB2D39">
      <w:pPr>
        <w:pStyle w:val="TOC2"/>
        <w:rPr>
          <w:rFonts w:ascii="Arial" w:eastAsiaTheme="minorEastAsia" w:hAnsi="Arial" w:cs="Arial"/>
          <w:noProof/>
          <w:color w:val="auto"/>
          <w:sz w:val="22"/>
          <w:szCs w:val="22"/>
          <w:lang w:val="en-CA"/>
        </w:rPr>
      </w:pPr>
      <w:hyperlink w:anchor="_Toc38818795" w:history="1">
        <w:r w:rsidR="001B49F6" w:rsidRPr="00FD6ABF">
          <w:rPr>
            <w:rStyle w:val="Hyperlink"/>
            <w:rFonts w:ascii="Arial" w:hAnsi="Arial" w:cs="Arial"/>
            <w:noProof/>
            <w:sz w:val="22"/>
            <w:szCs w:val="22"/>
          </w:rPr>
          <w:t>11.2.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Populations for Analyses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_Toc38818795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42</w:t>
        </w:r>
        <w:r w:rsidR="001B49F6" w:rsidRPr="00FD6ABF">
          <w:rPr>
            <w:rFonts w:ascii="Arial" w:hAnsi="Arial" w:cs="Arial"/>
            <w:noProof/>
            <w:webHidden/>
            <w:sz w:val="22"/>
            <w:szCs w:val="22"/>
          </w:rPr>
          <w:fldChar w:fldCharType="end"/>
        </w:r>
      </w:hyperlink>
    </w:p>
    <w:p w14:paraId="50DB1B01" w14:textId="1F39FAB9" w:rsidR="001B49F6" w:rsidRPr="00FD6ABF" w:rsidRDefault="00B971A8" w:rsidP="00FB2D39">
      <w:pPr>
        <w:pStyle w:val="TOC2"/>
        <w:rPr>
          <w:rFonts w:ascii="Arial" w:eastAsiaTheme="minorEastAsia" w:hAnsi="Arial" w:cs="Arial"/>
          <w:noProof/>
          <w:color w:val="auto"/>
          <w:sz w:val="22"/>
          <w:szCs w:val="22"/>
          <w:lang w:val="en-CA"/>
        </w:rPr>
      </w:pPr>
      <w:hyperlink w:anchor="_Toc38818796" w:history="1">
        <w:r w:rsidR="001B49F6" w:rsidRPr="00FD6ABF">
          <w:rPr>
            <w:rStyle w:val="Hyperlink"/>
            <w:rFonts w:ascii="Arial" w:hAnsi="Arial" w:cs="Arial"/>
            <w:noProof/>
            <w:sz w:val="22"/>
            <w:szCs w:val="22"/>
          </w:rPr>
          <w:t>11.3.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Statistical Analyses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_Toc38818796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42</w:t>
        </w:r>
        <w:r w:rsidR="001B49F6" w:rsidRPr="00FD6ABF">
          <w:rPr>
            <w:rFonts w:ascii="Arial" w:hAnsi="Arial" w:cs="Arial"/>
            <w:noProof/>
            <w:webHidden/>
            <w:sz w:val="22"/>
            <w:szCs w:val="22"/>
          </w:rPr>
          <w:fldChar w:fldCharType="end"/>
        </w:r>
      </w:hyperlink>
    </w:p>
    <w:p w14:paraId="00A7D44D" w14:textId="4A04A7FE" w:rsidR="001B49F6" w:rsidRPr="00FD6ABF" w:rsidRDefault="00B971A8" w:rsidP="00FB2D39">
      <w:pPr>
        <w:pStyle w:val="TOC3"/>
        <w:rPr>
          <w:rFonts w:ascii="Arial" w:eastAsiaTheme="minorEastAsia" w:hAnsi="Arial" w:cs="Arial"/>
          <w:noProof/>
          <w:color w:val="auto"/>
          <w:sz w:val="22"/>
          <w:szCs w:val="22"/>
          <w:lang w:val="en-CA"/>
        </w:rPr>
      </w:pPr>
      <w:hyperlink w:anchor="_Toc38818797" w:history="1">
        <w:r w:rsidR="001B49F6" w:rsidRPr="00FD6ABF">
          <w:rPr>
            <w:rStyle w:val="Hyperlink"/>
            <w:rFonts w:ascii="Arial" w:hAnsi="Arial" w:cs="Arial"/>
            <w:noProof/>
            <w:sz w:val="22"/>
            <w:szCs w:val="22"/>
          </w:rPr>
          <w:t>11.3.1.</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Efficacy Analyses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_Toc38818797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43</w:t>
        </w:r>
        <w:r w:rsidR="001B49F6" w:rsidRPr="00FD6ABF">
          <w:rPr>
            <w:rFonts w:ascii="Arial" w:hAnsi="Arial" w:cs="Arial"/>
            <w:noProof/>
            <w:webHidden/>
            <w:sz w:val="22"/>
            <w:szCs w:val="22"/>
          </w:rPr>
          <w:fldChar w:fldCharType="end"/>
        </w:r>
      </w:hyperlink>
    </w:p>
    <w:p w14:paraId="418846C5" w14:textId="50AA85C4" w:rsidR="001B49F6" w:rsidRPr="00FD6ABF" w:rsidRDefault="00B971A8" w:rsidP="00FB2D39">
      <w:pPr>
        <w:pStyle w:val="TOC3"/>
        <w:rPr>
          <w:rFonts w:ascii="Arial" w:eastAsiaTheme="minorEastAsia" w:hAnsi="Arial" w:cs="Arial"/>
          <w:noProof/>
          <w:color w:val="auto"/>
          <w:sz w:val="22"/>
          <w:szCs w:val="22"/>
          <w:lang w:val="en-CA"/>
        </w:rPr>
      </w:pPr>
      <w:hyperlink w:anchor="_Toc38818798" w:history="1">
        <w:r w:rsidR="001B49F6" w:rsidRPr="00FD6ABF">
          <w:rPr>
            <w:rStyle w:val="Hyperlink"/>
            <w:rFonts w:ascii="Arial" w:hAnsi="Arial" w:cs="Arial"/>
            <w:noProof/>
            <w:sz w:val="22"/>
            <w:szCs w:val="22"/>
          </w:rPr>
          <w:t>11.3.2.</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Secondary endpoints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_Toc38818798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44</w:t>
        </w:r>
        <w:r w:rsidR="001B49F6" w:rsidRPr="00FD6ABF">
          <w:rPr>
            <w:rFonts w:ascii="Arial" w:hAnsi="Arial" w:cs="Arial"/>
            <w:noProof/>
            <w:webHidden/>
            <w:sz w:val="22"/>
            <w:szCs w:val="22"/>
          </w:rPr>
          <w:fldChar w:fldCharType="end"/>
        </w:r>
      </w:hyperlink>
    </w:p>
    <w:p w14:paraId="240FC145" w14:textId="2FE48287" w:rsidR="001B49F6" w:rsidRPr="00FD6ABF" w:rsidRDefault="00B971A8" w:rsidP="00FB2D39">
      <w:pPr>
        <w:pStyle w:val="TOC3"/>
        <w:rPr>
          <w:rFonts w:ascii="Arial" w:eastAsiaTheme="minorEastAsia" w:hAnsi="Arial" w:cs="Arial"/>
          <w:noProof/>
          <w:color w:val="auto"/>
          <w:sz w:val="22"/>
          <w:szCs w:val="22"/>
          <w:lang w:val="en-CA"/>
        </w:rPr>
      </w:pPr>
      <w:hyperlink w:anchor="_Toc38818799" w:history="1">
        <w:r w:rsidR="001B49F6" w:rsidRPr="00FD6ABF">
          <w:rPr>
            <w:rStyle w:val="Hyperlink"/>
            <w:rFonts w:ascii="Arial" w:hAnsi="Arial" w:cs="Arial"/>
            <w:noProof/>
            <w:sz w:val="22"/>
            <w:szCs w:val="22"/>
          </w:rPr>
          <w:t>11.3.3.</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Pharmacokinetic Analysis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_Toc38818799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45</w:t>
        </w:r>
        <w:r w:rsidR="001B49F6" w:rsidRPr="00FD6ABF">
          <w:rPr>
            <w:rFonts w:ascii="Arial" w:hAnsi="Arial" w:cs="Arial"/>
            <w:noProof/>
            <w:webHidden/>
            <w:sz w:val="22"/>
            <w:szCs w:val="22"/>
          </w:rPr>
          <w:fldChar w:fldCharType="end"/>
        </w:r>
      </w:hyperlink>
    </w:p>
    <w:p w14:paraId="0B7640DF" w14:textId="6ED541E5" w:rsidR="001B49F6" w:rsidRPr="00FD6ABF" w:rsidRDefault="00B971A8" w:rsidP="00FB2D39">
      <w:pPr>
        <w:pStyle w:val="TOC3"/>
        <w:rPr>
          <w:rFonts w:ascii="Arial" w:eastAsiaTheme="minorEastAsia" w:hAnsi="Arial" w:cs="Arial"/>
          <w:noProof/>
          <w:color w:val="auto"/>
          <w:sz w:val="22"/>
          <w:szCs w:val="22"/>
          <w:lang w:val="en-CA"/>
        </w:rPr>
      </w:pPr>
      <w:hyperlink w:anchor="_Toc38818800" w:history="1">
        <w:r w:rsidR="001B49F6" w:rsidRPr="00FD6ABF">
          <w:rPr>
            <w:rStyle w:val="Hyperlink"/>
            <w:rFonts w:ascii="Arial" w:hAnsi="Arial" w:cs="Arial"/>
            <w:noProof/>
            <w:sz w:val="22"/>
            <w:szCs w:val="22"/>
          </w:rPr>
          <w:t>11.3.4.</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Exploratory Exposure-Response Analyses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_Toc38818800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45</w:t>
        </w:r>
        <w:r w:rsidR="001B49F6" w:rsidRPr="00FD6ABF">
          <w:rPr>
            <w:rFonts w:ascii="Arial" w:hAnsi="Arial" w:cs="Arial"/>
            <w:noProof/>
            <w:webHidden/>
            <w:sz w:val="22"/>
            <w:szCs w:val="22"/>
          </w:rPr>
          <w:fldChar w:fldCharType="end"/>
        </w:r>
      </w:hyperlink>
    </w:p>
    <w:p w14:paraId="52A36574" w14:textId="48AB3A1E" w:rsidR="001B49F6" w:rsidRPr="00FD6ABF" w:rsidRDefault="00B971A8" w:rsidP="00FB2D39">
      <w:pPr>
        <w:pStyle w:val="TOC3"/>
        <w:rPr>
          <w:rFonts w:ascii="Arial" w:eastAsiaTheme="minorEastAsia" w:hAnsi="Arial" w:cs="Arial"/>
          <w:noProof/>
          <w:color w:val="auto"/>
          <w:sz w:val="22"/>
          <w:szCs w:val="22"/>
          <w:lang w:val="en-CA"/>
        </w:rPr>
      </w:pPr>
      <w:hyperlink w:anchor="_Toc38818801" w:history="1">
        <w:r w:rsidR="001B49F6" w:rsidRPr="00FD6ABF">
          <w:rPr>
            <w:rStyle w:val="Hyperlink"/>
            <w:rFonts w:ascii="Arial" w:hAnsi="Arial" w:cs="Arial"/>
            <w:noProof/>
            <w:sz w:val="22"/>
            <w:szCs w:val="22"/>
          </w:rPr>
          <w:t>11.3.5.</w:t>
        </w:r>
        <w:r w:rsidR="001B49F6" w:rsidRPr="00FD6ABF">
          <w:rPr>
            <w:rFonts w:ascii="Arial" w:eastAsiaTheme="minorEastAsia" w:hAnsi="Arial" w:cs="Arial"/>
            <w:noProof/>
            <w:color w:val="auto"/>
            <w:sz w:val="22"/>
            <w:szCs w:val="22"/>
            <w:lang w:val="en-CA"/>
          </w:rPr>
          <w:tab/>
        </w:r>
        <w:r w:rsidR="001B49F6" w:rsidRPr="00FD6ABF">
          <w:rPr>
            <w:rStyle w:val="Hyperlink"/>
            <w:rFonts w:ascii="Arial" w:hAnsi="Arial" w:cs="Arial"/>
            <w:noProof/>
            <w:sz w:val="22"/>
            <w:szCs w:val="22"/>
          </w:rPr>
          <w:t>Combined Study Analysis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_Toc38818801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45</w:t>
        </w:r>
        <w:r w:rsidR="001B49F6" w:rsidRPr="00FD6ABF">
          <w:rPr>
            <w:rFonts w:ascii="Arial" w:hAnsi="Arial" w:cs="Arial"/>
            <w:noProof/>
            <w:webHidden/>
            <w:sz w:val="22"/>
            <w:szCs w:val="22"/>
          </w:rPr>
          <w:fldChar w:fldCharType="end"/>
        </w:r>
      </w:hyperlink>
    </w:p>
    <w:p w14:paraId="6178070E" w14:textId="1A47BB12" w:rsidR="001B49F6" w:rsidRPr="00FD6ABF" w:rsidRDefault="00B971A8" w:rsidP="00FB2D39">
      <w:pPr>
        <w:pStyle w:val="TOC1"/>
        <w:rPr>
          <w:rFonts w:ascii="Arial" w:eastAsiaTheme="minorEastAsia" w:hAnsi="Arial" w:cs="Arial"/>
          <w:b w:val="0"/>
          <w:noProof/>
          <w:color w:val="auto"/>
          <w:sz w:val="22"/>
          <w:szCs w:val="22"/>
          <w:lang w:val="en-CA"/>
        </w:rPr>
      </w:pPr>
      <w:hyperlink w:anchor="_Toc38818802" w:history="1">
        <w:r w:rsidR="001B49F6" w:rsidRPr="00FD6ABF">
          <w:rPr>
            <w:rStyle w:val="Hyperlink"/>
            <w:rFonts w:ascii="Arial" w:hAnsi="Arial" w:cs="Arial"/>
            <w:noProof/>
            <w:sz w:val="22"/>
            <w:szCs w:val="22"/>
          </w:rPr>
          <w:t>12.</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References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_Toc38818802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46</w:t>
        </w:r>
        <w:r w:rsidR="001B49F6" w:rsidRPr="00FD6ABF">
          <w:rPr>
            <w:rFonts w:ascii="Arial" w:hAnsi="Arial" w:cs="Arial"/>
            <w:noProof/>
            <w:webHidden/>
            <w:sz w:val="22"/>
            <w:szCs w:val="22"/>
          </w:rPr>
          <w:fldChar w:fldCharType="end"/>
        </w:r>
      </w:hyperlink>
    </w:p>
    <w:p w14:paraId="54B37DD9" w14:textId="1F30A13A" w:rsidR="001B49F6" w:rsidRPr="00FD6ABF" w:rsidRDefault="00B971A8" w:rsidP="00FB2D39">
      <w:pPr>
        <w:pStyle w:val="TOC1"/>
        <w:rPr>
          <w:rFonts w:ascii="Arial" w:eastAsiaTheme="minorEastAsia" w:hAnsi="Arial" w:cs="Arial"/>
          <w:b w:val="0"/>
          <w:noProof/>
          <w:color w:val="auto"/>
          <w:sz w:val="22"/>
          <w:szCs w:val="22"/>
          <w:lang w:val="en-CA"/>
        </w:rPr>
      </w:pPr>
      <w:hyperlink w:anchor="_Toc38818803" w:history="1">
        <w:r w:rsidR="001B49F6" w:rsidRPr="00FD6ABF">
          <w:rPr>
            <w:rStyle w:val="Hyperlink"/>
            <w:rFonts w:ascii="Arial" w:hAnsi="Arial" w:cs="Arial"/>
            <w:noProof/>
            <w:sz w:val="22"/>
            <w:szCs w:val="22"/>
          </w:rPr>
          <w:t>13.</w:t>
        </w:r>
        <w:r w:rsidR="001B49F6" w:rsidRPr="00FD6ABF">
          <w:rPr>
            <w:rFonts w:ascii="Arial" w:eastAsiaTheme="minorEastAsia" w:hAnsi="Arial" w:cs="Arial"/>
            <w:b w:val="0"/>
            <w:noProof/>
            <w:color w:val="auto"/>
            <w:sz w:val="22"/>
            <w:szCs w:val="22"/>
            <w:lang w:val="en-CA"/>
          </w:rPr>
          <w:tab/>
        </w:r>
        <w:r w:rsidR="001B49F6" w:rsidRPr="00FD6ABF">
          <w:rPr>
            <w:rStyle w:val="Hyperlink"/>
            <w:rFonts w:ascii="Arial" w:hAnsi="Arial" w:cs="Arial"/>
            <w:noProof/>
            <w:sz w:val="22"/>
            <w:szCs w:val="22"/>
          </w:rPr>
          <w:t>Appendices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_Toc38818803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49</w:t>
        </w:r>
        <w:r w:rsidR="001B49F6" w:rsidRPr="00FD6ABF">
          <w:rPr>
            <w:rFonts w:ascii="Arial" w:hAnsi="Arial" w:cs="Arial"/>
            <w:noProof/>
            <w:webHidden/>
            <w:sz w:val="22"/>
            <w:szCs w:val="22"/>
          </w:rPr>
          <w:fldChar w:fldCharType="end"/>
        </w:r>
      </w:hyperlink>
    </w:p>
    <w:p w14:paraId="04EFDEE7" w14:textId="66441383" w:rsidR="001B49F6" w:rsidRPr="00FD6ABF" w:rsidRDefault="00B971A8" w:rsidP="00FB2D39">
      <w:pPr>
        <w:pStyle w:val="TOC2"/>
        <w:rPr>
          <w:rFonts w:ascii="Arial" w:eastAsiaTheme="minorEastAsia" w:hAnsi="Arial" w:cs="Arial"/>
          <w:noProof/>
          <w:color w:val="auto"/>
          <w:sz w:val="22"/>
          <w:szCs w:val="22"/>
          <w:lang w:val="en-CA"/>
        </w:rPr>
      </w:pPr>
      <w:hyperlink w:anchor="_Toc38818804" w:history="1">
        <w:r w:rsidR="001B49F6" w:rsidRPr="00FD6ABF">
          <w:rPr>
            <w:rStyle w:val="Hyperlink"/>
            <w:rFonts w:ascii="Arial" w:hAnsi="Arial" w:cs="Arial"/>
            <w:noProof/>
            <w:sz w:val="22"/>
            <w:szCs w:val="22"/>
          </w:rPr>
          <w:t>Appendix 1: Abbreviations and Terms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_Toc38818804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49</w:t>
        </w:r>
        <w:r w:rsidR="001B49F6" w:rsidRPr="00FD6ABF">
          <w:rPr>
            <w:rFonts w:ascii="Arial" w:hAnsi="Arial" w:cs="Arial"/>
            <w:noProof/>
            <w:webHidden/>
            <w:sz w:val="22"/>
            <w:szCs w:val="22"/>
          </w:rPr>
          <w:fldChar w:fldCharType="end"/>
        </w:r>
      </w:hyperlink>
    </w:p>
    <w:p w14:paraId="0146FB12" w14:textId="42BC7C25" w:rsidR="001B49F6" w:rsidRPr="00FD6ABF" w:rsidRDefault="00B971A8" w:rsidP="00FB2D39">
      <w:pPr>
        <w:pStyle w:val="TOC2"/>
        <w:rPr>
          <w:rFonts w:ascii="Arial" w:eastAsiaTheme="minorEastAsia" w:hAnsi="Arial" w:cs="Arial"/>
          <w:noProof/>
          <w:color w:val="auto"/>
          <w:sz w:val="22"/>
          <w:szCs w:val="22"/>
          <w:lang w:val="en-CA"/>
        </w:rPr>
      </w:pPr>
      <w:hyperlink w:anchor="_Toc38818805" w:history="1">
        <w:r w:rsidR="001B49F6" w:rsidRPr="00FD6ABF">
          <w:rPr>
            <w:rStyle w:val="Hyperlink"/>
            <w:rFonts w:ascii="Arial" w:hAnsi="Arial" w:cs="Arial"/>
            <w:noProof/>
            <w:sz w:val="22"/>
            <w:szCs w:val="22"/>
          </w:rPr>
          <w:t>Appendix 2: Protocol Structure</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_Toc38818805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51</w:t>
        </w:r>
        <w:r w:rsidR="001B49F6" w:rsidRPr="00FD6ABF">
          <w:rPr>
            <w:rFonts w:ascii="Arial" w:hAnsi="Arial" w:cs="Arial"/>
            <w:noProof/>
            <w:webHidden/>
            <w:sz w:val="22"/>
            <w:szCs w:val="22"/>
          </w:rPr>
          <w:fldChar w:fldCharType="end"/>
        </w:r>
      </w:hyperlink>
    </w:p>
    <w:p w14:paraId="1B1A8907" w14:textId="4057EE5C" w:rsidR="001B49F6" w:rsidRPr="00FD6ABF" w:rsidRDefault="00B971A8" w:rsidP="00FB2D39">
      <w:pPr>
        <w:pStyle w:val="TOC2"/>
        <w:rPr>
          <w:rFonts w:ascii="Arial" w:eastAsiaTheme="minorEastAsia" w:hAnsi="Arial" w:cs="Arial"/>
          <w:noProof/>
          <w:color w:val="auto"/>
          <w:sz w:val="22"/>
          <w:szCs w:val="22"/>
          <w:lang w:val="en-CA"/>
        </w:rPr>
      </w:pPr>
      <w:hyperlink w:anchor="_Toc38818806" w:history="1">
        <w:r w:rsidR="001B49F6" w:rsidRPr="00FD6ABF">
          <w:rPr>
            <w:rStyle w:val="Hyperlink"/>
            <w:rFonts w:ascii="Arial" w:hAnsi="Arial" w:cs="Arial"/>
            <w:noProof/>
            <w:sz w:val="22"/>
            <w:szCs w:val="22"/>
          </w:rPr>
          <w:t>Appendix 3: Study Governance Considerations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_Toc38818806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52</w:t>
        </w:r>
        <w:r w:rsidR="001B49F6" w:rsidRPr="00FD6ABF">
          <w:rPr>
            <w:rFonts w:ascii="Arial" w:hAnsi="Arial" w:cs="Arial"/>
            <w:noProof/>
            <w:webHidden/>
            <w:sz w:val="22"/>
            <w:szCs w:val="22"/>
          </w:rPr>
          <w:fldChar w:fldCharType="end"/>
        </w:r>
      </w:hyperlink>
    </w:p>
    <w:p w14:paraId="6407A0D1" w14:textId="4CE57579" w:rsidR="001B49F6" w:rsidRPr="00FD6ABF" w:rsidRDefault="00B971A8" w:rsidP="00FB2D39">
      <w:pPr>
        <w:pStyle w:val="TOC2"/>
        <w:rPr>
          <w:rFonts w:ascii="Arial" w:eastAsiaTheme="minorEastAsia" w:hAnsi="Arial" w:cs="Arial"/>
          <w:noProof/>
          <w:color w:val="auto"/>
          <w:sz w:val="22"/>
          <w:szCs w:val="22"/>
          <w:lang w:val="en-CA"/>
        </w:rPr>
      </w:pPr>
      <w:hyperlink w:anchor="_Toc38818807" w:history="1">
        <w:r w:rsidR="001B49F6" w:rsidRPr="00FD6ABF">
          <w:rPr>
            <w:rStyle w:val="Hyperlink"/>
            <w:rFonts w:ascii="Arial" w:hAnsi="Arial" w:cs="Arial"/>
            <w:noProof/>
            <w:sz w:val="22"/>
            <w:szCs w:val="22"/>
          </w:rPr>
          <w:t xml:space="preserve">Appendix 4: </w:t>
        </w:r>
        <w:r w:rsidR="001B49F6" w:rsidRPr="00FD6ABF">
          <w:rPr>
            <w:rStyle w:val="Hyperlink"/>
            <w:rFonts w:ascii="Arial" w:hAnsi="Arial" w:cs="Arial"/>
            <w:noProof/>
            <w:sz w:val="22"/>
            <w:szCs w:val="22"/>
            <w:bdr w:val="none" w:sz="0" w:space="0" w:color="auto" w:frame="1"/>
          </w:rPr>
          <w:t>Pharmacokinetic Sample Collection and Analysis</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_Toc38818807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57</w:t>
        </w:r>
        <w:r w:rsidR="001B49F6" w:rsidRPr="00FD6ABF">
          <w:rPr>
            <w:rFonts w:ascii="Arial" w:hAnsi="Arial" w:cs="Arial"/>
            <w:noProof/>
            <w:webHidden/>
            <w:sz w:val="22"/>
            <w:szCs w:val="22"/>
          </w:rPr>
          <w:fldChar w:fldCharType="end"/>
        </w:r>
      </w:hyperlink>
    </w:p>
    <w:p w14:paraId="13B15E03" w14:textId="36CE50B8" w:rsidR="001B49F6" w:rsidRPr="00FD6ABF" w:rsidRDefault="00B971A8" w:rsidP="00FB2D39">
      <w:pPr>
        <w:pStyle w:val="TOC2"/>
        <w:rPr>
          <w:rFonts w:ascii="Arial" w:eastAsiaTheme="minorEastAsia" w:hAnsi="Arial" w:cs="Arial"/>
          <w:noProof/>
          <w:color w:val="auto"/>
          <w:sz w:val="22"/>
          <w:szCs w:val="22"/>
          <w:lang w:val="en-CA"/>
        </w:rPr>
      </w:pPr>
      <w:hyperlink w:anchor="_Toc38818808" w:history="1">
        <w:r w:rsidR="001B49F6" w:rsidRPr="00FD6ABF">
          <w:rPr>
            <w:rStyle w:val="Hyperlink"/>
            <w:rFonts w:ascii="Arial" w:hAnsi="Arial" w:cs="Arial"/>
            <w:noProof/>
            <w:sz w:val="22"/>
            <w:szCs w:val="22"/>
          </w:rPr>
          <w:t>Appendix 5: Site-Specific Protocol Addendum Template</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_Toc38818808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62</w:t>
        </w:r>
        <w:r w:rsidR="001B49F6" w:rsidRPr="00FD6ABF">
          <w:rPr>
            <w:rFonts w:ascii="Arial" w:hAnsi="Arial" w:cs="Arial"/>
            <w:noProof/>
            <w:webHidden/>
            <w:sz w:val="22"/>
            <w:szCs w:val="22"/>
          </w:rPr>
          <w:fldChar w:fldCharType="end"/>
        </w:r>
      </w:hyperlink>
    </w:p>
    <w:p w14:paraId="1670606D" w14:textId="169144CA" w:rsidR="001B49F6" w:rsidRPr="00FD6ABF" w:rsidRDefault="00B971A8" w:rsidP="00FB2D39">
      <w:pPr>
        <w:pStyle w:val="TOC2"/>
        <w:rPr>
          <w:rFonts w:ascii="Arial" w:eastAsiaTheme="minorEastAsia" w:hAnsi="Arial" w:cs="Arial"/>
          <w:noProof/>
          <w:color w:val="auto"/>
          <w:sz w:val="22"/>
          <w:szCs w:val="22"/>
          <w:lang w:val="en-CA"/>
        </w:rPr>
      </w:pPr>
      <w:hyperlink w:anchor="_Toc38818809" w:history="1">
        <w:r w:rsidR="001B49F6" w:rsidRPr="00FD6ABF">
          <w:rPr>
            <w:rStyle w:val="Hyperlink"/>
            <w:rFonts w:ascii="Arial" w:hAnsi="Arial" w:cs="Arial"/>
            <w:noProof/>
            <w:sz w:val="22"/>
            <w:szCs w:val="22"/>
          </w:rPr>
          <w:t>Appendix 6: The inFLUenza Patient-Reported Outcome Instrument (Flu-PRO) – Modified for SARS-COV-2</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_Toc38818809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70</w:t>
        </w:r>
        <w:r w:rsidR="001B49F6" w:rsidRPr="00FD6ABF">
          <w:rPr>
            <w:rFonts w:ascii="Arial" w:hAnsi="Arial" w:cs="Arial"/>
            <w:noProof/>
            <w:webHidden/>
            <w:sz w:val="22"/>
            <w:szCs w:val="22"/>
          </w:rPr>
          <w:fldChar w:fldCharType="end"/>
        </w:r>
      </w:hyperlink>
    </w:p>
    <w:p w14:paraId="702FE613" w14:textId="7D42B02A" w:rsidR="001B49F6" w:rsidRPr="00FD6ABF" w:rsidRDefault="00B971A8" w:rsidP="00FB2D39">
      <w:pPr>
        <w:pStyle w:val="TOC2"/>
        <w:rPr>
          <w:rFonts w:ascii="Arial" w:eastAsiaTheme="minorEastAsia" w:hAnsi="Arial" w:cs="Arial"/>
          <w:noProof/>
          <w:color w:val="auto"/>
          <w:sz w:val="22"/>
          <w:szCs w:val="22"/>
          <w:lang w:val="en-CA"/>
        </w:rPr>
      </w:pPr>
      <w:hyperlink w:anchor="_Toc38818810" w:history="1">
        <w:r w:rsidR="001B49F6" w:rsidRPr="00FD6ABF">
          <w:rPr>
            <w:rStyle w:val="Hyperlink"/>
            <w:rFonts w:ascii="Arial" w:hAnsi="Arial" w:cs="Arial"/>
            <w:noProof/>
            <w:sz w:val="22"/>
            <w:szCs w:val="22"/>
          </w:rPr>
          <w:t>Appendix 7: WHO Ordinal Scale for Clinical Improvement</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_Toc38818810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73</w:t>
        </w:r>
        <w:r w:rsidR="001B49F6" w:rsidRPr="00FD6ABF">
          <w:rPr>
            <w:rFonts w:ascii="Arial" w:hAnsi="Arial" w:cs="Arial"/>
            <w:noProof/>
            <w:webHidden/>
            <w:sz w:val="22"/>
            <w:szCs w:val="22"/>
          </w:rPr>
          <w:fldChar w:fldCharType="end"/>
        </w:r>
      </w:hyperlink>
    </w:p>
    <w:p w14:paraId="789A54BE" w14:textId="559BD2EE" w:rsidR="001B49F6" w:rsidRPr="00FD6ABF" w:rsidRDefault="00B971A8" w:rsidP="00FB2D39">
      <w:pPr>
        <w:pStyle w:val="TOC2"/>
        <w:rPr>
          <w:rFonts w:ascii="Arial" w:eastAsiaTheme="minorEastAsia" w:hAnsi="Arial" w:cs="Arial"/>
          <w:noProof/>
          <w:color w:val="auto"/>
          <w:sz w:val="22"/>
          <w:szCs w:val="22"/>
          <w:lang w:val="en-CA"/>
        </w:rPr>
      </w:pPr>
      <w:hyperlink w:anchor="_Toc38818811" w:history="1">
        <w:r w:rsidR="001B49F6" w:rsidRPr="00FD6ABF">
          <w:rPr>
            <w:rStyle w:val="Hyperlink"/>
            <w:rFonts w:ascii="Arial" w:hAnsi="Arial" w:cs="Arial"/>
            <w:noProof/>
            <w:sz w:val="22"/>
            <w:szCs w:val="22"/>
          </w:rPr>
          <w:t>Appendix 8: Hydroxychloroquine</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_Toc38818811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74</w:t>
        </w:r>
        <w:r w:rsidR="001B49F6" w:rsidRPr="00FD6ABF">
          <w:rPr>
            <w:rFonts w:ascii="Arial" w:hAnsi="Arial" w:cs="Arial"/>
            <w:noProof/>
            <w:webHidden/>
            <w:sz w:val="22"/>
            <w:szCs w:val="22"/>
          </w:rPr>
          <w:fldChar w:fldCharType="end"/>
        </w:r>
      </w:hyperlink>
    </w:p>
    <w:p w14:paraId="53B20850" w14:textId="260575FF" w:rsidR="001B49F6" w:rsidRPr="00FD6ABF" w:rsidRDefault="00B971A8" w:rsidP="00FB2D39">
      <w:pPr>
        <w:pStyle w:val="TOC2"/>
        <w:rPr>
          <w:rFonts w:ascii="Arial" w:eastAsiaTheme="minorEastAsia" w:hAnsi="Arial" w:cs="Arial"/>
          <w:noProof/>
          <w:color w:val="auto"/>
          <w:sz w:val="22"/>
          <w:szCs w:val="22"/>
          <w:lang w:val="en-CA"/>
        </w:rPr>
      </w:pPr>
      <w:hyperlink w:anchor="_Toc38818812" w:history="1">
        <w:r w:rsidR="001B49F6" w:rsidRPr="00FD6ABF">
          <w:rPr>
            <w:rStyle w:val="Hyperlink"/>
            <w:rFonts w:ascii="Arial" w:hAnsi="Arial" w:cs="Arial"/>
            <w:noProof/>
            <w:sz w:val="22"/>
            <w:szCs w:val="22"/>
          </w:rPr>
          <w:t>Appendix 9: Lopinavir-ritonavir</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_Toc38818812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77</w:t>
        </w:r>
        <w:r w:rsidR="001B49F6" w:rsidRPr="00FD6ABF">
          <w:rPr>
            <w:rFonts w:ascii="Arial" w:hAnsi="Arial" w:cs="Arial"/>
            <w:noProof/>
            <w:webHidden/>
            <w:sz w:val="22"/>
            <w:szCs w:val="22"/>
          </w:rPr>
          <w:fldChar w:fldCharType="end"/>
        </w:r>
      </w:hyperlink>
    </w:p>
    <w:p w14:paraId="6FF5D8AD" w14:textId="2267A2F3" w:rsidR="001B49F6" w:rsidRPr="00FD6ABF" w:rsidRDefault="00B971A8" w:rsidP="00FB2D39">
      <w:pPr>
        <w:pStyle w:val="TOC2"/>
        <w:rPr>
          <w:rFonts w:ascii="Arial" w:eastAsiaTheme="minorEastAsia" w:hAnsi="Arial" w:cs="Arial"/>
          <w:noProof/>
          <w:color w:val="auto"/>
          <w:sz w:val="22"/>
          <w:szCs w:val="22"/>
          <w:lang w:val="en-CA"/>
        </w:rPr>
      </w:pPr>
      <w:hyperlink w:anchor="_Toc38818813" w:history="1">
        <w:r w:rsidR="001B49F6" w:rsidRPr="00FD6ABF">
          <w:rPr>
            <w:rStyle w:val="Hyperlink"/>
            <w:rFonts w:ascii="Arial" w:hAnsi="Arial" w:cs="Arial"/>
            <w:noProof/>
            <w:sz w:val="22"/>
            <w:szCs w:val="22"/>
          </w:rPr>
          <w:t>Appendix 10: Azithromycin</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_Toc38818813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79</w:t>
        </w:r>
        <w:r w:rsidR="001B49F6" w:rsidRPr="00FD6ABF">
          <w:rPr>
            <w:rFonts w:ascii="Arial" w:hAnsi="Arial" w:cs="Arial"/>
            <w:noProof/>
            <w:webHidden/>
            <w:sz w:val="22"/>
            <w:szCs w:val="22"/>
          </w:rPr>
          <w:fldChar w:fldCharType="end"/>
        </w:r>
      </w:hyperlink>
    </w:p>
    <w:p w14:paraId="4586491A" w14:textId="707B7FE8" w:rsidR="001B49F6" w:rsidRPr="00FD6ABF" w:rsidRDefault="00B971A8" w:rsidP="00FB2D39">
      <w:pPr>
        <w:pStyle w:val="TOC2"/>
        <w:rPr>
          <w:rFonts w:ascii="Arial" w:eastAsiaTheme="minorEastAsia" w:hAnsi="Arial" w:cs="Arial"/>
          <w:noProof/>
          <w:color w:val="auto"/>
          <w:sz w:val="22"/>
          <w:szCs w:val="22"/>
          <w:lang w:val="en-CA"/>
        </w:rPr>
      </w:pPr>
      <w:hyperlink w:anchor="_Toc38818814" w:history="1">
        <w:r w:rsidR="001B49F6" w:rsidRPr="00FD6ABF">
          <w:rPr>
            <w:rStyle w:val="Hyperlink"/>
            <w:rFonts w:ascii="Arial" w:hAnsi="Arial" w:cs="Arial"/>
            <w:noProof/>
            <w:sz w:val="22"/>
            <w:szCs w:val="22"/>
          </w:rPr>
          <w:t>Appendix 11: Experimental intervention</w:t>
        </w:r>
        <w:r w:rsidR="001B49F6" w:rsidRPr="00FD6ABF">
          <w:rPr>
            <w:rFonts w:ascii="Arial" w:hAnsi="Arial" w:cs="Arial"/>
            <w:noProof/>
            <w:webHidden/>
            <w:sz w:val="22"/>
            <w:szCs w:val="22"/>
          </w:rPr>
          <w:tab/>
        </w:r>
        <w:r w:rsidR="001B49F6" w:rsidRPr="00FD6ABF">
          <w:rPr>
            <w:rFonts w:ascii="Arial" w:hAnsi="Arial" w:cs="Arial"/>
            <w:noProof/>
            <w:webHidden/>
            <w:sz w:val="22"/>
            <w:szCs w:val="22"/>
          </w:rPr>
          <w:fldChar w:fldCharType="begin"/>
        </w:r>
        <w:r w:rsidR="001B49F6" w:rsidRPr="00FD6ABF">
          <w:rPr>
            <w:rFonts w:ascii="Arial" w:hAnsi="Arial" w:cs="Arial"/>
            <w:noProof/>
            <w:webHidden/>
            <w:sz w:val="22"/>
            <w:szCs w:val="22"/>
          </w:rPr>
          <w:instrText xml:space="preserve"> PAGEREF _Toc38818814 \h </w:instrText>
        </w:r>
        <w:r w:rsidR="001B49F6" w:rsidRPr="00FD6ABF">
          <w:rPr>
            <w:rFonts w:ascii="Arial" w:hAnsi="Arial" w:cs="Arial"/>
            <w:noProof/>
            <w:webHidden/>
            <w:sz w:val="22"/>
            <w:szCs w:val="22"/>
          </w:rPr>
        </w:r>
        <w:r w:rsidR="001B49F6" w:rsidRPr="00FD6ABF">
          <w:rPr>
            <w:rFonts w:ascii="Arial" w:hAnsi="Arial" w:cs="Arial"/>
            <w:noProof/>
            <w:webHidden/>
            <w:sz w:val="22"/>
            <w:szCs w:val="22"/>
          </w:rPr>
          <w:fldChar w:fldCharType="separate"/>
        </w:r>
        <w:r w:rsidR="001B49F6" w:rsidRPr="00FD6ABF">
          <w:rPr>
            <w:rFonts w:ascii="Arial" w:hAnsi="Arial" w:cs="Arial"/>
            <w:noProof/>
            <w:webHidden/>
            <w:sz w:val="22"/>
            <w:szCs w:val="22"/>
          </w:rPr>
          <w:t>82</w:t>
        </w:r>
        <w:r w:rsidR="001B49F6" w:rsidRPr="00FD6ABF">
          <w:rPr>
            <w:rFonts w:ascii="Arial" w:hAnsi="Arial" w:cs="Arial"/>
            <w:noProof/>
            <w:webHidden/>
            <w:sz w:val="22"/>
            <w:szCs w:val="22"/>
          </w:rPr>
          <w:fldChar w:fldCharType="end"/>
        </w:r>
      </w:hyperlink>
    </w:p>
    <w:p w14:paraId="7C9EE8B0" w14:textId="2AC30A8A" w:rsidR="00381D18" w:rsidRPr="00FD6ABF" w:rsidRDefault="00FC4C3A" w:rsidP="00FB2D39">
      <w:pPr>
        <w:pStyle w:val="TOC2"/>
        <w:rPr>
          <w:rFonts w:ascii="Arial" w:hAnsi="Arial" w:cs="Arial"/>
          <w:color w:val="000000" w:themeColor="text1"/>
          <w:sz w:val="22"/>
          <w:szCs w:val="22"/>
        </w:rPr>
      </w:pPr>
      <w:r w:rsidRPr="00FD6ABF">
        <w:rPr>
          <w:rFonts w:ascii="Arial" w:hAnsi="Arial" w:cs="Arial"/>
          <w:b/>
          <w:color w:val="000000" w:themeColor="text1"/>
          <w:sz w:val="22"/>
          <w:szCs w:val="22"/>
        </w:rPr>
        <w:fldChar w:fldCharType="end"/>
      </w:r>
    </w:p>
    <w:p w14:paraId="775198ED" w14:textId="6EB46F88" w:rsidR="00381D18" w:rsidRPr="00FD6ABF" w:rsidRDefault="00FC4C3A" w:rsidP="00FB2D39">
      <w:pPr>
        <w:pStyle w:val="Heading1"/>
        <w:rPr>
          <w:rFonts w:ascii="Arial" w:hAnsi="Arial" w:cs="Arial"/>
          <w:sz w:val="22"/>
        </w:rPr>
      </w:pPr>
      <w:bookmarkStart w:id="1" w:name="_Toc38818733"/>
      <w:r w:rsidRPr="00FD6ABF">
        <w:rPr>
          <w:rFonts w:ascii="Arial" w:hAnsi="Arial" w:cs="Arial"/>
          <w:sz w:val="22"/>
        </w:rPr>
        <w:lastRenderedPageBreak/>
        <w:t>Synopsis</w:t>
      </w:r>
      <w:bookmarkEnd w:id="1"/>
    </w:p>
    <w:p w14:paraId="41A2D7A6" w14:textId="0884BDF8" w:rsidR="00426A03" w:rsidRPr="00FD6ABF" w:rsidRDefault="00426A03" w:rsidP="00FB2D39">
      <w:pPr>
        <w:pStyle w:val="HeadingNoTOC"/>
        <w:jc w:val="both"/>
        <w:rPr>
          <w:rFonts w:ascii="Arial" w:hAnsi="Arial" w:cs="Arial"/>
          <w:sz w:val="22"/>
          <w:szCs w:val="22"/>
        </w:rPr>
      </w:pPr>
      <w:bookmarkStart w:id="2" w:name="_Toc395884735"/>
      <w:r w:rsidRPr="00FD6ABF">
        <w:rPr>
          <w:rFonts w:ascii="Arial" w:hAnsi="Arial" w:cs="Arial"/>
          <w:sz w:val="22"/>
          <w:szCs w:val="22"/>
        </w:rPr>
        <w:t>Expanded Title:</w:t>
      </w:r>
    </w:p>
    <w:p w14:paraId="5BE9C26E" w14:textId="1C76EB85" w:rsidR="00E20D1B" w:rsidRPr="00C66BD6" w:rsidRDefault="00E20D1B" w:rsidP="00FB2D39">
      <w:pPr>
        <w:jc w:val="both"/>
        <w:rPr>
          <w:rFonts w:ascii="Arial" w:hAnsi="Arial" w:cs="Arial"/>
          <w:i/>
          <w:iCs/>
          <w:sz w:val="22"/>
          <w:szCs w:val="22"/>
        </w:rPr>
      </w:pPr>
      <w:r w:rsidRPr="00FD6ABF">
        <w:rPr>
          <w:rFonts w:ascii="Arial" w:hAnsi="Arial" w:cs="Arial"/>
          <w:b/>
          <w:bCs/>
          <w:sz w:val="22"/>
          <w:szCs w:val="22"/>
        </w:rPr>
        <w:t xml:space="preserve">TOGETHER Trial: </w:t>
      </w:r>
      <w:r w:rsidRPr="00FD6ABF">
        <w:rPr>
          <w:rFonts w:ascii="Arial" w:hAnsi="Arial" w:cs="Arial"/>
          <w:sz w:val="22"/>
          <w:szCs w:val="22"/>
        </w:rPr>
        <w:t>An Adaptive Randomized Platform Trial to Investigate the Efficacy of Novel Agents for Treatment of SARS-CoV-2 Infection Among High-Risk Outpatient Adult</w:t>
      </w:r>
      <w:r w:rsidR="00BF570A">
        <w:rPr>
          <w:rFonts w:ascii="Arial" w:hAnsi="Arial" w:cs="Arial"/>
          <w:sz w:val="22"/>
          <w:szCs w:val="22"/>
        </w:rPr>
        <w:t>s in LMICs</w:t>
      </w:r>
    </w:p>
    <w:p w14:paraId="3DDBA863" w14:textId="77777777" w:rsidR="00426A03" w:rsidRPr="00FD6ABF" w:rsidRDefault="00426A03" w:rsidP="00FB2D39">
      <w:pPr>
        <w:pStyle w:val="HeadingNoTOC"/>
        <w:jc w:val="both"/>
        <w:rPr>
          <w:rFonts w:ascii="Arial" w:hAnsi="Arial" w:cs="Arial"/>
          <w:sz w:val="22"/>
          <w:szCs w:val="22"/>
        </w:rPr>
      </w:pPr>
      <w:r w:rsidRPr="00FD6ABF">
        <w:rPr>
          <w:rFonts w:ascii="Arial" w:hAnsi="Arial" w:cs="Arial"/>
          <w:sz w:val="22"/>
          <w:szCs w:val="22"/>
        </w:rPr>
        <w:t>Short Title:</w:t>
      </w:r>
    </w:p>
    <w:p w14:paraId="4CC598CF" w14:textId="014AB2AA" w:rsidR="000061B7" w:rsidRPr="00FD6ABF" w:rsidRDefault="00A77308" w:rsidP="00FB2D39">
      <w:pPr>
        <w:jc w:val="both"/>
        <w:rPr>
          <w:rFonts w:ascii="Arial" w:hAnsi="Arial" w:cs="Arial"/>
          <w:sz w:val="22"/>
          <w:szCs w:val="22"/>
        </w:rPr>
      </w:pPr>
      <w:r w:rsidRPr="00FD6ABF">
        <w:rPr>
          <w:rFonts w:ascii="Arial" w:hAnsi="Arial" w:cs="Arial"/>
          <w:sz w:val="22"/>
          <w:szCs w:val="22"/>
        </w:rPr>
        <w:t xml:space="preserve">Outpatient Management of </w:t>
      </w:r>
      <w:r w:rsidR="000061B7" w:rsidRPr="00FD6ABF">
        <w:rPr>
          <w:rFonts w:ascii="Arial" w:hAnsi="Arial" w:cs="Arial"/>
          <w:sz w:val="22"/>
          <w:szCs w:val="22"/>
        </w:rPr>
        <w:t>High</w:t>
      </w:r>
      <w:r w:rsidR="005503DB" w:rsidRPr="00FD6ABF">
        <w:rPr>
          <w:rFonts w:ascii="Arial" w:hAnsi="Arial" w:cs="Arial"/>
          <w:sz w:val="22"/>
          <w:szCs w:val="22"/>
        </w:rPr>
        <w:t>-</w:t>
      </w:r>
      <w:r w:rsidR="000061B7" w:rsidRPr="00FD6ABF">
        <w:rPr>
          <w:rFonts w:ascii="Arial" w:hAnsi="Arial" w:cs="Arial"/>
          <w:sz w:val="22"/>
          <w:szCs w:val="22"/>
        </w:rPr>
        <w:t>Risk Adult</w:t>
      </w:r>
      <w:r w:rsidR="006A1DCB" w:rsidRPr="00FD6ABF">
        <w:rPr>
          <w:rFonts w:ascii="Arial" w:hAnsi="Arial" w:cs="Arial"/>
          <w:sz w:val="22"/>
          <w:szCs w:val="22"/>
        </w:rPr>
        <w:t xml:space="preserve">s </w:t>
      </w:r>
      <w:r w:rsidR="00D57271" w:rsidRPr="00FD6ABF">
        <w:rPr>
          <w:rFonts w:ascii="Arial" w:hAnsi="Arial" w:cs="Arial"/>
          <w:sz w:val="22"/>
          <w:szCs w:val="22"/>
        </w:rPr>
        <w:t>with SARS-CoV-2</w:t>
      </w:r>
    </w:p>
    <w:bookmarkEnd w:id="2"/>
    <w:p w14:paraId="6D871FF9" w14:textId="77777777" w:rsidR="00F554D1" w:rsidRPr="00FD6ABF" w:rsidRDefault="00F554D1" w:rsidP="00FB2D39">
      <w:pPr>
        <w:pStyle w:val="HeadingNoTOC"/>
        <w:jc w:val="both"/>
        <w:rPr>
          <w:rFonts w:ascii="Arial" w:hAnsi="Arial" w:cs="Arial"/>
          <w:sz w:val="22"/>
          <w:szCs w:val="22"/>
        </w:rPr>
      </w:pPr>
      <w:r w:rsidRPr="00FD6ABF">
        <w:rPr>
          <w:rFonts w:ascii="Arial" w:hAnsi="Arial" w:cs="Arial"/>
          <w:sz w:val="22"/>
          <w:szCs w:val="22"/>
        </w:rPr>
        <w:t>Rationale:</w:t>
      </w:r>
    </w:p>
    <w:p w14:paraId="3D0372C2" w14:textId="77777777" w:rsidR="00BF570A" w:rsidRDefault="005503DB" w:rsidP="00FB2D39">
      <w:pPr>
        <w:jc w:val="both"/>
        <w:rPr>
          <w:rFonts w:ascii="Arial" w:hAnsi="Arial" w:cs="Arial"/>
          <w:sz w:val="22"/>
          <w:szCs w:val="22"/>
        </w:rPr>
      </w:pPr>
      <w:r w:rsidRPr="00FD6ABF">
        <w:rPr>
          <w:rFonts w:ascii="Arial" w:hAnsi="Arial" w:cs="Arial"/>
          <w:sz w:val="22"/>
          <w:szCs w:val="22"/>
        </w:rPr>
        <w:t>Despite the fact that most hospitals are already overwhelmed and hospitalization will not be feasible even for severe COVID-19 cases in most of low- and middle-income countries (LMICs), the majority of current clinical trials is taking place in hospital settings and in high-income countries (HICs) (</w:t>
      </w:r>
      <w:hyperlink r:id="rId22" w:history="1">
        <w:r w:rsidRPr="00FD6ABF">
          <w:rPr>
            <w:rStyle w:val="Hyperlink"/>
            <w:rFonts w:ascii="Arial" w:eastAsia="MS Gothic" w:hAnsi="Arial" w:cs="Arial"/>
            <w:sz w:val="22"/>
            <w:szCs w:val="22"/>
          </w:rPr>
          <w:t>www.covid19-trials.org</w:t>
        </w:r>
      </w:hyperlink>
      <w:r w:rsidRPr="00FD6ABF">
        <w:rPr>
          <w:rFonts w:ascii="Arial" w:hAnsi="Arial" w:cs="Arial"/>
          <w:sz w:val="22"/>
          <w:szCs w:val="22"/>
        </w:rPr>
        <w:t xml:space="preserve">). Many of these trials are also excluding marginalized population groups such as people living with HIV (PLHIV) and people with active or latent tuberculosis (TB) who are key populations of interest for LMICs. The burden of HIV and TB in LMICs is generally much higher than in HICs. For instance, the prevalence of HIV in LMICs is generally much higher with 13% HIV prevalence in South Africa and 0.5% in Brazil (UNAIDS, 2018). The incidence of TB in South Africa is 520 per 100,000 and 45 cases per 100,000 in Brazil (WHO, Global TB Report 2019). </w:t>
      </w:r>
    </w:p>
    <w:p w14:paraId="2FE75961" w14:textId="77777777" w:rsidR="00BF570A" w:rsidRDefault="00BF570A" w:rsidP="00FB2D39">
      <w:pPr>
        <w:jc w:val="both"/>
        <w:rPr>
          <w:rFonts w:ascii="Arial" w:hAnsi="Arial" w:cs="Arial"/>
          <w:sz w:val="22"/>
          <w:szCs w:val="22"/>
        </w:rPr>
      </w:pPr>
    </w:p>
    <w:p w14:paraId="1929B21F" w14:textId="48564023" w:rsidR="005503DB" w:rsidRPr="00FD6ABF" w:rsidRDefault="005503DB" w:rsidP="00FB2D39">
      <w:pPr>
        <w:jc w:val="both"/>
        <w:rPr>
          <w:rFonts w:ascii="Arial" w:hAnsi="Arial" w:cs="Arial"/>
          <w:sz w:val="22"/>
          <w:szCs w:val="22"/>
        </w:rPr>
      </w:pPr>
      <w:r w:rsidRPr="00FD6ABF">
        <w:rPr>
          <w:rFonts w:ascii="Arial" w:hAnsi="Arial" w:cs="Arial"/>
          <w:sz w:val="22"/>
          <w:szCs w:val="22"/>
        </w:rPr>
        <w:t xml:space="preserve">There is a need to immediately start the clinical investigation of outpatient strategies in these resource-limited regions that are inclusive of these marginalized groups. </w:t>
      </w:r>
    </w:p>
    <w:p w14:paraId="7D9BA49D" w14:textId="3E12DE42" w:rsidR="0075611D" w:rsidRPr="00FD6ABF" w:rsidRDefault="005503DB" w:rsidP="00FB2D39">
      <w:pPr>
        <w:pStyle w:val="TblFootnote"/>
        <w:tabs>
          <w:tab w:val="clear" w:pos="259"/>
          <w:tab w:val="left" w:pos="0"/>
        </w:tabs>
        <w:ind w:left="0" w:firstLine="0"/>
        <w:rPr>
          <w:rFonts w:ascii="Arial" w:hAnsi="Arial" w:cs="Arial"/>
          <w:sz w:val="22"/>
          <w:szCs w:val="22"/>
        </w:rPr>
      </w:pPr>
      <w:r w:rsidRPr="00FD6ABF">
        <w:rPr>
          <w:rFonts w:ascii="Arial" w:hAnsi="Arial" w:cs="Arial"/>
          <w:sz w:val="22"/>
          <w:szCs w:val="22"/>
        </w:rPr>
        <w:t xml:space="preserve">This protocol is for an adaptive platform trial for the treatment of high-risk adults with </w:t>
      </w:r>
      <w:r w:rsidR="00C33305" w:rsidRPr="00881BB0">
        <w:rPr>
          <w:rFonts w:ascii="Arial" w:hAnsi="Arial" w:cs="Arial"/>
          <w:sz w:val="22"/>
          <w:szCs w:val="22"/>
        </w:rPr>
        <w:t>severe acute res</w:t>
      </w:r>
      <w:r w:rsidR="00C33305">
        <w:rPr>
          <w:rFonts w:ascii="Arial" w:hAnsi="Arial" w:cs="Arial"/>
          <w:sz w:val="22"/>
          <w:szCs w:val="22"/>
        </w:rPr>
        <w:t>piratory syndrome coronavirus 2 (</w:t>
      </w:r>
      <w:r w:rsidRPr="00FD6ABF">
        <w:rPr>
          <w:rFonts w:ascii="Arial" w:hAnsi="Arial" w:cs="Arial"/>
          <w:sz w:val="22"/>
          <w:szCs w:val="22"/>
        </w:rPr>
        <w:t>SARS-CoV-2</w:t>
      </w:r>
      <w:r w:rsidR="00C33305">
        <w:rPr>
          <w:rFonts w:ascii="Arial" w:hAnsi="Arial" w:cs="Arial"/>
          <w:sz w:val="22"/>
          <w:szCs w:val="22"/>
        </w:rPr>
        <w:t>)</w:t>
      </w:r>
      <w:r w:rsidRPr="00FD6ABF">
        <w:rPr>
          <w:rFonts w:ascii="Arial" w:hAnsi="Arial" w:cs="Arial"/>
          <w:sz w:val="22"/>
          <w:szCs w:val="22"/>
        </w:rPr>
        <w:t xml:space="preserve"> infection not requiring hospital admission for Brazil and South Africa, hereafter referred to as TOGETHER 2 and TOGETHER 3, respectively. This proposal builds on an US-based adaptive platform trial for high-risk SARS-CoV-2 adult outpatients (hereafter referred to as TOGETHER 1). </w:t>
      </w:r>
    </w:p>
    <w:p w14:paraId="6FA30D13" w14:textId="6BD138BF" w:rsidR="005503DB" w:rsidRPr="00E84A2A" w:rsidRDefault="005503DB" w:rsidP="00FB2D39">
      <w:pPr>
        <w:jc w:val="both"/>
        <w:rPr>
          <w:rFonts w:ascii="Arial" w:hAnsi="Arial" w:cs="Arial"/>
          <w:sz w:val="22"/>
          <w:szCs w:val="22"/>
        </w:rPr>
      </w:pPr>
      <w:r w:rsidRPr="00FD6ABF">
        <w:rPr>
          <w:rFonts w:ascii="Arial" w:hAnsi="Arial" w:cs="Arial"/>
          <w:sz w:val="22"/>
          <w:szCs w:val="22"/>
        </w:rPr>
        <w:t xml:space="preserve">The primary research question is to the efficacy of experimental interventions to prevent LRTI among persons with SARS-CoV2 infection who are at high risk of progression. </w:t>
      </w:r>
      <w:r w:rsidRPr="00FD6ABF">
        <w:rPr>
          <w:rFonts w:ascii="Arial" w:hAnsi="Arial" w:cs="Arial"/>
          <w:iCs/>
          <w:kern w:val="28"/>
          <w:sz w:val="22"/>
          <w:szCs w:val="22"/>
          <w:lang w:val="en-GB"/>
        </w:rPr>
        <w:t>The</w:t>
      </w:r>
      <w:r w:rsidRPr="00FD6ABF">
        <w:rPr>
          <w:rFonts w:ascii="Arial" w:hAnsi="Arial" w:cs="Arial"/>
          <w:sz w:val="22"/>
          <w:szCs w:val="22"/>
        </w:rPr>
        <w:t xml:space="preserve"> primary outcomes of trial will include progression to LRTI, defined by SpO</w:t>
      </w:r>
      <w:r w:rsidRPr="00E84A2A">
        <w:rPr>
          <w:rFonts w:ascii="Arial" w:hAnsi="Arial" w:cs="Arial"/>
          <w:sz w:val="22"/>
          <w:szCs w:val="22"/>
          <w:vertAlign w:val="subscript"/>
        </w:rPr>
        <w:t>2</w:t>
      </w:r>
      <w:r w:rsidRPr="00E84A2A">
        <w:rPr>
          <w:rFonts w:ascii="Arial" w:hAnsi="Arial" w:cs="Arial"/>
          <w:sz w:val="22"/>
          <w:szCs w:val="22"/>
        </w:rPr>
        <w:t>&lt;93% or 6% decrease in Sp0</w:t>
      </w:r>
      <w:r w:rsidRPr="00E84A2A">
        <w:rPr>
          <w:rFonts w:ascii="Arial" w:hAnsi="Arial" w:cs="Arial"/>
          <w:sz w:val="22"/>
          <w:szCs w:val="22"/>
          <w:vertAlign w:val="subscript"/>
        </w:rPr>
        <w:t>2</w:t>
      </w:r>
      <w:r w:rsidRPr="00E84A2A">
        <w:rPr>
          <w:rFonts w:ascii="Arial" w:hAnsi="Arial" w:cs="Arial"/>
          <w:sz w:val="22"/>
          <w:szCs w:val="22"/>
        </w:rPr>
        <w:t xml:space="preserve"> from baseline; and presence of viral shedding from nasal swabs at day </w:t>
      </w:r>
      <w:r w:rsidR="00AF10A5" w:rsidRPr="00E84A2A">
        <w:rPr>
          <w:rFonts w:ascii="Arial" w:hAnsi="Arial" w:cs="Arial"/>
          <w:sz w:val="22"/>
          <w:szCs w:val="22"/>
        </w:rPr>
        <w:t xml:space="preserve">10 </w:t>
      </w:r>
      <w:r w:rsidRPr="00E84A2A">
        <w:rPr>
          <w:rFonts w:ascii="Arial" w:hAnsi="Arial" w:cs="Arial"/>
          <w:sz w:val="22"/>
          <w:szCs w:val="22"/>
        </w:rPr>
        <w:t xml:space="preserve">of treatment. </w:t>
      </w:r>
      <w:r w:rsidR="0075611D" w:rsidRPr="00E84A2A">
        <w:rPr>
          <w:rFonts w:ascii="Arial" w:hAnsi="Arial" w:cs="Arial"/>
          <w:sz w:val="22"/>
          <w:szCs w:val="22"/>
        </w:rPr>
        <w:t>Other agents are rapidly being screened and developed for SARS-CoV-2 infection and could be incorporated into this protocol as additional arms. The flexible platform trial design will allow additional agents to be added and tested with standardized eligibility criteria, outcomes, and measurements. If an intervention is shown to be effective, this design would allow replacement of the placebo group with the effective intervention as the comparator.</w:t>
      </w:r>
    </w:p>
    <w:p w14:paraId="55A045F0" w14:textId="77777777" w:rsidR="00F554D1" w:rsidRPr="00E84A2A" w:rsidRDefault="00F554D1" w:rsidP="00FB2D39">
      <w:pPr>
        <w:pStyle w:val="HeadingNoTOC"/>
        <w:jc w:val="both"/>
        <w:rPr>
          <w:rFonts w:ascii="Arial" w:hAnsi="Arial" w:cs="Arial"/>
          <w:sz w:val="22"/>
          <w:szCs w:val="22"/>
        </w:rPr>
      </w:pPr>
      <w:r w:rsidRPr="00E84A2A">
        <w:rPr>
          <w:rFonts w:ascii="Arial" w:hAnsi="Arial" w:cs="Arial"/>
          <w:sz w:val="22"/>
          <w:szCs w:val="22"/>
        </w:rPr>
        <w:t>Design:</w:t>
      </w:r>
    </w:p>
    <w:p w14:paraId="4F8602F5" w14:textId="595CAFD5" w:rsidR="0075611D" w:rsidRDefault="00AE65D7" w:rsidP="00FB2D39">
      <w:pPr>
        <w:jc w:val="both"/>
        <w:rPr>
          <w:rFonts w:ascii="Arial" w:hAnsi="Arial" w:cs="Arial"/>
          <w:sz w:val="22"/>
          <w:szCs w:val="22"/>
        </w:rPr>
      </w:pPr>
      <w:r w:rsidRPr="00E84A2A">
        <w:rPr>
          <w:rFonts w:ascii="Arial" w:hAnsi="Arial" w:cs="Arial"/>
          <w:sz w:val="22"/>
          <w:szCs w:val="22"/>
        </w:rPr>
        <w:t>This is an international multi-</w:t>
      </w:r>
      <w:proofErr w:type="spellStart"/>
      <w:r w:rsidRPr="00E84A2A">
        <w:rPr>
          <w:rFonts w:ascii="Arial" w:hAnsi="Arial" w:cs="Arial"/>
          <w:sz w:val="22"/>
          <w:szCs w:val="22"/>
        </w:rPr>
        <w:t>center</w:t>
      </w:r>
      <w:proofErr w:type="spellEnd"/>
      <w:r w:rsidRPr="00E84A2A">
        <w:rPr>
          <w:rFonts w:ascii="Arial" w:hAnsi="Arial" w:cs="Arial"/>
          <w:sz w:val="22"/>
          <w:szCs w:val="22"/>
        </w:rPr>
        <w:t xml:space="preserve"> adaptive randomized platform trial for the treatment of SARS-CoV-2 infection in high-risk adults not requiring hospital admission. Stratified randomization will be stratified based on country location, time since symptom onset (&lt;48 vs. &gt;48 hours) and HIV status at baseline. </w:t>
      </w:r>
    </w:p>
    <w:p w14:paraId="53D2772A" w14:textId="77777777" w:rsidR="00BF570A" w:rsidRPr="00E84A2A" w:rsidRDefault="00BF570A" w:rsidP="00FB2D39">
      <w:pPr>
        <w:jc w:val="both"/>
        <w:rPr>
          <w:rFonts w:ascii="Arial" w:hAnsi="Arial" w:cs="Arial"/>
          <w:sz w:val="22"/>
          <w:szCs w:val="22"/>
        </w:rPr>
      </w:pPr>
    </w:p>
    <w:p w14:paraId="4707748B" w14:textId="4C32589B" w:rsidR="00AE65D7" w:rsidRDefault="00AE65D7" w:rsidP="00FB2D39">
      <w:pPr>
        <w:jc w:val="both"/>
        <w:rPr>
          <w:rFonts w:ascii="Arial" w:hAnsi="Arial" w:cs="Arial"/>
          <w:sz w:val="22"/>
          <w:szCs w:val="22"/>
        </w:rPr>
      </w:pPr>
      <w:r w:rsidRPr="00E84A2A">
        <w:rPr>
          <w:rFonts w:ascii="Arial" w:hAnsi="Arial" w:cs="Arial"/>
          <w:sz w:val="22"/>
          <w:szCs w:val="22"/>
        </w:rPr>
        <w:t>Other chloroquine-based therapies, ant</w:t>
      </w:r>
      <w:r w:rsidR="00265B20">
        <w:rPr>
          <w:rFonts w:ascii="Arial" w:hAnsi="Arial" w:cs="Arial"/>
          <w:sz w:val="22"/>
          <w:szCs w:val="22"/>
        </w:rPr>
        <w:t>i</w:t>
      </w:r>
      <w:r w:rsidRPr="00E84A2A">
        <w:rPr>
          <w:rFonts w:ascii="Arial" w:hAnsi="Arial" w:cs="Arial"/>
          <w:sz w:val="22"/>
          <w:szCs w:val="22"/>
        </w:rPr>
        <w:t xml:space="preserve">viral therapies, and other affordable candidate drug regimens that can be repurposed for COVID-19 may also be considered for this trial. The decision to add new therapeutic strategies will be made based on external findings with consultations of the local stakeholders. Therapies that can be repurposed for COVID-19 (e.g. </w:t>
      </w:r>
      <w:r w:rsidR="00E84A2A">
        <w:rPr>
          <w:rFonts w:ascii="Arial" w:hAnsi="Arial" w:cs="Arial"/>
          <w:sz w:val="22"/>
          <w:szCs w:val="22"/>
        </w:rPr>
        <w:t>lopinavir-ritonavir</w:t>
      </w:r>
      <w:r w:rsidRPr="00E84A2A">
        <w:rPr>
          <w:rFonts w:ascii="Arial" w:hAnsi="Arial" w:cs="Arial"/>
          <w:sz w:val="22"/>
          <w:szCs w:val="22"/>
        </w:rPr>
        <w:t xml:space="preserve">) will be prioritized since they offer more affordable and scalable therapeutic options for LMICs. The </w:t>
      </w:r>
      <w:r w:rsidRPr="00E84A2A">
        <w:rPr>
          <w:rFonts w:ascii="Arial" w:hAnsi="Arial" w:cs="Arial"/>
          <w:sz w:val="22"/>
          <w:szCs w:val="22"/>
        </w:rPr>
        <w:lastRenderedPageBreak/>
        <w:t>added arm may be tested with standardized eligibility criteria, outcomes, and measurements, as the other experimental interventions.</w:t>
      </w:r>
    </w:p>
    <w:p w14:paraId="427DFDB0" w14:textId="77777777" w:rsidR="00BF570A" w:rsidRPr="00E84A2A" w:rsidRDefault="00BF570A" w:rsidP="00FB2D39">
      <w:pPr>
        <w:jc w:val="both"/>
        <w:rPr>
          <w:rFonts w:ascii="Arial" w:hAnsi="Arial" w:cs="Arial"/>
          <w:sz w:val="22"/>
          <w:szCs w:val="22"/>
        </w:rPr>
      </w:pPr>
    </w:p>
    <w:p w14:paraId="44B94B27" w14:textId="5EC15AB4" w:rsidR="00F554D1" w:rsidRPr="00E84A2A" w:rsidRDefault="00F554D1" w:rsidP="00FB2D39">
      <w:pPr>
        <w:jc w:val="both"/>
        <w:rPr>
          <w:rFonts w:ascii="Arial" w:hAnsi="Arial" w:cs="Arial"/>
          <w:b/>
          <w:sz w:val="22"/>
          <w:szCs w:val="22"/>
        </w:rPr>
      </w:pPr>
      <w:r w:rsidRPr="00E84A2A">
        <w:rPr>
          <w:rFonts w:ascii="Arial" w:hAnsi="Arial" w:cs="Arial"/>
          <w:b/>
          <w:sz w:val="22"/>
          <w:szCs w:val="22"/>
        </w:rPr>
        <w:t xml:space="preserve">Population: </w:t>
      </w:r>
    </w:p>
    <w:p w14:paraId="1384F655" w14:textId="77777777" w:rsidR="00F554D1" w:rsidRPr="00E84A2A" w:rsidRDefault="00F554D1" w:rsidP="00FB2D39">
      <w:pPr>
        <w:jc w:val="both"/>
        <w:rPr>
          <w:rFonts w:ascii="Arial" w:hAnsi="Arial" w:cs="Arial"/>
          <w:sz w:val="22"/>
          <w:szCs w:val="22"/>
        </w:rPr>
      </w:pPr>
      <w:r w:rsidRPr="00E84A2A">
        <w:rPr>
          <w:rFonts w:ascii="Arial" w:hAnsi="Arial" w:cs="Arial"/>
          <w:sz w:val="22"/>
          <w:szCs w:val="22"/>
        </w:rPr>
        <w:t xml:space="preserve">Men and women 18 years of age to 80 who test positive for SARS-CoV-2. </w:t>
      </w:r>
    </w:p>
    <w:p w14:paraId="6EEACDAE" w14:textId="77777777" w:rsidR="00F554D1" w:rsidRPr="00E84A2A" w:rsidRDefault="00F554D1" w:rsidP="00FB2D39">
      <w:pPr>
        <w:jc w:val="both"/>
        <w:rPr>
          <w:rFonts w:ascii="Arial" w:hAnsi="Arial" w:cs="Arial"/>
          <w:sz w:val="22"/>
          <w:szCs w:val="22"/>
        </w:rPr>
      </w:pPr>
      <w:r w:rsidRPr="00E84A2A">
        <w:rPr>
          <w:rFonts w:ascii="Arial" w:hAnsi="Arial" w:cs="Arial"/>
          <w:sz w:val="22"/>
          <w:szCs w:val="22"/>
        </w:rPr>
        <w:t xml:space="preserve">Eligible participants will be at increased risk of developing LRTI based on established risk factors for severe COVID-19 disease (at least one of the following):   </w:t>
      </w:r>
    </w:p>
    <w:p w14:paraId="23084B53" w14:textId="77777777" w:rsidR="00CF7E12" w:rsidRPr="00E84A2A" w:rsidRDefault="00CF7E12" w:rsidP="00FB2D39">
      <w:pPr>
        <w:pStyle w:val="ListParagraph"/>
        <w:numPr>
          <w:ilvl w:val="1"/>
          <w:numId w:val="47"/>
        </w:numPr>
        <w:spacing w:before="0" w:after="200" w:line="240" w:lineRule="auto"/>
        <w:rPr>
          <w:rFonts w:ascii="Arial" w:hAnsi="Arial" w:cs="Arial"/>
          <w:sz w:val="22"/>
          <w:szCs w:val="22"/>
        </w:rPr>
      </w:pPr>
      <w:r w:rsidRPr="00E84A2A">
        <w:rPr>
          <w:rFonts w:ascii="Arial" w:hAnsi="Arial" w:cs="Arial"/>
          <w:sz w:val="22"/>
          <w:szCs w:val="22"/>
        </w:rPr>
        <w:t xml:space="preserve">Age ≥60 </w:t>
      </w:r>
    </w:p>
    <w:p w14:paraId="103E8732" w14:textId="77777777" w:rsidR="00CF7E12" w:rsidRPr="00E84A2A" w:rsidRDefault="00CF7E12" w:rsidP="00FB2D39">
      <w:pPr>
        <w:pStyle w:val="ListParagraph"/>
        <w:numPr>
          <w:ilvl w:val="1"/>
          <w:numId w:val="47"/>
        </w:numPr>
        <w:spacing w:before="0" w:after="200" w:line="240" w:lineRule="auto"/>
        <w:rPr>
          <w:rFonts w:ascii="Arial" w:hAnsi="Arial" w:cs="Arial"/>
          <w:sz w:val="22"/>
          <w:szCs w:val="22"/>
        </w:rPr>
      </w:pPr>
      <w:r w:rsidRPr="00E84A2A">
        <w:rPr>
          <w:rFonts w:ascii="Arial" w:hAnsi="Arial" w:cs="Arial"/>
          <w:sz w:val="22"/>
          <w:szCs w:val="22"/>
        </w:rPr>
        <w:t>Presence of pulmonary disease, specifically moderate or severe persistent asthma, chronic obstructive pulmonary disease (COPD), pulmonary hypertension, emphysema, or tuberculosis</w:t>
      </w:r>
    </w:p>
    <w:p w14:paraId="49D54D0C" w14:textId="77777777" w:rsidR="00CF7E12" w:rsidRPr="00E84A2A" w:rsidRDefault="00CF7E12" w:rsidP="00FB2D39">
      <w:pPr>
        <w:pStyle w:val="ListParagraph"/>
        <w:numPr>
          <w:ilvl w:val="1"/>
          <w:numId w:val="47"/>
        </w:numPr>
        <w:spacing w:before="0" w:after="200" w:line="240" w:lineRule="auto"/>
        <w:rPr>
          <w:rFonts w:ascii="Arial" w:hAnsi="Arial" w:cs="Arial"/>
          <w:sz w:val="22"/>
          <w:szCs w:val="22"/>
        </w:rPr>
      </w:pPr>
      <w:r w:rsidRPr="00E84A2A">
        <w:rPr>
          <w:rFonts w:ascii="Arial" w:hAnsi="Arial" w:cs="Arial"/>
          <w:sz w:val="22"/>
          <w:szCs w:val="22"/>
        </w:rPr>
        <w:t xml:space="preserve">Diabetes mellitus (type 1 or type 2), requiring oral medication or insulin for treatment </w:t>
      </w:r>
    </w:p>
    <w:p w14:paraId="16F9B4EE" w14:textId="77777777" w:rsidR="00CF7E12" w:rsidRPr="00E84A2A" w:rsidRDefault="00CF7E12" w:rsidP="00FB2D39">
      <w:pPr>
        <w:pStyle w:val="ListParagraph"/>
        <w:numPr>
          <w:ilvl w:val="1"/>
          <w:numId w:val="47"/>
        </w:numPr>
        <w:spacing w:before="0" w:after="200" w:line="240" w:lineRule="auto"/>
        <w:rPr>
          <w:rFonts w:ascii="Arial" w:hAnsi="Arial" w:cs="Arial"/>
          <w:sz w:val="22"/>
          <w:szCs w:val="22"/>
        </w:rPr>
      </w:pPr>
      <w:r w:rsidRPr="00E84A2A">
        <w:rPr>
          <w:rFonts w:ascii="Arial" w:hAnsi="Arial" w:cs="Arial"/>
          <w:sz w:val="22"/>
          <w:szCs w:val="22"/>
        </w:rPr>
        <w:t>Hypertension, requiring at least 1 oral medication for treatment</w:t>
      </w:r>
    </w:p>
    <w:p w14:paraId="049ED3B3" w14:textId="77777777" w:rsidR="00CF7E12" w:rsidRPr="00E84A2A" w:rsidRDefault="00CF7E12" w:rsidP="00FB2D39">
      <w:pPr>
        <w:pStyle w:val="ListParagraph"/>
        <w:numPr>
          <w:ilvl w:val="1"/>
          <w:numId w:val="47"/>
        </w:numPr>
        <w:spacing w:before="0" w:after="200" w:line="240" w:lineRule="auto"/>
        <w:rPr>
          <w:rFonts w:ascii="Arial" w:hAnsi="Arial" w:cs="Arial"/>
          <w:sz w:val="22"/>
          <w:szCs w:val="22"/>
        </w:rPr>
      </w:pPr>
      <w:r w:rsidRPr="00E84A2A">
        <w:rPr>
          <w:rFonts w:ascii="Arial" w:hAnsi="Arial" w:cs="Arial"/>
          <w:sz w:val="22"/>
          <w:szCs w:val="22"/>
        </w:rPr>
        <w:t xml:space="preserve">Coronary artery disease with history of graft or stent </w:t>
      </w:r>
    </w:p>
    <w:p w14:paraId="5C2C2735" w14:textId="45ADB4A5" w:rsidR="00CF7E12" w:rsidRPr="00E84A2A" w:rsidRDefault="00240556" w:rsidP="00FB2D39">
      <w:pPr>
        <w:pStyle w:val="ListParagraph"/>
        <w:numPr>
          <w:ilvl w:val="1"/>
          <w:numId w:val="47"/>
        </w:numPr>
        <w:spacing w:before="0" w:after="200" w:line="240" w:lineRule="auto"/>
        <w:rPr>
          <w:rFonts w:ascii="Arial" w:hAnsi="Arial" w:cs="Arial"/>
          <w:sz w:val="22"/>
          <w:szCs w:val="22"/>
        </w:rPr>
      </w:pPr>
      <w:r w:rsidRPr="00E84A2A">
        <w:rPr>
          <w:rFonts w:ascii="Arial" w:hAnsi="Arial" w:cs="Arial"/>
          <w:sz w:val="22"/>
          <w:szCs w:val="22"/>
        </w:rPr>
        <w:t>Cardiac f</w:t>
      </w:r>
      <w:r w:rsidR="00CF7E12" w:rsidRPr="00E84A2A">
        <w:rPr>
          <w:rFonts w:ascii="Arial" w:hAnsi="Arial" w:cs="Arial"/>
          <w:sz w:val="22"/>
          <w:szCs w:val="22"/>
        </w:rPr>
        <w:t>ailure, Class 2 or greater using New York Heart Association functional class</w:t>
      </w:r>
    </w:p>
    <w:p w14:paraId="1B40C559" w14:textId="15C62CAC" w:rsidR="00CF7E12" w:rsidRPr="00321C6F" w:rsidRDefault="00CF7E12" w:rsidP="00FB2D39">
      <w:pPr>
        <w:pStyle w:val="ListParagraph"/>
        <w:numPr>
          <w:ilvl w:val="1"/>
          <w:numId w:val="47"/>
        </w:numPr>
        <w:spacing w:before="0" w:after="200" w:line="240" w:lineRule="auto"/>
        <w:rPr>
          <w:rFonts w:ascii="Arial" w:hAnsi="Arial" w:cs="Arial"/>
          <w:sz w:val="22"/>
          <w:szCs w:val="22"/>
        </w:rPr>
      </w:pPr>
      <w:r w:rsidRPr="00321C6F">
        <w:rPr>
          <w:rFonts w:ascii="Arial" w:hAnsi="Arial" w:cs="Arial"/>
          <w:sz w:val="22"/>
          <w:szCs w:val="22"/>
        </w:rPr>
        <w:t>History of organ or stem cell transplant</w:t>
      </w:r>
    </w:p>
    <w:p w14:paraId="1EDF9617" w14:textId="4BCFD402" w:rsidR="00CF7E12" w:rsidRPr="00321C6F" w:rsidRDefault="00CF7E12" w:rsidP="00FB2D39">
      <w:pPr>
        <w:pStyle w:val="ListParagraph"/>
        <w:numPr>
          <w:ilvl w:val="1"/>
          <w:numId w:val="47"/>
        </w:numPr>
        <w:spacing w:before="0" w:after="200" w:line="240" w:lineRule="auto"/>
        <w:rPr>
          <w:rFonts w:ascii="Arial" w:hAnsi="Arial" w:cs="Arial"/>
          <w:sz w:val="22"/>
          <w:szCs w:val="22"/>
        </w:rPr>
      </w:pPr>
      <w:r w:rsidRPr="00321C6F">
        <w:rPr>
          <w:rFonts w:ascii="Arial" w:hAnsi="Arial" w:cs="Arial"/>
          <w:sz w:val="22"/>
          <w:szCs w:val="22"/>
        </w:rPr>
        <w:t>Immunocompromised status due to disease (e.g., those living with human immunodeficiency virus</w:t>
      </w:r>
      <w:r w:rsidR="00240556" w:rsidRPr="00321C6F">
        <w:rPr>
          <w:rFonts w:ascii="Arial" w:hAnsi="Arial" w:cs="Arial"/>
          <w:sz w:val="22"/>
          <w:szCs w:val="22"/>
        </w:rPr>
        <w:t>, confirmed maligna</w:t>
      </w:r>
      <w:r w:rsidR="00E017BD" w:rsidRPr="00321C6F">
        <w:rPr>
          <w:rFonts w:ascii="Arial" w:hAnsi="Arial" w:cs="Arial"/>
          <w:sz w:val="22"/>
          <w:szCs w:val="22"/>
        </w:rPr>
        <w:t>n</w:t>
      </w:r>
      <w:r w:rsidR="00240556" w:rsidRPr="00321C6F">
        <w:rPr>
          <w:rFonts w:ascii="Arial" w:hAnsi="Arial" w:cs="Arial"/>
          <w:sz w:val="22"/>
          <w:szCs w:val="22"/>
        </w:rPr>
        <w:t>cy</w:t>
      </w:r>
      <w:r w:rsidRPr="00321C6F">
        <w:rPr>
          <w:rFonts w:ascii="Arial" w:hAnsi="Arial" w:cs="Arial"/>
          <w:sz w:val="22"/>
          <w:szCs w:val="22"/>
        </w:rPr>
        <w:t>)</w:t>
      </w:r>
    </w:p>
    <w:p w14:paraId="028DB106" w14:textId="77777777" w:rsidR="00CF7E12" w:rsidRPr="00321C6F" w:rsidRDefault="00CF7E12" w:rsidP="00FB2D39">
      <w:pPr>
        <w:pStyle w:val="ListParagraph"/>
        <w:numPr>
          <w:ilvl w:val="1"/>
          <w:numId w:val="47"/>
        </w:numPr>
        <w:spacing w:before="0" w:after="200" w:line="240" w:lineRule="auto"/>
        <w:rPr>
          <w:rFonts w:ascii="Arial" w:hAnsi="Arial" w:cs="Arial"/>
          <w:sz w:val="22"/>
          <w:szCs w:val="22"/>
        </w:rPr>
      </w:pPr>
      <w:r w:rsidRPr="00321C6F">
        <w:rPr>
          <w:rFonts w:ascii="Arial" w:hAnsi="Arial" w:cs="Arial"/>
          <w:sz w:val="22"/>
          <w:szCs w:val="22"/>
        </w:rPr>
        <w:t>Immunocompromised status due to medication (e.g., persons taking 20 mg or more of prednisone equivalents a day, anti-inflammatory monoclonal antibody therapies, or cancer therapies)</w:t>
      </w:r>
    </w:p>
    <w:p w14:paraId="10CCDD4B" w14:textId="6E515FF9" w:rsidR="00CF7E12" w:rsidRPr="00321C6F" w:rsidRDefault="00CF7E12" w:rsidP="00FB2D39">
      <w:pPr>
        <w:pStyle w:val="ListParagraph"/>
        <w:numPr>
          <w:ilvl w:val="1"/>
          <w:numId w:val="47"/>
        </w:numPr>
        <w:spacing w:before="0" w:after="200" w:line="240" w:lineRule="auto"/>
        <w:rPr>
          <w:rFonts w:ascii="Arial" w:hAnsi="Arial" w:cs="Arial"/>
          <w:sz w:val="22"/>
          <w:szCs w:val="22"/>
        </w:rPr>
      </w:pPr>
      <w:r w:rsidRPr="00321C6F">
        <w:rPr>
          <w:rFonts w:ascii="Arial" w:hAnsi="Arial" w:cs="Arial"/>
          <w:sz w:val="22"/>
          <w:szCs w:val="22"/>
        </w:rPr>
        <w:t>Body mass index ≥30</w:t>
      </w:r>
    </w:p>
    <w:p w14:paraId="7D3C298A" w14:textId="767A186F" w:rsidR="0075611D" w:rsidRDefault="0075611D" w:rsidP="00FB2D39">
      <w:pPr>
        <w:jc w:val="both"/>
        <w:rPr>
          <w:rFonts w:ascii="Arial" w:hAnsi="Arial" w:cs="Arial"/>
          <w:sz w:val="22"/>
          <w:szCs w:val="22"/>
        </w:rPr>
      </w:pPr>
      <w:r w:rsidRPr="00321C6F">
        <w:rPr>
          <w:rFonts w:ascii="Arial" w:hAnsi="Arial" w:cs="Arial"/>
          <w:sz w:val="22"/>
          <w:szCs w:val="22"/>
        </w:rPr>
        <w:t xml:space="preserve">For evaluations of experimental interventions compared to control, a total of 165 persons per arm will be enrolled. </w:t>
      </w:r>
    </w:p>
    <w:p w14:paraId="45084FD0" w14:textId="77777777" w:rsidR="00BF570A" w:rsidRPr="00321C6F" w:rsidRDefault="00BF570A" w:rsidP="00FB2D39">
      <w:pPr>
        <w:jc w:val="both"/>
        <w:rPr>
          <w:rFonts w:ascii="Arial" w:hAnsi="Arial" w:cs="Arial"/>
          <w:sz w:val="22"/>
          <w:szCs w:val="22"/>
        </w:rPr>
      </w:pPr>
    </w:p>
    <w:p w14:paraId="037AD5BD" w14:textId="6AEAB135" w:rsidR="0075611D" w:rsidRDefault="0075611D" w:rsidP="00FB2D39">
      <w:pPr>
        <w:jc w:val="both"/>
        <w:rPr>
          <w:rFonts w:ascii="Arial" w:hAnsi="Arial" w:cs="Arial"/>
          <w:sz w:val="22"/>
          <w:szCs w:val="22"/>
        </w:rPr>
      </w:pPr>
      <w:r w:rsidRPr="00321C6F">
        <w:rPr>
          <w:rFonts w:ascii="Arial" w:hAnsi="Arial" w:cs="Arial"/>
          <w:sz w:val="22"/>
          <w:szCs w:val="22"/>
        </w:rPr>
        <w:t>A second cohort of participants aged 18-59 without identified risk factors for progression to LRTI will be enrolled for the virologic endpoint (n=45 persons per arm).</w:t>
      </w:r>
    </w:p>
    <w:p w14:paraId="489D2581" w14:textId="77777777" w:rsidR="00BF570A" w:rsidRPr="00321C6F" w:rsidRDefault="00BF570A" w:rsidP="00FB2D39">
      <w:pPr>
        <w:jc w:val="both"/>
        <w:rPr>
          <w:rFonts w:ascii="Arial" w:hAnsi="Arial" w:cs="Arial"/>
          <w:sz w:val="22"/>
          <w:szCs w:val="22"/>
        </w:rPr>
      </w:pPr>
    </w:p>
    <w:p w14:paraId="1A0059FC" w14:textId="1555D9C0" w:rsidR="00F554D1" w:rsidRDefault="00F554D1" w:rsidP="00FB2D39">
      <w:pPr>
        <w:jc w:val="both"/>
        <w:rPr>
          <w:rFonts w:ascii="Arial" w:hAnsi="Arial" w:cs="Arial"/>
          <w:sz w:val="22"/>
          <w:szCs w:val="22"/>
        </w:rPr>
      </w:pPr>
      <w:r w:rsidRPr="00321C6F">
        <w:rPr>
          <w:rFonts w:ascii="Arial" w:hAnsi="Arial" w:cs="Arial"/>
          <w:sz w:val="22"/>
          <w:szCs w:val="22"/>
        </w:rPr>
        <w:t xml:space="preserve">Participants will be </w:t>
      </w:r>
      <w:r w:rsidR="00BF570A" w:rsidRPr="00321C6F">
        <w:rPr>
          <w:rFonts w:ascii="Arial" w:hAnsi="Arial" w:cs="Arial"/>
          <w:sz w:val="22"/>
          <w:szCs w:val="22"/>
        </w:rPr>
        <w:t>counselled</w:t>
      </w:r>
      <w:r w:rsidRPr="00321C6F">
        <w:rPr>
          <w:rFonts w:ascii="Arial" w:hAnsi="Arial" w:cs="Arial"/>
          <w:sz w:val="22"/>
          <w:szCs w:val="22"/>
        </w:rPr>
        <w:t xml:space="preserve"> about the preliminary </w:t>
      </w:r>
      <w:r w:rsidRPr="00321C6F">
        <w:rPr>
          <w:rFonts w:ascii="Arial" w:hAnsi="Arial" w:cs="Arial"/>
          <w:i/>
          <w:iCs/>
          <w:sz w:val="22"/>
          <w:szCs w:val="22"/>
        </w:rPr>
        <w:t>in vitro</w:t>
      </w:r>
      <w:r w:rsidRPr="00321C6F">
        <w:rPr>
          <w:rFonts w:ascii="Arial" w:hAnsi="Arial" w:cs="Arial"/>
          <w:sz w:val="22"/>
          <w:szCs w:val="22"/>
        </w:rPr>
        <w:t xml:space="preserve"> data o</w:t>
      </w:r>
      <w:r w:rsidR="00E017BD" w:rsidRPr="00321C6F">
        <w:rPr>
          <w:rFonts w:ascii="Arial" w:hAnsi="Arial" w:cs="Arial"/>
          <w:sz w:val="22"/>
          <w:szCs w:val="22"/>
        </w:rPr>
        <w:t xml:space="preserve">f the </w:t>
      </w:r>
      <w:r w:rsidRPr="00321C6F">
        <w:rPr>
          <w:rFonts w:ascii="Arial" w:hAnsi="Arial" w:cs="Arial"/>
          <w:sz w:val="22"/>
          <w:szCs w:val="22"/>
        </w:rPr>
        <w:t>activity</w:t>
      </w:r>
      <w:r w:rsidR="00E017BD" w:rsidRPr="00321C6F">
        <w:rPr>
          <w:rFonts w:ascii="Arial" w:hAnsi="Arial" w:cs="Arial"/>
          <w:sz w:val="22"/>
          <w:szCs w:val="22"/>
        </w:rPr>
        <w:t xml:space="preserve"> of interventions</w:t>
      </w:r>
      <w:r w:rsidRPr="00321C6F">
        <w:rPr>
          <w:rFonts w:ascii="Arial" w:hAnsi="Arial" w:cs="Arial"/>
          <w:sz w:val="22"/>
          <w:szCs w:val="22"/>
        </w:rPr>
        <w:t xml:space="preserve"> against SARS</w:t>
      </w:r>
      <w:r w:rsidRPr="00321C6F">
        <w:rPr>
          <w:rFonts w:ascii="Arial" w:hAnsi="Arial" w:cs="Arial"/>
          <w:sz w:val="22"/>
          <w:szCs w:val="22"/>
        </w:rPr>
        <w:noBreakHyphen/>
        <w:t>CoV-2 and equipoise regarding efficacy in humans given that there are only limited data at this time.</w:t>
      </w:r>
    </w:p>
    <w:p w14:paraId="198F5A38" w14:textId="77777777" w:rsidR="00BF570A" w:rsidRPr="00321C6F" w:rsidRDefault="00BF570A" w:rsidP="00FB2D39">
      <w:pPr>
        <w:jc w:val="both"/>
        <w:rPr>
          <w:rFonts w:ascii="Arial" w:hAnsi="Arial" w:cs="Arial"/>
          <w:sz w:val="22"/>
          <w:szCs w:val="22"/>
        </w:rPr>
      </w:pPr>
    </w:p>
    <w:p w14:paraId="1A88E188" w14:textId="55AEC9AA" w:rsidR="00F554D1" w:rsidRPr="00321C6F" w:rsidRDefault="00F554D1" w:rsidP="00FB2D39">
      <w:pPr>
        <w:jc w:val="both"/>
        <w:rPr>
          <w:rFonts w:ascii="Arial" w:hAnsi="Arial" w:cs="Arial"/>
          <w:sz w:val="22"/>
          <w:szCs w:val="22"/>
          <w:lang w:eastAsia="ja-JP"/>
        </w:rPr>
      </w:pPr>
      <w:r w:rsidRPr="00321C6F">
        <w:rPr>
          <w:rFonts w:ascii="Arial" w:hAnsi="Arial" w:cs="Arial"/>
          <w:sz w:val="22"/>
          <w:szCs w:val="22"/>
        </w:rPr>
        <w:t xml:space="preserve">If additional data emerge on alternative potentially effective agents for SARS-CoV-2, additional arms can be added to the study as </w:t>
      </w:r>
      <w:r w:rsidR="002818D4" w:rsidRPr="00321C6F">
        <w:rPr>
          <w:rFonts w:ascii="Arial" w:hAnsi="Arial" w:cs="Arial"/>
          <w:sz w:val="22"/>
          <w:szCs w:val="22"/>
        </w:rPr>
        <w:t>a new intervention appendix</w:t>
      </w:r>
      <w:r w:rsidRPr="00321C6F">
        <w:rPr>
          <w:rFonts w:ascii="Arial" w:hAnsi="Arial" w:cs="Arial"/>
          <w:sz w:val="22"/>
          <w:szCs w:val="22"/>
        </w:rPr>
        <w:t xml:space="preserve"> to the protocol. The </w:t>
      </w:r>
      <w:r w:rsidR="007B1573" w:rsidRPr="00321C6F">
        <w:rPr>
          <w:rFonts w:ascii="Arial" w:hAnsi="Arial" w:cs="Arial"/>
          <w:sz w:val="22"/>
          <w:szCs w:val="22"/>
        </w:rPr>
        <w:t>standardized operating procedures and comprehensive statistical analysis plans</w:t>
      </w:r>
      <w:r w:rsidRPr="00321C6F">
        <w:rPr>
          <w:rFonts w:ascii="Arial" w:hAnsi="Arial" w:cs="Arial"/>
          <w:sz w:val="22"/>
          <w:szCs w:val="22"/>
        </w:rPr>
        <w:t xml:space="preserve"> will allow </w:t>
      </w:r>
      <w:r w:rsidR="007B1573" w:rsidRPr="00321C6F">
        <w:rPr>
          <w:rFonts w:ascii="Arial" w:hAnsi="Arial" w:cs="Arial"/>
          <w:sz w:val="22"/>
          <w:szCs w:val="22"/>
        </w:rPr>
        <w:t xml:space="preserve">for </w:t>
      </w:r>
      <w:r w:rsidRPr="00321C6F">
        <w:rPr>
          <w:rFonts w:ascii="Arial" w:hAnsi="Arial" w:cs="Arial"/>
          <w:sz w:val="22"/>
          <w:szCs w:val="22"/>
        </w:rPr>
        <w:t xml:space="preserve">integration of new </w:t>
      </w:r>
      <w:r w:rsidR="007B1573" w:rsidRPr="00321C6F">
        <w:rPr>
          <w:rFonts w:ascii="Arial" w:hAnsi="Arial" w:cs="Arial"/>
          <w:sz w:val="22"/>
          <w:szCs w:val="22"/>
        </w:rPr>
        <w:t>arms</w:t>
      </w:r>
      <w:r w:rsidRPr="00321C6F">
        <w:rPr>
          <w:rFonts w:ascii="Arial" w:hAnsi="Arial" w:cs="Arial"/>
          <w:sz w:val="22"/>
          <w:szCs w:val="22"/>
        </w:rPr>
        <w:t>.</w:t>
      </w:r>
    </w:p>
    <w:p w14:paraId="1040CEBD" w14:textId="320161EE" w:rsidR="00F554D1" w:rsidRPr="00321C6F" w:rsidRDefault="00F554D1" w:rsidP="00FB2D39">
      <w:pPr>
        <w:pStyle w:val="HeadingNoTOC"/>
        <w:spacing w:after="240"/>
        <w:jc w:val="both"/>
        <w:rPr>
          <w:rFonts w:ascii="Arial" w:hAnsi="Arial" w:cs="Arial"/>
          <w:b w:val="0"/>
          <w:sz w:val="22"/>
          <w:szCs w:val="22"/>
        </w:rPr>
      </w:pPr>
      <w:r w:rsidRPr="00321C6F">
        <w:rPr>
          <w:rFonts w:ascii="Arial" w:hAnsi="Arial" w:cs="Arial"/>
          <w:sz w:val="22"/>
          <w:szCs w:val="22"/>
        </w:rPr>
        <w:t>Intervention</w:t>
      </w:r>
      <w:r w:rsidR="00A65E9C" w:rsidRPr="00321C6F">
        <w:rPr>
          <w:rFonts w:ascii="Arial" w:hAnsi="Arial" w:cs="Arial"/>
          <w:sz w:val="22"/>
          <w:szCs w:val="22"/>
        </w:rPr>
        <w:t>s</w:t>
      </w:r>
      <w:r w:rsidR="00E16297" w:rsidRPr="00321C6F">
        <w:rPr>
          <w:rFonts w:ascii="Arial" w:hAnsi="Arial" w:cs="Arial"/>
          <w:sz w:val="22"/>
          <w:szCs w:val="22"/>
        </w:rPr>
        <w:t>:</w:t>
      </w:r>
    </w:p>
    <w:p w14:paraId="00B2FFB5" w14:textId="5E7C1993" w:rsidR="00FC759D" w:rsidRPr="00321C6F" w:rsidRDefault="00FC759D" w:rsidP="00FB2D39">
      <w:pPr>
        <w:pStyle w:val="ListParagraph"/>
        <w:numPr>
          <w:ilvl w:val="0"/>
          <w:numId w:val="8"/>
        </w:numPr>
        <w:rPr>
          <w:rFonts w:ascii="Arial" w:hAnsi="Arial" w:cs="Arial"/>
          <w:sz w:val="22"/>
          <w:szCs w:val="22"/>
        </w:rPr>
      </w:pPr>
      <w:r w:rsidRPr="00321C6F">
        <w:rPr>
          <w:rFonts w:ascii="Arial" w:hAnsi="Arial" w:cs="Arial"/>
          <w:b/>
          <w:sz w:val="22"/>
          <w:szCs w:val="22"/>
        </w:rPr>
        <w:t>Placebo</w:t>
      </w:r>
      <w:r w:rsidRPr="00321C6F">
        <w:rPr>
          <w:rFonts w:ascii="Arial" w:hAnsi="Arial" w:cs="Arial"/>
          <w:sz w:val="22"/>
          <w:szCs w:val="22"/>
        </w:rPr>
        <w:t xml:space="preserve">:  Ascorbic acid </w:t>
      </w:r>
      <w:r w:rsidR="00E017BD" w:rsidRPr="00321C6F">
        <w:rPr>
          <w:rFonts w:ascii="Arial" w:hAnsi="Arial" w:cs="Arial"/>
          <w:sz w:val="22"/>
          <w:szCs w:val="22"/>
        </w:rPr>
        <w:t>10</w:t>
      </w:r>
      <w:r w:rsidRPr="00321C6F">
        <w:rPr>
          <w:rFonts w:ascii="Arial" w:hAnsi="Arial" w:cs="Arial"/>
          <w:sz w:val="22"/>
          <w:szCs w:val="22"/>
        </w:rPr>
        <w:t xml:space="preserve">00 mg orally twice daily for 1 day then </w:t>
      </w:r>
      <w:r w:rsidR="00E017BD" w:rsidRPr="00321C6F">
        <w:rPr>
          <w:rFonts w:ascii="Arial" w:hAnsi="Arial" w:cs="Arial"/>
          <w:sz w:val="22"/>
          <w:szCs w:val="22"/>
        </w:rPr>
        <w:t xml:space="preserve">500 </w:t>
      </w:r>
      <w:r w:rsidRPr="00321C6F">
        <w:rPr>
          <w:rFonts w:ascii="Arial" w:hAnsi="Arial" w:cs="Arial"/>
          <w:sz w:val="22"/>
          <w:szCs w:val="22"/>
        </w:rPr>
        <w:t>mg orally twice daily for 9 days</w:t>
      </w:r>
    </w:p>
    <w:p w14:paraId="1F61F8EC" w14:textId="02790088" w:rsidR="00BF570A" w:rsidRPr="00BF570A" w:rsidRDefault="00BF570A" w:rsidP="00FB2D39">
      <w:pPr>
        <w:pStyle w:val="ListParagraph"/>
        <w:numPr>
          <w:ilvl w:val="0"/>
          <w:numId w:val="8"/>
        </w:numPr>
        <w:rPr>
          <w:rFonts w:ascii="Arial" w:hAnsi="Arial" w:cs="Arial"/>
          <w:b/>
          <w:sz w:val="22"/>
          <w:szCs w:val="22"/>
        </w:rPr>
      </w:pPr>
      <w:r w:rsidRPr="00BF570A">
        <w:rPr>
          <w:rFonts w:ascii="Arial" w:hAnsi="Arial" w:cs="Arial"/>
          <w:b/>
          <w:sz w:val="22"/>
          <w:szCs w:val="22"/>
        </w:rPr>
        <w:t>Hydroxychloroquine (HCQ):</w:t>
      </w:r>
      <w:r w:rsidRPr="00BF570A">
        <w:rPr>
          <w:rFonts w:ascii="Arial" w:hAnsi="Arial" w:cs="Arial"/>
          <w:sz w:val="22"/>
          <w:szCs w:val="22"/>
        </w:rPr>
        <w:t xml:space="preserve"> </w:t>
      </w:r>
      <w:r>
        <w:rPr>
          <w:rFonts w:ascii="Arial" w:hAnsi="Arial" w:cs="Arial"/>
          <w:sz w:val="22"/>
          <w:szCs w:val="22"/>
        </w:rPr>
        <w:t xml:space="preserve">HCQ </w:t>
      </w:r>
      <w:r w:rsidRPr="00BF570A">
        <w:rPr>
          <w:rFonts w:ascii="Arial" w:hAnsi="Arial" w:cs="Arial"/>
          <w:sz w:val="22"/>
          <w:szCs w:val="22"/>
        </w:rPr>
        <w:t>400mg twice on day 1, then 200mg twice a day for an additional 9 days</w:t>
      </w:r>
    </w:p>
    <w:p w14:paraId="3CCC3250" w14:textId="2B84C40D" w:rsidR="00FC759D" w:rsidRPr="00321C6F" w:rsidRDefault="000746D3" w:rsidP="00FB2D39">
      <w:pPr>
        <w:pStyle w:val="ListParagraph"/>
        <w:numPr>
          <w:ilvl w:val="0"/>
          <w:numId w:val="8"/>
        </w:numPr>
        <w:rPr>
          <w:rFonts w:ascii="Arial" w:hAnsi="Arial" w:cs="Arial"/>
          <w:sz w:val="22"/>
          <w:szCs w:val="22"/>
        </w:rPr>
      </w:pPr>
      <w:r w:rsidRPr="00321C6F">
        <w:rPr>
          <w:rFonts w:ascii="Arial" w:hAnsi="Arial" w:cs="Arial"/>
          <w:b/>
          <w:sz w:val="22"/>
          <w:szCs w:val="22"/>
        </w:rPr>
        <w:t>Lopinavir/ritonavir (</w:t>
      </w:r>
      <w:r w:rsidR="00FC759D" w:rsidRPr="00321C6F">
        <w:rPr>
          <w:rFonts w:ascii="Arial" w:hAnsi="Arial" w:cs="Arial"/>
          <w:b/>
          <w:sz w:val="22"/>
          <w:szCs w:val="22"/>
        </w:rPr>
        <w:t>LPV/r</w:t>
      </w:r>
      <w:r w:rsidRPr="00321C6F">
        <w:rPr>
          <w:rFonts w:ascii="Arial" w:hAnsi="Arial" w:cs="Arial"/>
          <w:b/>
          <w:sz w:val="22"/>
          <w:szCs w:val="22"/>
        </w:rPr>
        <w:t>)</w:t>
      </w:r>
      <w:r w:rsidR="00FC759D" w:rsidRPr="00321C6F">
        <w:rPr>
          <w:rFonts w:ascii="Arial" w:hAnsi="Arial" w:cs="Arial"/>
          <w:sz w:val="22"/>
          <w:szCs w:val="22"/>
        </w:rPr>
        <w:t xml:space="preserve">: LPV/r 800 mg-200 mg </w:t>
      </w:r>
      <w:r w:rsidR="00BF5793">
        <w:rPr>
          <w:rFonts w:ascii="Arial" w:hAnsi="Arial" w:cs="Arial"/>
          <w:sz w:val="22"/>
          <w:szCs w:val="22"/>
        </w:rPr>
        <w:t xml:space="preserve">orally </w:t>
      </w:r>
      <w:r w:rsidR="00FC759D" w:rsidRPr="00321C6F">
        <w:rPr>
          <w:rFonts w:ascii="Arial" w:hAnsi="Arial" w:cs="Arial"/>
          <w:sz w:val="22"/>
          <w:szCs w:val="22"/>
        </w:rPr>
        <w:t>twice daily x 1 day, then 400 mg-100 mg twice daily for an additional 9 days</w:t>
      </w:r>
    </w:p>
    <w:p w14:paraId="41AF14EC" w14:textId="1BDB7E22" w:rsidR="000C6A38" w:rsidRPr="00D73F77" w:rsidRDefault="000746D3" w:rsidP="00FB2D39">
      <w:pPr>
        <w:pStyle w:val="ListParagraph"/>
        <w:numPr>
          <w:ilvl w:val="0"/>
          <w:numId w:val="8"/>
        </w:numPr>
        <w:rPr>
          <w:rFonts w:ascii="Arial" w:hAnsi="Arial" w:cs="Arial"/>
          <w:sz w:val="22"/>
          <w:szCs w:val="22"/>
        </w:rPr>
      </w:pPr>
      <w:r w:rsidRPr="00D73F77">
        <w:rPr>
          <w:rFonts w:ascii="Arial" w:hAnsi="Arial" w:cs="Arial"/>
          <w:b/>
          <w:sz w:val="22"/>
          <w:szCs w:val="22"/>
        </w:rPr>
        <w:t>Azithromycin</w:t>
      </w:r>
      <w:r w:rsidRPr="00D73F77">
        <w:rPr>
          <w:rFonts w:ascii="Arial" w:hAnsi="Arial" w:cs="Arial"/>
          <w:sz w:val="22"/>
          <w:szCs w:val="22"/>
        </w:rPr>
        <w:t xml:space="preserve">: </w:t>
      </w:r>
      <w:r w:rsidR="00BF5793">
        <w:rPr>
          <w:rFonts w:ascii="Arial" w:hAnsi="Arial" w:cs="Arial"/>
          <w:sz w:val="22"/>
          <w:szCs w:val="22"/>
        </w:rPr>
        <w:t>A</w:t>
      </w:r>
      <w:r w:rsidR="000C6A38" w:rsidRPr="00D73F77">
        <w:rPr>
          <w:rFonts w:ascii="Arial" w:hAnsi="Arial" w:cs="Arial"/>
          <w:sz w:val="22"/>
          <w:szCs w:val="22"/>
        </w:rPr>
        <w:t xml:space="preserve">zithromycin </w:t>
      </w:r>
      <w:r w:rsidR="00BF5793">
        <w:rPr>
          <w:rFonts w:ascii="Arial" w:hAnsi="Arial" w:cs="Arial"/>
          <w:sz w:val="22"/>
          <w:szCs w:val="22"/>
        </w:rPr>
        <w:t>10</w:t>
      </w:r>
      <w:r w:rsidR="000C6A38" w:rsidRPr="00D73F77">
        <w:rPr>
          <w:rFonts w:ascii="Arial" w:hAnsi="Arial" w:cs="Arial"/>
          <w:sz w:val="22"/>
          <w:szCs w:val="22"/>
        </w:rPr>
        <w:t xml:space="preserve">00mg </w:t>
      </w:r>
      <w:r w:rsidR="00BF5793">
        <w:rPr>
          <w:rFonts w:ascii="Arial" w:hAnsi="Arial" w:cs="Arial"/>
          <w:sz w:val="22"/>
          <w:szCs w:val="22"/>
        </w:rPr>
        <w:t xml:space="preserve">orally daily x 1 </w:t>
      </w:r>
      <w:r w:rsidR="000C6A38" w:rsidRPr="00D73F77">
        <w:rPr>
          <w:rFonts w:ascii="Arial" w:hAnsi="Arial" w:cs="Arial"/>
          <w:sz w:val="22"/>
          <w:szCs w:val="22"/>
        </w:rPr>
        <w:t xml:space="preserve">day, </w:t>
      </w:r>
      <w:r w:rsidR="00BF5793">
        <w:rPr>
          <w:rFonts w:ascii="Arial" w:hAnsi="Arial" w:cs="Arial"/>
          <w:sz w:val="22"/>
          <w:szCs w:val="22"/>
        </w:rPr>
        <w:t xml:space="preserve">then </w:t>
      </w:r>
      <w:r w:rsidR="000C6A38" w:rsidRPr="00D73F77">
        <w:rPr>
          <w:rFonts w:ascii="Arial" w:hAnsi="Arial" w:cs="Arial"/>
          <w:sz w:val="22"/>
          <w:szCs w:val="22"/>
        </w:rPr>
        <w:t xml:space="preserve">500mg daily </w:t>
      </w:r>
      <w:r w:rsidR="00BF5793" w:rsidRPr="00321C6F">
        <w:rPr>
          <w:rFonts w:ascii="Arial" w:hAnsi="Arial" w:cs="Arial"/>
          <w:sz w:val="22"/>
          <w:szCs w:val="22"/>
        </w:rPr>
        <w:t>for an additional 9 days</w:t>
      </w:r>
    </w:p>
    <w:p w14:paraId="21D75502" w14:textId="77777777" w:rsidR="006978AC" w:rsidRDefault="006978AC" w:rsidP="00FB2D39">
      <w:pPr>
        <w:pStyle w:val="HeadingNoTOC"/>
        <w:spacing w:after="240"/>
        <w:jc w:val="both"/>
        <w:rPr>
          <w:rFonts w:ascii="Arial" w:hAnsi="Arial" w:cs="Arial"/>
          <w:sz w:val="22"/>
          <w:szCs w:val="22"/>
        </w:rPr>
      </w:pPr>
    </w:p>
    <w:p w14:paraId="408E40B5" w14:textId="597969A9" w:rsidR="00F554D1" w:rsidRPr="006978AC" w:rsidRDefault="00F554D1" w:rsidP="00FB2D39">
      <w:pPr>
        <w:pStyle w:val="HeadingNoTOC"/>
        <w:spacing w:after="240"/>
        <w:jc w:val="both"/>
        <w:rPr>
          <w:rFonts w:ascii="Arial" w:hAnsi="Arial" w:cs="Arial"/>
          <w:sz w:val="22"/>
          <w:szCs w:val="22"/>
        </w:rPr>
      </w:pPr>
      <w:r w:rsidRPr="006978AC">
        <w:rPr>
          <w:rFonts w:ascii="Arial" w:hAnsi="Arial" w:cs="Arial"/>
          <w:sz w:val="22"/>
          <w:szCs w:val="22"/>
        </w:rPr>
        <w:t>Objectives and Endpoints:</w:t>
      </w:r>
    </w:p>
    <w:tbl>
      <w:tblPr>
        <w:tblStyle w:val="TableGrid"/>
        <w:tblW w:w="5000" w:type="pct"/>
        <w:tblLook w:val="04A0" w:firstRow="1" w:lastRow="0" w:firstColumn="1" w:lastColumn="0" w:noHBand="0" w:noVBand="1"/>
      </w:tblPr>
      <w:tblGrid>
        <w:gridCol w:w="4711"/>
        <w:gridCol w:w="4639"/>
      </w:tblGrid>
      <w:tr w:rsidR="00F554D1" w:rsidRPr="006978AC" w14:paraId="0273C42E" w14:textId="77777777" w:rsidTr="00A77308">
        <w:tc>
          <w:tcPr>
            <w:tcW w:w="2519" w:type="pct"/>
            <w:shd w:val="clear" w:color="auto" w:fill="auto"/>
          </w:tcPr>
          <w:p w14:paraId="2C55412A" w14:textId="77777777" w:rsidR="00F554D1" w:rsidRPr="006978AC" w:rsidRDefault="00F554D1" w:rsidP="00FB2D39">
            <w:pPr>
              <w:pStyle w:val="TableHeaderText"/>
              <w:jc w:val="both"/>
              <w:rPr>
                <w:rFonts w:ascii="Arial" w:hAnsi="Arial" w:cs="Arial"/>
                <w:sz w:val="22"/>
                <w:szCs w:val="22"/>
                <w:lang w:val="en-GB"/>
              </w:rPr>
            </w:pPr>
            <w:r w:rsidRPr="006978AC">
              <w:rPr>
                <w:rFonts w:ascii="Arial" w:hAnsi="Arial" w:cs="Arial"/>
                <w:sz w:val="22"/>
                <w:szCs w:val="22"/>
                <w:lang w:val="en-GB"/>
              </w:rPr>
              <w:t>Objectives</w:t>
            </w:r>
          </w:p>
        </w:tc>
        <w:tc>
          <w:tcPr>
            <w:tcW w:w="2481" w:type="pct"/>
            <w:shd w:val="clear" w:color="auto" w:fill="auto"/>
          </w:tcPr>
          <w:p w14:paraId="5DB1A0D4" w14:textId="77777777" w:rsidR="00F554D1" w:rsidRPr="006978AC" w:rsidRDefault="00F554D1" w:rsidP="00FB2D39">
            <w:pPr>
              <w:pStyle w:val="TableHeaderText"/>
              <w:jc w:val="both"/>
              <w:rPr>
                <w:rFonts w:ascii="Arial" w:hAnsi="Arial" w:cs="Arial"/>
                <w:sz w:val="22"/>
                <w:szCs w:val="22"/>
                <w:lang w:val="en-GB"/>
              </w:rPr>
            </w:pPr>
            <w:r w:rsidRPr="006978AC">
              <w:rPr>
                <w:rFonts w:ascii="Arial" w:hAnsi="Arial" w:cs="Arial"/>
                <w:sz w:val="22"/>
                <w:szCs w:val="22"/>
                <w:lang w:val="en-GB"/>
              </w:rPr>
              <w:t>Endpoints</w:t>
            </w:r>
          </w:p>
        </w:tc>
      </w:tr>
      <w:tr w:rsidR="00F554D1" w:rsidRPr="006978AC" w14:paraId="7889740F" w14:textId="77777777" w:rsidTr="00A77308">
        <w:tc>
          <w:tcPr>
            <w:tcW w:w="5000" w:type="pct"/>
            <w:gridSpan w:val="2"/>
            <w:shd w:val="clear" w:color="auto" w:fill="auto"/>
          </w:tcPr>
          <w:p w14:paraId="2E39C00D" w14:textId="77777777" w:rsidR="00F554D1" w:rsidRPr="006978AC" w:rsidRDefault="00F554D1" w:rsidP="00FB2D39">
            <w:pPr>
              <w:pStyle w:val="TableText"/>
              <w:jc w:val="both"/>
              <w:rPr>
                <w:rFonts w:ascii="Arial" w:hAnsi="Arial" w:cs="Arial"/>
                <w:sz w:val="22"/>
                <w:szCs w:val="22"/>
                <w:lang w:val="en-GB"/>
              </w:rPr>
            </w:pPr>
            <w:r w:rsidRPr="006978AC">
              <w:rPr>
                <w:rFonts w:ascii="Arial" w:hAnsi="Arial" w:cs="Arial"/>
                <w:sz w:val="22"/>
                <w:szCs w:val="22"/>
                <w:lang w:val="en-GB"/>
              </w:rPr>
              <w:t xml:space="preserve">Primary  </w:t>
            </w:r>
          </w:p>
        </w:tc>
      </w:tr>
      <w:tr w:rsidR="00F554D1" w:rsidRPr="006978AC" w14:paraId="10A8469A" w14:textId="77777777" w:rsidTr="00A77308">
        <w:tc>
          <w:tcPr>
            <w:tcW w:w="2519" w:type="pct"/>
            <w:shd w:val="clear" w:color="auto" w:fill="auto"/>
          </w:tcPr>
          <w:p w14:paraId="339537CF" w14:textId="77777777" w:rsidR="00F554D1" w:rsidRPr="006978AC" w:rsidRDefault="00F554D1" w:rsidP="00FB2D39">
            <w:pPr>
              <w:pStyle w:val="TableText"/>
              <w:numPr>
                <w:ilvl w:val="0"/>
                <w:numId w:val="35"/>
              </w:numPr>
              <w:tabs>
                <w:tab w:val="clear" w:pos="576"/>
                <w:tab w:val="left" w:pos="695"/>
              </w:tabs>
              <w:jc w:val="both"/>
              <w:rPr>
                <w:rFonts w:ascii="Arial" w:hAnsi="Arial" w:cs="Arial"/>
                <w:sz w:val="22"/>
                <w:szCs w:val="22"/>
              </w:rPr>
            </w:pPr>
            <w:r w:rsidRPr="006978AC">
              <w:rPr>
                <w:rFonts w:ascii="Arial" w:hAnsi="Arial" w:cs="Arial"/>
                <w:sz w:val="22"/>
                <w:szCs w:val="22"/>
              </w:rPr>
              <w:t xml:space="preserve">To test the efficacy of </w:t>
            </w:r>
            <w:r w:rsidR="00C56F26" w:rsidRPr="006978AC">
              <w:rPr>
                <w:rFonts w:ascii="Arial" w:hAnsi="Arial" w:cs="Arial"/>
                <w:sz w:val="22"/>
                <w:szCs w:val="22"/>
              </w:rPr>
              <w:t>experimental interventions</w:t>
            </w:r>
            <w:r w:rsidRPr="006978AC">
              <w:rPr>
                <w:rFonts w:ascii="Arial" w:hAnsi="Arial" w:cs="Arial"/>
                <w:sz w:val="22"/>
                <w:szCs w:val="22"/>
              </w:rPr>
              <w:t xml:space="preserve"> to prevent progression to LRTI, among persons with SARS-CoV-2 infection who are at high risk of progression, compared to ascorbic acid. </w:t>
            </w:r>
          </w:p>
          <w:p w14:paraId="5D8B7023" w14:textId="7E8ADC35" w:rsidR="0075611D" w:rsidRPr="006978AC" w:rsidRDefault="0075611D" w:rsidP="00FB2D39">
            <w:pPr>
              <w:pStyle w:val="TableText"/>
              <w:numPr>
                <w:ilvl w:val="0"/>
                <w:numId w:val="35"/>
              </w:numPr>
              <w:tabs>
                <w:tab w:val="clear" w:pos="576"/>
                <w:tab w:val="left" w:pos="695"/>
              </w:tabs>
              <w:jc w:val="both"/>
              <w:rPr>
                <w:rFonts w:ascii="Arial" w:hAnsi="Arial" w:cs="Arial"/>
                <w:sz w:val="22"/>
                <w:szCs w:val="22"/>
              </w:rPr>
            </w:pPr>
            <w:r w:rsidRPr="006978AC">
              <w:rPr>
                <w:rFonts w:ascii="Arial" w:hAnsi="Arial" w:cs="Arial"/>
                <w:sz w:val="22"/>
                <w:szCs w:val="22"/>
              </w:rPr>
              <w:t>To test the efficacy of experimental interventions to reduce SARS-CoV-2 viral shedding</w:t>
            </w:r>
          </w:p>
        </w:tc>
        <w:tc>
          <w:tcPr>
            <w:tcW w:w="2481" w:type="pct"/>
            <w:shd w:val="clear" w:color="auto" w:fill="auto"/>
          </w:tcPr>
          <w:p w14:paraId="4959C448" w14:textId="32292674" w:rsidR="00F554D1" w:rsidRPr="006978AC" w:rsidRDefault="00F554D1" w:rsidP="00FB2D39">
            <w:pPr>
              <w:pStyle w:val="TableText"/>
              <w:numPr>
                <w:ilvl w:val="0"/>
                <w:numId w:val="35"/>
              </w:numPr>
              <w:tabs>
                <w:tab w:val="clear" w:pos="576"/>
                <w:tab w:val="left" w:pos="668"/>
              </w:tabs>
              <w:jc w:val="both"/>
              <w:rPr>
                <w:rFonts w:ascii="Arial" w:hAnsi="Arial" w:cs="Arial"/>
                <w:sz w:val="22"/>
                <w:szCs w:val="22"/>
              </w:rPr>
            </w:pPr>
            <w:r w:rsidRPr="006978AC">
              <w:rPr>
                <w:rFonts w:ascii="Arial" w:hAnsi="Arial" w:cs="Arial"/>
                <w:sz w:val="22"/>
                <w:szCs w:val="22"/>
              </w:rPr>
              <w:t>LRTI, defined by SpO</w:t>
            </w:r>
            <w:r w:rsidRPr="006978AC">
              <w:rPr>
                <w:rFonts w:ascii="Arial" w:hAnsi="Arial" w:cs="Arial"/>
                <w:sz w:val="22"/>
                <w:szCs w:val="22"/>
                <w:vertAlign w:val="subscript"/>
              </w:rPr>
              <w:t>2</w:t>
            </w:r>
            <w:r w:rsidRPr="006978AC">
              <w:rPr>
                <w:rFonts w:ascii="Arial" w:hAnsi="Arial" w:cs="Arial"/>
                <w:sz w:val="22"/>
                <w:szCs w:val="22"/>
              </w:rPr>
              <w:t xml:space="preserve">&lt;93% or decline from baseline of 6% in 2 measurements at least 2 hours apart. </w:t>
            </w:r>
          </w:p>
          <w:p w14:paraId="6FB50CC0" w14:textId="41D416E0" w:rsidR="0075611D" w:rsidRPr="006978AC" w:rsidRDefault="0075611D" w:rsidP="00FB2D39">
            <w:pPr>
              <w:pStyle w:val="TableText"/>
              <w:tabs>
                <w:tab w:val="clear" w:pos="576"/>
                <w:tab w:val="left" w:pos="668"/>
              </w:tabs>
              <w:ind w:left="720"/>
              <w:jc w:val="both"/>
              <w:rPr>
                <w:rFonts w:ascii="Arial" w:hAnsi="Arial" w:cs="Arial"/>
                <w:sz w:val="22"/>
                <w:szCs w:val="22"/>
              </w:rPr>
            </w:pPr>
            <w:r w:rsidRPr="006978AC">
              <w:rPr>
                <w:rFonts w:ascii="Arial" w:hAnsi="Arial" w:cs="Arial"/>
                <w:i/>
                <w:sz w:val="22"/>
                <w:szCs w:val="22"/>
              </w:rPr>
              <w:t xml:space="preserve">Trial is statistically powered for this </w:t>
            </w:r>
            <w:r w:rsidRPr="00881BB0">
              <w:rPr>
                <w:rFonts w:ascii="Arial" w:hAnsi="Arial" w:cs="Arial"/>
                <w:i/>
                <w:sz w:val="22"/>
                <w:szCs w:val="22"/>
              </w:rPr>
              <w:t>endpoint in both the high-risk</w:t>
            </w:r>
            <w:r w:rsidR="00AF10A5" w:rsidRPr="00881BB0">
              <w:rPr>
                <w:rFonts w:ascii="Arial" w:hAnsi="Arial" w:cs="Arial"/>
                <w:i/>
                <w:sz w:val="22"/>
                <w:szCs w:val="22"/>
              </w:rPr>
              <w:t xml:space="preserve"> and low-risk</w:t>
            </w:r>
            <w:r w:rsidRPr="00881BB0">
              <w:rPr>
                <w:rFonts w:ascii="Arial" w:hAnsi="Arial" w:cs="Arial"/>
                <w:i/>
                <w:sz w:val="22"/>
                <w:szCs w:val="22"/>
              </w:rPr>
              <w:t xml:space="preserve"> populations. Lower-risk population is included as an exploratory analysis and will be analyzed separately to the high-risk cohort.</w:t>
            </w:r>
          </w:p>
          <w:p w14:paraId="5D73D6EF" w14:textId="4648FDEA" w:rsidR="0075611D" w:rsidRPr="006978AC" w:rsidRDefault="0075611D" w:rsidP="00FB2D39">
            <w:pPr>
              <w:pStyle w:val="TableText"/>
              <w:numPr>
                <w:ilvl w:val="0"/>
                <w:numId w:val="35"/>
              </w:numPr>
              <w:tabs>
                <w:tab w:val="clear" w:pos="576"/>
                <w:tab w:val="left" w:pos="668"/>
              </w:tabs>
              <w:jc w:val="both"/>
              <w:rPr>
                <w:rFonts w:ascii="Arial" w:hAnsi="Arial" w:cs="Arial"/>
                <w:sz w:val="22"/>
                <w:szCs w:val="22"/>
              </w:rPr>
            </w:pPr>
            <w:r w:rsidRPr="006978AC">
              <w:rPr>
                <w:rFonts w:ascii="Arial" w:hAnsi="Arial" w:cs="Arial"/>
                <w:sz w:val="22"/>
                <w:szCs w:val="22"/>
              </w:rPr>
              <w:t xml:space="preserve">Time to clearance of nasal SARS-CoV-2, defined as </w:t>
            </w:r>
            <w:r w:rsidR="00D10660" w:rsidRPr="006978AC">
              <w:rPr>
                <w:rFonts w:ascii="Arial" w:hAnsi="Arial" w:cs="Arial"/>
                <w:sz w:val="22"/>
                <w:szCs w:val="22"/>
              </w:rPr>
              <w:t xml:space="preserve">1 </w:t>
            </w:r>
            <w:r w:rsidRPr="006978AC">
              <w:rPr>
                <w:rFonts w:ascii="Arial" w:hAnsi="Arial" w:cs="Arial"/>
                <w:sz w:val="22"/>
                <w:szCs w:val="22"/>
              </w:rPr>
              <w:t>negative swab</w:t>
            </w:r>
            <w:r w:rsidR="00D10660" w:rsidRPr="006978AC">
              <w:rPr>
                <w:rFonts w:ascii="Arial" w:hAnsi="Arial" w:cs="Arial"/>
                <w:sz w:val="22"/>
                <w:szCs w:val="22"/>
              </w:rPr>
              <w:t>.</w:t>
            </w:r>
            <w:r w:rsidRPr="006978AC">
              <w:rPr>
                <w:rFonts w:ascii="Arial" w:hAnsi="Arial" w:cs="Arial"/>
                <w:sz w:val="22"/>
                <w:szCs w:val="22"/>
              </w:rPr>
              <w:t xml:space="preserve"> </w:t>
            </w:r>
          </w:p>
          <w:p w14:paraId="13CBE8A2" w14:textId="1F49E4A2" w:rsidR="00F554D1" w:rsidRPr="006978AC" w:rsidRDefault="006A70E5" w:rsidP="00FB2D39">
            <w:pPr>
              <w:pStyle w:val="TableText"/>
              <w:tabs>
                <w:tab w:val="clear" w:pos="288"/>
                <w:tab w:val="clear" w:pos="576"/>
                <w:tab w:val="clear" w:pos="864"/>
                <w:tab w:val="left" w:pos="3381"/>
              </w:tabs>
              <w:jc w:val="both"/>
              <w:rPr>
                <w:rFonts w:ascii="Arial" w:hAnsi="Arial" w:cs="Arial"/>
                <w:sz w:val="22"/>
                <w:szCs w:val="22"/>
              </w:rPr>
            </w:pPr>
            <w:r w:rsidRPr="006978AC">
              <w:rPr>
                <w:rFonts w:ascii="Arial" w:hAnsi="Arial" w:cs="Arial"/>
                <w:sz w:val="22"/>
                <w:szCs w:val="22"/>
              </w:rPr>
              <w:tab/>
            </w:r>
          </w:p>
        </w:tc>
      </w:tr>
      <w:tr w:rsidR="00F554D1" w:rsidRPr="00881BB0" w14:paraId="51423898" w14:textId="77777777" w:rsidTr="00A77308">
        <w:tc>
          <w:tcPr>
            <w:tcW w:w="5000" w:type="pct"/>
            <w:gridSpan w:val="2"/>
            <w:shd w:val="clear" w:color="auto" w:fill="auto"/>
          </w:tcPr>
          <w:p w14:paraId="22A93AD1" w14:textId="77777777" w:rsidR="00F554D1" w:rsidRPr="00881BB0" w:rsidRDefault="00F554D1" w:rsidP="00FB2D39">
            <w:pPr>
              <w:pStyle w:val="TableText"/>
              <w:keepNext/>
              <w:jc w:val="both"/>
              <w:rPr>
                <w:rFonts w:ascii="Arial" w:hAnsi="Arial" w:cs="Arial"/>
                <w:sz w:val="22"/>
                <w:szCs w:val="22"/>
              </w:rPr>
            </w:pPr>
            <w:r w:rsidRPr="00881BB0">
              <w:rPr>
                <w:rFonts w:ascii="Arial" w:hAnsi="Arial" w:cs="Arial"/>
                <w:sz w:val="22"/>
                <w:szCs w:val="22"/>
              </w:rPr>
              <w:t>Secondary</w:t>
            </w:r>
          </w:p>
        </w:tc>
      </w:tr>
      <w:tr w:rsidR="00F554D1" w:rsidRPr="00881BB0" w14:paraId="61B3F270" w14:textId="77777777" w:rsidTr="00A77308">
        <w:tc>
          <w:tcPr>
            <w:tcW w:w="2519" w:type="pct"/>
            <w:shd w:val="clear" w:color="auto" w:fill="auto"/>
          </w:tcPr>
          <w:p w14:paraId="748202CC" w14:textId="43B40CBB" w:rsidR="00F554D1" w:rsidRPr="00881BB0" w:rsidRDefault="00F554D1" w:rsidP="00FB2D39">
            <w:pPr>
              <w:pStyle w:val="TableText"/>
              <w:numPr>
                <w:ilvl w:val="0"/>
                <w:numId w:val="36"/>
              </w:numPr>
              <w:tabs>
                <w:tab w:val="clear" w:pos="576"/>
                <w:tab w:val="left" w:pos="695"/>
              </w:tabs>
              <w:jc w:val="both"/>
              <w:rPr>
                <w:rFonts w:ascii="Arial" w:hAnsi="Arial" w:cs="Arial"/>
                <w:sz w:val="22"/>
                <w:szCs w:val="22"/>
              </w:rPr>
            </w:pPr>
            <w:r w:rsidRPr="00881BB0">
              <w:rPr>
                <w:rFonts w:ascii="Arial" w:hAnsi="Arial" w:cs="Arial"/>
                <w:sz w:val="22"/>
                <w:szCs w:val="22"/>
              </w:rPr>
              <w:t xml:space="preserve">To test the safety of </w:t>
            </w:r>
            <w:r w:rsidR="00C56F26" w:rsidRPr="00881BB0">
              <w:rPr>
                <w:rFonts w:ascii="Arial" w:hAnsi="Arial" w:cs="Arial"/>
                <w:sz w:val="22"/>
                <w:szCs w:val="22"/>
              </w:rPr>
              <w:t xml:space="preserve">experimental interventions </w:t>
            </w:r>
            <w:r w:rsidRPr="00881BB0">
              <w:rPr>
                <w:rFonts w:ascii="Arial" w:hAnsi="Arial" w:cs="Arial"/>
                <w:sz w:val="22"/>
                <w:szCs w:val="22"/>
              </w:rPr>
              <w:t>for treatment of high-risk outpatients with SARS</w:t>
            </w:r>
            <w:r w:rsidRPr="00881BB0">
              <w:rPr>
                <w:rFonts w:ascii="Arial" w:hAnsi="Arial" w:cs="Arial"/>
                <w:sz w:val="22"/>
                <w:szCs w:val="22"/>
              </w:rPr>
              <w:noBreakHyphen/>
              <w:t>CoV-2 infection</w:t>
            </w:r>
          </w:p>
        </w:tc>
        <w:tc>
          <w:tcPr>
            <w:tcW w:w="2481" w:type="pct"/>
            <w:shd w:val="clear" w:color="auto" w:fill="auto"/>
          </w:tcPr>
          <w:p w14:paraId="3AB2354F" w14:textId="77777777" w:rsidR="00F554D1" w:rsidRPr="00881BB0" w:rsidRDefault="00F554D1" w:rsidP="00FB2D39">
            <w:pPr>
              <w:pStyle w:val="TableText"/>
              <w:numPr>
                <w:ilvl w:val="0"/>
                <w:numId w:val="36"/>
              </w:numPr>
              <w:tabs>
                <w:tab w:val="clear" w:pos="576"/>
                <w:tab w:val="left" w:pos="668"/>
              </w:tabs>
              <w:jc w:val="both"/>
              <w:rPr>
                <w:rFonts w:ascii="Arial" w:hAnsi="Arial" w:cs="Arial"/>
                <w:sz w:val="22"/>
                <w:szCs w:val="22"/>
              </w:rPr>
            </w:pPr>
            <w:r w:rsidRPr="00881BB0">
              <w:rPr>
                <w:rFonts w:ascii="Arial" w:hAnsi="Arial" w:cs="Arial"/>
                <w:sz w:val="22"/>
                <w:szCs w:val="22"/>
              </w:rPr>
              <w:t xml:space="preserve">Serious adverse events (including death, hospitalization) and adverse events resulting in treatment discontinuation </w:t>
            </w:r>
          </w:p>
        </w:tc>
      </w:tr>
      <w:tr w:rsidR="00F554D1" w:rsidRPr="00881BB0" w14:paraId="00351ECB" w14:textId="77777777" w:rsidTr="00A77308">
        <w:tc>
          <w:tcPr>
            <w:tcW w:w="2519" w:type="pct"/>
            <w:shd w:val="clear" w:color="auto" w:fill="auto"/>
          </w:tcPr>
          <w:p w14:paraId="4F688B41" w14:textId="68E15CD1" w:rsidR="00F554D1" w:rsidRPr="00881BB0" w:rsidRDefault="00F554D1" w:rsidP="00FB2D39">
            <w:pPr>
              <w:pStyle w:val="TableText"/>
              <w:numPr>
                <w:ilvl w:val="0"/>
                <w:numId w:val="36"/>
              </w:numPr>
              <w:tabs>
                <w:tab w:val="clear" w:pos="576"/>
                <w:tab w:val="left" w:pos="695"/>
              </w:tabs>
              <w:jc w:val="both"/>
              <w:rPr>
                <w:rFonts w:ascii="Arial" w:hAnsi="Arial" w:cs="Arial"/>
                <w:sz w:val="22"/>
                <w:szCs w:val="22"/>
              </w:rPr>
            </w:pPr>
            <w:r w:rsidRPr="00881BB0">
              <w:rPr>
                <w:rFonts w:ascii="Arial" w:hAnsi="Arial" w:cs="Arial"/>
                <w:sz w:val="22"/>
                <w:szCs w:val="22"/>
              </w:rPr>
              <w:t xml:space="preserve">To test whether </w:t>
            </w:r>
            <w:r w:rsidR="00C56F26" w:rsidRPr="00881BB0">
              <w:rPr>
                <w:rFonts w:ascii="Arial" w:hAnsi="Arial" w:cs="Arial"/>
                <w:sz w:val="22"/>
                <w:szCs w:val="22"/>
              </w:rPr>
              <w:t xml:space="preserve">any of the experimental interventions </w:t>
            </w:r>
            <w:r w:rsidRPr="00881BB0">
              <w:rPr>
                <w:rFonts w:ascii="Arial" w:hAnsi="Arial" w:cs="Arial"/>
                <w:sz w:val="22"/>
                <w:szCs w:val="22"/>
              </w:rPr>
              <w:t>has an effect on hospitalization and describe the duration of hospitalization among persons who become hospitalized with COVID-19 disease</w:t>
            </w:r>
          </w:p>
        </w:tc>
        <w:tc>
          <w:tcPr>
            <w:tcW w:w="2481" w:type="pct"/>
            <w:shd w:val="clear" w:color="auto" w:fill="auto"/>
          </w:tcPr>
          <w:p w14:paraId="78B30AE9" w14:textId="77777777" w:rsidR="00F554D1" w:rsidRPr="00881BB0" w:rsidRDefault="00F554D1" w:rsidP="00FB2D39">
            <w:pPr>
              <w:pStyle w:val="TableText"/>
              <w:numPr>
                <w:ilvl w:val="0"/>
                <w:numId w:val="36"/>
              </w:numPr>
              <w:jc w:val="both"/>
              <w:rPr>
                <w:rFonts w:ascii="Arial" w:hAnsi="Arial" w:cs="Arial"/>
                <w:sz w:val="22"/>
                <w:szCs w:val="22"/>
              </w:rPr>
            </w:pPr>
            <w:r w:rsidRPr="00881BB0">
              <w:rPr>
                <w:rFonts w:ascii="Arial" w:hAnsi="Arial" w:cs="Arial"/>
                <w:sz w:val="22"/>
                <w:szCs w:val="22"/>
              </w:rPr>
              <w:t>Proportion hospitalized</w:t>
            </w:r>
          </w:p>
          <w:p w14:paraId="07B685BB" w14:textId="77777777" w:rsidR="00F554D1" w:rsidRPr="00881BB0" w:rsidRDefault="00F554D1" w:rsidP="00FB2D39">
            <w:pPr>
              <w:pStyle w:val="TableText"/>
              <w:numPr>
                <w:ilvl w:val="0"/>
                <w:numId w:val="36"/>
              </w:numPr>
              <w:jc w:val="both"/>
              <w:rPr>
                <w:rFonts w:ascii="Arial" w:hAnsi="Arial" w:cs="Arial"/>
                <w:sz w:val="22"/>
                <w:szCs w:val="22"/>
              </w:rPr>
            </w:pPr>
            <w:r w:rsidRPr="00881BB0">
              <w:rPr>
                <w:rFonts w:ascii="Arial" w:hAnsi="Arial" w:cs="Arial"/>
                <w:sz w:val="22"/>
                <w:szCs w:val="22"/>
              </w:rPr>
              <w:t xml:space="preserve">Days of hospitalization </w:t>
            </w:r>
          </w:p>
        </w:tc>
      </w:tr>
      <w:tr w:rsidR="00F554D1" w:rsidRPr="00881BB0" w14:paraId="445F5344" w14:textId="77777777" w:rsidTr="00A77308">
        <w:tc>
          <w:tcPr>
            <w:tcW w:w="2519" w:type="pct"/>
            <w:shd w:val="clear" w:color="auto" w:fill="auto"/>
          </w:tcPr>
          <w:p w14:paraId="10EB0CA5" w14:textId="5BE76FC6" w:rsidR="00F554D1" w:rsidRPr="00881BB0" w:rsidRDefault="00F554D1" w:rsidP="00FB2D39">
            <w:pPr>
              <w:pStyle w:val="TableText"/>
              <w:numPr>
                <w:ilvl w:val="0"/>
                <w:numId w:val="36"/>
              </w:numPr>
              <w:tabs>
                <w:tab w:val="clear" w:pos="576"/>
                <w:tab w:val="left" w:pos="695"/>
              </w:tabs>
              <w:jc w:val="both"/>
              <w:rPr>
                <w:rFonts w:ascii="Arial" w:hAnsi="Arial" w:cs="Arial"/>
                <w:sz w:val="22"/>
                <w:szCs w:val="22"/>
              </w:rPr>
            </w:pPr>
            <w:r w:rsidRPr="00881BB0">
              <w:rPr>
                <w:rFonts w:ascii="Arial" w:hAnsi="Arial" w:cs="Arial"/>
                <w:sz w:val="22"/>
                <w:szCs w:val="22"/>
              </w:rPr>
              <w:t xml:space="preserve">To test whether </w:t>
            </w:r>
            <w:r w:rsidR="00C56F26" w:rsidRPr="00881BB0">
              <w:rPr>
                <w:rFonts w:ascii="Arial" w:hAnsi="Arial" w:cs="Arial"/>
                <w:sz w:val="22"/>
                <w:szCs w:val="22"/>
              </w:rPr>
              <w:t xml:space="preserve">any of the experimental interventions </w:t>
            </w:r>
            <w:r w:rsidRPr="00881BB0">
              <w:rPr>
                <w:rFonts w:ascii="Arial" w:hAnsi="Arial" w:cs="Arial"/>
                <w:sz w:val="22"/>
                <w:szCs w:val="22"/>
              </w:rPr>
              <w:t xml:space="preserve">decrease resolution rate for symptomatic SARS-CoV-2 infection / COVID-19 disease </w:t>
            </w:r>
          </w:p>
        </w:tc>
        <w:tc>
          <w:tcPr>
            <w:tcW w:w="2481" w:type="pct"/>
            <w:shd w:val="clear" w:color="auto" w:fill="auto"/>
          </w:tcPr>
          <w:p w14:paraId="2450C094" w14:textId="77777777" w:rsidR="00F554D1" w:rsidRPr="00881BB0" w:rsidRDefault="00F554D1" w:rsidP="00FB2D39">
            <w:pPr>
              <w:pStyle w:val="TableText"/>
              <w:numPr>
                <w:ilvl w:val="0"/>
                <w:numId w:val="36"/>
              </w:numPr>
              <w:jc w:val="both"/>
              <w:rPr>
                <w:rFonts w:ascii="Arial" w:hAnsi="Arial" w:cs="Arial"/>
                <w:sz w:val="22"/>
                <w:szCs w:val="22"/>
              </w:rPr>
            </w:pPr>
            <w:r w:rsidRPr="00881BB0">
              <w:rPr>
                <w:rFonts w:ascii="Arial" w:hAnsi="Arial" w:cs="Arial"/>
                <w:sz w:val="22"/>
                <w:szCs w:val="22"/>
              </w:rPr>
              <w:t>Proportion of days with fever after randomization</w:t>
            </w:r>
          </w:p>
          <w:p w14:paraId="48F8BD2C" w14:textId="77777777" w:rsidR="00F554D1" w:rsidRPr="00881BB0" w:rsidRDefault="00F554D1" w:rsidP="00FB2D39">
            <w:pPr>
              <w:pStyle w:val="TableText"/>
              <w:numPr>
                <w:ilvl w:val="0"/>
                <w:numId w:val="36"/>
              </w:numPr>
              <w:jc w:val="both"/>
              <w:rPr>
                <w:rFonts w:ascii="Arial" w:hAnsi="Arial" w:cs="Arial"/>
                <w:sz w:val="22"/>
                <w:szCs w:val="22"/>
              </w:rPr>
            </w:pPr>
            <w:r w:rsidRPr="00881BB0">
              <w:rPr>
                <w:rFonts w:ascii="Arial" w:hAnsi="Arial" w:cs="Arial"/>
                <w:sz w:val="22"/>
                <w:szCs w:val="22"/>
              </w:rPr>
              <w:t>Proportion of days with respiratory symptoms after randomization</w:t>
            </w:r>
          </w:p>
          <w:p w14:paraId="097E1103" w14:textId="77777777" w:rsidR="00F554D1" w:rsidRPr="00881BB0" w:rsidRDefault="00F554D1" w:rsidP="00FB2D39">
            <w:pPr>
              <w:pStyle w:val="TableText"/>
              <w:numPr>
                <w:ilvl w:val="0"/>
                <w:numId w:val="36"/>
              </w:numPr>
              <w:jc w:val="both"/>
              <w:rPr>
                <w:rFonts w:ascii="Arial" w:hAnsi="Arial" w:cs="Arial"/>
                <w:sz w:val="22"/>
                <w:szCs w:val="22"/>
              </w:rPr>
            </w:pPr>
            <w:r w:rsidRPr="00881BB0">
              <w:rPr>
                <w:rFonts w:ascii="Arial" w:hAnsi="Arial" w:cs="Arial"/>
                <w:sz w:val="22"/>
                <w:szCs w:val="22"/>
              </w:rPr>
              <w:t>Proportion of days with SpO</w:t>
            </w:r>
            <w:r w:rsidRPr="00881BB0">
              <w:rPr>
                <w:rFonts w:ascii="Arial" w:hAnsi="Arial" w:cs="Arial"/>
                <w:sz w:val="22"/>
                <w:szCs w:val="22"/>
                <w:vertAlign w:val="subscript"/>
              </w:rPr>
              <w:t>2</w:t>
            </w:r>
            <w:r w:rsidRPr="00881BB0">
              <w:rPr>
                <w:rFonts w:ascii="Arial" w:hAnsi="Arial" w:cs="Arial"/>
                <w:sz w:val="22"/>
                <w:szCs w:val="22"/>
              </w:rPr>
              <w:t>&lt;93% for &gt;1 hour/day after randomization</w:t>
            </w:r>
          </w:p>
        </w:tc>
      </w:tr>
      <w:tr w:rsidR="00F554D1" w:rsidRPr="00881BB0" w14:paraId="04E3819B" w14:textId="77777777" w:rsidTr="00A77308">
        <w:tc>
          <w:tcPr>
            <w:tcW w:w="2519" w:type="pct"/>
            <w:shd w:val="clear" w:color="auto" w:fill="auto"/>
          </w:tcPr>
          <w:p w14:paraId="2A6927FB" w14:textId="637A9ABB" w:rsidR="006E67DF" w:rsidRPr="00BF2536" w:rsidRDefault="006E67DF" w:rsidP="00D3627E">
            <w:pPr>
              <w:pStyle w:val="TableText"/>
              <w:numPr>
                <w:ilvl w:val="0"/>
                <w:numId w:val="36"/>
              </w:numPr>
              <w:tabs>
                <w:tab w:val="clear" w:pos="576"/>
                <w:tab w:val="left" w:pos="695"/>
              </w:tabs>
              <w:jc w:val="both"/>
              <w:rPr>
                <w:rFonts w:ascii="Arial" w:hAnsi="Arial" w:cs="Arial"/>
                <w:sz w:val="22"/>
                <w:szCs w:val="22"/>
              </w:rPr>
            </w:pPr>
            <w:r w:rsidRPr="00881BB0">
              <w:rPr>
                <w:rFonts w:ascii="Arial" w:hAnsi="Arial" w:cs="Arial"/>
                <w:sz w:val="22"/>
                <w:szCs w:val="22"/>
              </w:rPr>
              <w:t>To test whether any of the experimental interventions is associated with decreased viral shedding from self-collected nasal swabs over 1</w:t>
            </w:r>
            <w:r>
              <w:rPr>
                <w:rFonts w:ascii="Arial" w:hAnsi="Arial" w:cs="Arial"/>
                <w:sz w:val="22"/>
                <w:szCs w:val="22"/>
              </w:rPr>
              <w:t>4</w:t>
            </w:r>
            <w:r w:rsidRPr="00881BB0">
              <w:rPr>
                <w:rFonts w:ascii="Arial" w:hAnsi="Arial" w:cs="Arial"/>
                <w:sz w:val="22"/>
                <w:szCs w:val="22"/>
              </w:rPr>
              <w:t xml:space="preserve"> days </w:t>
            </w:r>
            <w:r w:rsidRPr="00881BB0">
              <w:rPr>
                <w:rFonts w:ascii="Arial" w:hAnsi="Arial" w:cs="Arial"/>
                <w:sz w:val="22"/>
                <w:szCs w:val="22"/>
              </w:rPr>
              <w:lastRenderedPageBreak/>
              <w:t>(Day 1,</w:t>
            </w:r>
            <w:r w:rsidR="00BD0F42">
              <w:rPr>
                <w:rFonts w:ascii="Arial" w:hAnsi="Arial" w:cs="Arial"/>
                <w:sz w:val="22"/>
                <w:szCs w:val="22"/>
              </w:rPr>
              <w:t xml:space="preserve"> </w:t>
            </w:r>
            <w:r>
              <w:rPr>
                <w:rFonts w:ascii="Arial" w:hAnsi="Arial" w:cs="Arial"/>
                <w:sz w:val="22"/>
                <w:szCs w:val="22"/>
              </w:rPr>
              <w:t>Day 3,</w:t>
            </w:r>
            <w:r w:rsidRPr="00881BB0">
              <w:rPr>
                <w:rFonts w:ascii="Arial" w:hAnsi="Arial" w:cs="Arial"/>
                <w:sz w:val="22"/>
                <w:szCs w:val="22"/>
              </w:rPr>
              <w:t xml:space="preserve"> Day 5</w:t>
            </w:r>
            <w:r>
              <w:rPr>
                <w:rFonts w:ascii="Arial" w:hAnsi="Arial" w:cs="Arial"/>
                <w:sz w:val="22"/>
                <w:szCs w:val="22"/>
              </w:rPr>
              <w:t>, Day 7, Day 10</w:t>
            </w:r>
            <w:r w:rsidRPr="00881BB0">
              <w:rPr>
                <w:rFonts w:ascii="Arial" w:hAnsi="Arial" w:cs="Arial"/>
                <w:sz w:val="22"/>
                <w:szCs w:val="22"/>
              </w:rPr>
              <w:t xml:space="preserve"> and Day </w:t>
            </w:r>
            <w:proofErr w:type="gramStart"/>
            <w:r>
              <w:rPr>
                <w:rFonts w:ascii="Arial" w:hAnsi="Arial" w:cs="Arial"/>
                <w:sz w:val="22"/>
                <w:szCs w:val="22"/>
              </w:rPr>
              <w:t>14</w:t>
            </w:r>
            <w:r w:rsidRPr="00881BB0">
              <w:rPr>
                <w:rFonts w:ascii="Arial" w:hAnsi="Arial" w:cs="Arial"/>
                <w:sz w:val="22"/>
                <w:szCs w:val="22"/>
              </w:rPr>
              <w:t>)</w:t>
            </w:r>
            <w:r>
              <w:rPr>
                <w:rFonts w:ascii="Arial" w:hAnsi="Arial" w:cs="Arial"/>
                <w:sz w:val="22"/>
                <w:szCs w:val="22"/>
                <w:vertAlign w:val="superscript"/>
              </w:rPr>
              <w:t>*</w:t>
            </w:r>
            <w:proofErr w:type="gramEnd"/>
          </w:p>
          <w:p w14:paraId="180A33DE" w14:textId="1F2F9DC1" w:rsidR="00F554D1" w:rsidRPr="00881BB0" w:rsidRDefault="006E67DF" w:rsidP="00D3627E">
            <w:pPr>
              <w:pStyle w:val="TableText"/>
              <w:tabs>
                <w:tab w:val="clear" w:pos="576"/>
                <w:tab w:val="left" w:pos="695"/>
              </w:tabs>
              <w:ind w:left="720"/>
              <w:jc w:val="both"/>
              <w:rPr>
                <w:rFonts w:ascii="Arial" w:hAnsi="Arial" w:cs="Arial"/>
                <w:sz w:val="22"/>
                <w:szCs w:val="22"/>
              </w:rPr>
            </w:pPr>
            <w:r>
              <w:rPr>
                <w:rFonts w:ascii="Arial" w:hAnsi="Arial" w:cs="Arial"/>
                <w:sz w:val="22"/>
                <w:szCs w:val="22"/>
                <w:vertAlign w:val="superscript"/>
              </w:rPr>
              <w:t>*</w:t>
            </w:r>
            <w:r>
              <w:rPr>
                <w:rFonts w:ascii="Arial" w:hAnsi="Arial" w:cs="Arial"/>
                <w:sz w:val="22"/>
                <w:szCs w:val="22"/>
              </w:rPr>
              <w:t>Swab collection may be decreased to Day 1, Day 5 and Day 10 in participants where multiple swabbing is not feasible.</w:t>
            </w:r>
          </w:p>
        </w:tc>
        <w:tc>
          <w:tcPr>
            <w:tcW w:w="2481" w:type="pct"/>
            <w:shd w:val="clear" w:color="auto" w:fill="auto"/>
          </w:tcPr>
          <w:p w14:paraId="5A748F28" w14:textId="77777777" w:rsidR="00F554D1" w:rsidRPr="00881BB0" w:rsidRDefault="00F554D1" w:rsidP="00FB2D39">
            <w:pPr>
              <w:pStyle w:val="TableText"/>
              <w:numPr>
                <w:ilvl w:val="0"/>
                <w:numId w:val="36"/>
              </w:numPr>
              <w:jc w:val="both"/>
              <w:rPr>
                <w:rFonts w:ascii="Arial" w:hAnsi="Arial" w:cs="Arial"/>
                <w:sz w:val="22"/>
                <w:szCs w:val="22"/>
              </w:rPr>
            </w:pPr>
            <w:r w:rsidRPr="00881BB0">
              <w:rPr>
                <w:rFonts w:ascii="Arial" w:hAnsi="Arial" w:cs="Arial"/>
                <w:sz w:val="22"/>
                <w:szCs w:val="22"/>
              </w:rPr>
              <w:lastRenderedPageBreak/>
              <w:t>Proportion of days with SARS-CoV-2 detected from mid-nasal swabs by PCR</w:t>
            </w:r>
          </w:p>
          <w:p w14:paraId="44A4E49F" w14:textId="77777777" w:rsidR="00F554D1" w:rsidRPr="00881BB0" w:rsidRDefault="00F554D1" w:rsidP="00FB2D39">
            <w:pPr>
              <w:pStyle w:val="TableText"/>
              <w:numPr>
                <w:ilvl w:val="0"/>
                <w:numId w:val="36"/>
              </w:numPr>
              <w:jc w:val="both"/>
              <w:rPr>
                <w:rFonts w:ascii="Arial" w:hAnsi="Arial" w:cs="Arial"/>
                <w:sz w:val="22"/>
                <w:szCs w:val="22"/>
              </w:rPr>
            </w:pPr>
            <w:r w:rsidRPr="00881BB0">
              <w:rPr>
                <w:rFonts w:ascii="Arial" w:hAnsi="Arial" w:cs="Arial"/>
                <w:sz w:val="22"/>
                <w:szCs w:val="22"/>
              </w:rPr>
              <w:lastRenderedPageBreak/>
              <w:t>Median quantity of SARS-CoV-2 detected from mid-nasal swabs by PCR</w:t>
            </w:r>
          </w:p>
        </w:tc>
      </w:tr>
      <w:tr w:rsidR="00F554D1" w:rsidRPr="00881BB0" w14:paraId="570A00C9" w14:textId="77777777" w:rsidTr="00A77308">
        <w:tc>
          <w:tcPr>
            <w:tcW w:w="5000" w:type="pct"/>
            <w:gridSpan w:val="2"/>
            <w:shd w:val="clear" w:color="auto" w:fill="auto"/>
          </w:tcPr>
          <w:p w14:paraId="26EFC29E" w14:textId="4A7F6313" w:rsidR="00F554D1" w:rsidRPr="00881BB0" w:rsidRDefault="00F554D1" w:rsidP="00FB2D39">
            <w:pPr>
              <w:pStyle w:val="TableText"/>
              <w:jc w:val="both"/>
              <w:rPr>
                <w:rFonts w:ascii="Arial" w:hAnsi="Arial" w:cs="Arial"/>
                <w:sz w:val="22"/>
                <w:szCs w:val="22"/>
              </w:rPr>
            </w:pPr>
            <w:r w:rsidRPr="00881BB0">
              <w:rPr>
                <w:rFonts w:ascii="Arial" w:hAnsi="Arial" w:cs="Arial"/>
                <w:sz w:val="22"/>
                <w:szCs w:val="22"/>
              </w:rPr>
              <w:t>Exploratory</w:t>
            </w:r>
            <w:r w:rsidR="009260D1" w:rsidRPr="00881BB0">
              <w:rPr>
                <w:rFonts w:ascii="Arial" w:hAnsi="Arial" w:cs="Arial"/>
                <w:sz w:val="22"/>
                <w:szCs w:val="22"/>
              </w:rPr>
              <w:t xml:space="preserve"> (optional)</w:t>
            </w:r>
          </w:p>
        </w:tc>
      </w:tr>
      <w:tr w:rsidR="00F554D1" w:rsidRPr="00881BB0" w14:paraId="6C985509" w14:textId="77777777" w:rsidTr="00A77308">
        <w:tc>
          <w:tcPr>
            <w:tcW w:w="2519" w:type="pct"/>
            <w:shd w:val="clear" w:color="auto" w:fill="auto"/>
          </w:tcPr>
          <w:p w14:paraId="1776136D" w14:textId="1B9C9918" w:rsidR="00F554D1" w:rsidRPr="00881BB0" w:rsidRDefault="00F554D1" w:rsidP="00FB2D39">
            <w:pPr>
              <w:pStyle w:val="TableText"/>
              <w:numPr>
                <w:ilvl w:val="0"/>
                <w:numId w:val="37"/>
              </w:numPr>
              <w:jc w:val="both"/>
              <w:rPr>
                <w:rFonts w:ascii="Arial" w:hAnsi="Arial" w:cs="Arial"/>
                <w:sz w:val="22"/>
                <w:szCs w:val="22"/>
              </w:rPr>
            </w:pPr>
            <w:r w:rsidRPr="00881BB0">
              <w:rPr>
                <w:rFonts w:ascii="Arial" w:hAnsi="Arial" w:cs="Arial"/>
                <w:sz w:val="22"/>
                <w:szCs w:val="22"/>
              </w:rPr>
              <w:t xml:space="preserve">To assess pharmacokinetics of </w:t>
            </w:r>
            <w:r w:rsidR="00C56F26" w:rsidRPr="00881BB0">
              <w:rPr>
                <w:rFonts w:ascii="Arial" w:hAnsi="Arial" w:cs="Arial"/>
                <w:sz w:val="22"/>
                <w:szCs w:val="22"/>
              </w:rPr>
              <w:t xml:space="preserve">experimental </w:t>
            </w:r>
            <w:r w:rsidR="00C56F26" w:rsidRPr="00D426E1">
              <w:rPr>
                <w:rFonts w:ascii="Arial" w:hAnsi="Arial" w:cs="Arial"/>
                <w:sz w:val="22"/>
                <w:szCs w:val="22"/>
              </w:rPr>
              <w:t>interventions</w:t>
            </w:r>
            <w:r w:rsidRPr="00D426E1">
              <w:rPr>
                <w:rFonts w:ascii="Arial" w:hAnsi="Arial" w:cs="Arial"/>
                <w:sz w:val="22"/>
                <w:szCs w:val="22"/>
              </w:rPr>
              <w:t xml:space="preserve"> </w:t>
            </w:r>
            <w:r w:rsidR="00356A68" w:rsidRPr="00D426E1">
              <w:rPr>
                <w:rFonts w:ascii="Arial" w:hAnsi="Arial" w:cs="Arial"/>
                <w:sz w:val="22"/>
                <w:szCs w:val="22"/>
              </w:rPr>
              <w:t>and potential associations with clinical and virologic outcomes</w:t>
            </w:r>
          </w:p>
        </w:tc>
        <w:tc>
          <w:tcPr>
            <w:tcW w:w="2481" w:type="pct"/>
            <w:shd w:val="clear" w:color="auto" w:fill="auto"/>
          </w:tcPr>
          <w:p w14:paraId="27D40894" w14:textId="2B21B248" w:rsidR="00F554D1" w:rsidRPr="00881BB0" w:rsidRDefault="00C56F26" w:rsidP="00FB2D39">
            <w:pPr>
              <w:pStyle w:val="TableText"/>
              <w:numPr>
                <w:ilvl w:val="0"/>
                <w:numId w:val="37"/>
              </w:numPr>
              <w:jc w:val="both"/>
              <w:rPr>
                <w:rFonts w:ascii="Arial" w:hAnsi="Arial" w:cs="Arial"/>
                <w:sz w:val="22"/>
                <w:szCs w:val="22"/>
              </w:rPr>
            </w:pPr>
            <w:r w:rsidRPr="00881BB0">
              <w:rPr>
                <w:rFonts w:ascii="Arial" w:hAnsi="Arial" w:cs="Arial"/>
                <w:sz w:val="22"/>
                <w:szCs w:val="22"/>
              </w:rPr>
              <w:t>B</w:t>
            </w:r>
            <w:r w:rsidR="00F554D1" w:rsidRPr="00881BB0">
              <w:rPr>
                <w:rFonts w:ascii="Arial" w:hAnsi="Arial" w:cs="Arial"/>
                <w:sz w:val="22"/>
                <w:szCs w:val="22"/>
              </w:rPr>
              <w:t>lood concentration</w:t>
            </w:r>
            <w:r w:rsidRPr="00881BB0">
              <w:rPr>
                <w:rFonts w:ascii="Arial" w:hAnsi="Arial" w:cs="Arial"/>
                <w:sz w:val="22"/>
                <w:szCs w:val="22"/>
              </w:rPr>
              <w:t xml:space="preserve"> of each experimental intervention</w:t>
            </w:r>
            <w:r w:rsidR="00F554D1" w:rsidRPr="00881BB0">
              <w:rPr>
                <w:rFonts w:ascii="Arial" w:hAnsi="Arial" w:cs="Arial"/>
                <w:sz w:val="22"/>
                <w:szCs w:val="22"/>
              </w:rPr>
              <w:t xml:space="preserve"> in DBS</w:t>
            </w:r>
          </w:p>
          <w:p w14:paraId="0C59D04A" w14:textId="46C13E1C" w:rsidR="00F554D1" w:rsidRPr="00881BB0" w:rsidRDefault="00F554D1" w:rsidP="00FB2D39">
            <w:pPr>
              <w:pStyle w:val="TableText"/>
              <w:jc w:val="both"/>
              <w:rPr>
                <w:rFonts w:ascii="Arial" w:hAnsi="Arial" w:cs="Arial"/>
                <w:sz w:val="22"/>
                <w:szCs w:val="22"/>
              </w:rPr>
            </w:pPr>
          </w:p>
        </w:tc>
      </w:tr>
    </w:tbl>
    <w:p w14:paraId="35460CF2" w14:textId="77777777" w:rsidR="00F554D1" w:rsidRPr="00881BB0" w:rsidRDefault="00F554D1" w:rsidP="00FB2D39">
      <w:pPr>
        <w:pStyle w:val="HeadingNoTOC"/>
        <w:jc w:val="both"/>
        <w:rPr>
          <w:rFonts w:ascii="Arial" w:hAnsi="Arial" w:cs="Arial"/>
          <w:sz w:val="22"/>
          <w:szCs w:val="22"/>
        </w:rPr>
      </w:pPr>
      <w:r w:rsidRPr="00881BB0">
        <w:rPr>
          <w:rFonts w:ascii="Arial" w:hAnsi="Arial" w:cs="Arial"/>
          <w:sz w:val="22"/>
          <w:szCs w:val="22"/>
        </w:rPr>
        <w:t>Sample size:</w:t>
      </w:r>
    </w:p>
    <w:p w14:paraId="1DF7CC86" w14:textId="77161148" w:rsidR="00356E24" w:rsidRDefault="0075611D" w:rsidP="00FB2D39">
      <w:pPr>
        <w:jc w:val="both"/>
        <w:rPr>
          <w:rFonts w:ascii="Arial" w:hAnsi="Arial" w:cs="Arial"/>
          <w:sz w:val="22"/>
          <w:szCs w:val="22"/>
        </w:rPr>
      </w:pPr>
      <w:r w:rsidRPr="00881BB0">
        <w:rPr>
          <w:rFonts w:ascii="Arial" w:hAnsi="Arial" w:cs="Arial"/>
          <w:sz w:val="22"/>
          <w:szCs w:val="22"/>
        </w:rPr>
        <w:t xml:space="preserve">The study will initially </w:t>
      </w:r>
      <w:proofErr w:type="spellStart"/>
      <w:r w:rsidRPr="00881BB0">
        <w:rPr>
          <w:rFonts w:ascii="Arial" w:hAnsi="Arial" w:cs="Arial"/>
          <w:sz w:val="22"/>
          <w:szCs w:val="22"/>
        </w:rPr>
        <w:t>enroll</w:t>
      </w:r>
      <w:proofErr w:type="spellEnd"/>
      <w:r w:rsidRPr="00881BB0">
        <w:rPr>
          <w:rFonts w:ascii="Arial" w:hAnsi="Arial" w:cs="Arial"/>
          <w:sz w:val="22"/>
          <w:szCs w:val="22"/>
        </w:rPr>
        <w:t xml:space="preserve"> 165 high-risk participants per arm to achieve 90% statistical power at 2-sided type I error rate of 5% for a pairwise comparison against the control to detect a treatment effect of relative risk reduction of 50% for the primary outcome(s) assuming control event rate of 30% for the primary outcome and 5% dropout rate. </w:t>
      </w:r>
    </w:p>
    <w:p w14:paraId="24A1F9FC" w14:textId="77777777" w:rsidR="00BF570A" w:rsidRPr="00881BB0" w:rsidRDefault="00BF570A" w:rsidP="00FB2D39">
      <w:pPr>
        <w:jc w:val="both"/>
        <w:rPr>
          <w:rFonts w:ascii="Arial" w:hAnsi="Arial" w:cs="Arial"/>
          <w:sz w:val="22"/>
          <w:szCs w:val="22"/>
        </w:rPr>
      </w:pPr>
    </w:p>
    <w:p w14:paraId="1D588274" w14:textId="77777777" w:rsidR="00BF570A" w:rsidRDefault="0075611D" w:rsidP="00FB2D39">
      <w:pPr>
        <w:jc w:val="both"/>
        <w:rPr>
          <w:rFonts w:ascii="Arial" w:hAnsi="Arial" w:cs="Arial"/>
          <w:sz w:val="22"/>
          <w:szCs w:val="22"/>
        </w:rPr>
      </w:pPr>
      <w:r w:rsidRPr="00881BB0">
        <w:rPr>
          <w:rFonts w:ascii="Arial" w:hAnsi="Arial" w:cs="Arial"/>
          <w:sz w:val="22"/>
          <w:szCs w:val="22"/>
        </w:rPr>
        <w:t xml:space="preserve">A smaller cohort of </w:t>
      </w:r>
      <w:r w:rsidR="00356E24" w:rsidRPr="00881BB0">
        <w:rPr>
          <w:rFonts w:ascii="Arial" w:hAnsi="Arial" w:cs="Arial"/>
          <w:sz w:val="22"/>
          <w:szCs w:val="22"/>
        </w:rPr>
        <w:t>45</w:t>
      </w:r>
      <w:r w:rsidRPr="00881BB0">
        <w:rPr>
          <w:rFonts w:ascii="Arial" w:hAnsi="Arial" w:cs="Arial"/>
          <w:sz w:val="22"/>
          <w:szCs w:val="22"/>
        </w:rPr>
        <w:t xml:space="preserve"> participants </w:t>
      </w:r>
      <w:r w:rsidR="00356E24" w:rsidRPr="00881BB0">
        <w:rPr>
          <w:rFonts w:ascii="Arial" w:hAnsi="Arial" w:cs="Arial"/>
          <w:sz w:val="22"/>
          <w:szCs w:val="22"/>
        </w:rPr>
        <w:t xml:space="preserve">per arm </w:t>
      </w:r>
      <w:r w:rsidRPr="00881BB0">
        <w:rPr>
          <w:rFonts w:ascii="Arial" w:hAnsi="Arial" w:cs="Arial"/>
          <w:sz w:val="22"/>
          <w:szCs w:val="22"/>
        </w:rPr>
        <w:t>aged 18 to 59 years and without risk factors for progression to LRTI will be enrolled for the co-primary virologic outcome.</w:t>
      </w:r>
    </w:p>
    <w:p w14:paraId="3E98B8E5" w14:textId="750008A4" w:rsidR="00356E24" w:rsidRPr="00881BB0" w:rsidRDefault="0075611D" w:rsidP="00FB2D39">
      <w:pPr>
        <w:jc w:val="both"/>
        <w:rPr>
          <w:rFonts w:ascii="Arial" w:hAnsi="Arial" w:cs="Arial"/>
          <w:sz w:val="22"/>
          <w:szCs w:val="22"/>
        </w:rPr>
      </w:pPr>
      <w:r w:rsidRPr="00881BB0">
        <w:rPr>
          <w:rFonts w:ascii="Arial" w:hAnsi="Arial" w:cs="Arial"/>
          <w:sz w:val="22"/>
          <w:szCs w:val="22"/>
        </w:rPr>
        <w:t xml:space="preserve"> </w:t>
      </w:r>
    </w:p>
    <w:p w14:paraId="0DEBB8FD" w14:textId="67914DD1" w:rsidR="001B50C1" w:rsidRDefault="0075611D" w:rsidP="00FB2D39">
      <w:pPr>
        <w:jc w:val="both"/>
        <w:rPr>
          <w:rFonts w:ascii="Arial" w:hAnsi="Arial" w:cs="Arial"/>
          <w:sz w:val="22"/>
          <w:szCs w:val="22"/>
        </w:rPr>
      </w:pPr>
      <w:r w:rsidRPr="00881BB0">
        <w:rPr>
          <w:rFonts w:ascii="Arial" w:hAnsi="Arial" w:cs="Arial"/>
          <w:sz w:val="22"/>
          <w:szCs w:val="22"/>
        </w:rPr>
        <w:t xml:space="preserve">Eligible participants will be randomized at an equal allocation ratio to study </w:t>
      </w:r>
      <w:r w:rsidR="00356E24" w:rsidRPr="00881BB0">
        <w:rPr>
          <w:rFonts w:ascii="Arial" w:hAnsi="Arial" w:cs="Arial"/>
          <w:sz w:val="22"/>
          <w:szCs w:val="22"/>
        </w:rPr>
        <w:t xml:space="preserve">experimental interventions or placebo. </w:t>
      </w:r>
      <w:r w:rsidRPr="00881BB0">
        <w:rPr>
          <w:rFonts w:ascii="Arial" w:hAnsi="Arial" w:cs="Arial"/>
          <w:sz w:val="22"/>
          <w:szCs w:val="22"/>
        </w:rPr>
        <w:t>If a second eligible patient is in the same household, both will be assigned to the same regimen. A blinded sample size re</w:t>
      </w:r>
      <w:r w:rsidRPr="00881BB0">
        <w:rPr>
          <w:rFonts w:ascii="Arial" w:hAnsi="Arial" w:cs="Arial"/>
          <w:sz w:val="22"/>
          <w:szCs w:val="22"/>
        </w:rPr>
        <w:noBreakHyphen/>
        <w:t>assessment may be done to possibly increase the target sample size</w:t>
      </w:r>
      <w:r w:rsidR="00356E24" w:rsidRPr="00881BB0">
        <w:rPr>
          <w:rFonts w:ascii="Arial" w:hAnsi="Arial" w:cs="Arial"/>
          <w:sz w:val="22"/>
          <w:szCs w:val="22"/>
        </w:rPr>
        <w:t xml:space="preserve"> up to 240 participants per arm in the high-risk cohort, based on observed control event</w:t>
      </w:r>
      <w:r w:rsidRPr="00881BB0">
        <w:rPr>
          <w:rFonts w:ascii="Arial" w:hAnsi="Arial" w:cs="Arial"/>
          <w:sz w:val="22"/>
          <w:szCs w:val="22"/>
        </w:rPr>
        <w:t xml:space="preserve"> rate</w:t>
      </w:r>
      <w:r w:rsidR="00356E24" w:rsidRPr="00881BB0">
        <w:rPr>
          <w:rFonts w:ascii="Arial" w:hAnsi="Arial" w:cs="Arial"/>
          <w:sz w:val="22"/>
          <w:szCs w:val="22"/>
        </w:rPr>
        <w:t>, drop-out rate,</w:t>
      </w:r>
      <w:r w:rsidRPr="00881BB0">
        <w:rPr>
          <w:rFonts w:ascii="Arial" w:hAnsi="Arial" w:cs="Arial"/>
          <w:sz w:val="22"/>
          <w:szCs w:val="22"/>
        </w:rPr>
        <w:t xml:space="preserve"> and within household correlation</w:t>
      </w:r>
      <w:r w:rsidR="00356E24" w:rsidRPr="00881BB0">
        <w:rPr>
          <w:rFonts w:ascii="Arial" w:hAnsi="Arial" w:cs="Arial"/>
          <w:sz w:val="22"/>
          <w:szCs w:val="22"/>
        </w:rPr>
        <w:t xml:space="preserve"> (if any). As there is uncertainty in the recruitment rate, the decision on the timing for blinded assessment and the possible increase in sample size will be made by the DSMB that will monitor recruitment rate starting the start of second week. </w:t>
      </w:r>
    </w:p>
    <w:p w14:paraId="4C63352C" w14:textId="77777777" w:rsidR="00BF570A" w:rsidRDefault="00BF570A" w:rsidP="00FB2D39">
      <w:pPr>
        <w:jc w:val="both"/>
        <w:rPr>
          <w:rFonts w:ascii="Arial" w:hAnsi="Arial" w:cs="Arial"/>
          <w:sz w:val="22"/>
          <w:szCs w:val="22"/>
        </w:rPr>
      </w:pPr>
    </w:p>
    <w:p w14:paraId="401F2174" w14:textId="14FBC88E" w:rsidR="001B50C1" w:rsidRDefault="001B50C1" w:rsidP="00FB2D39">
      <w:pPr>
        <w:jc w:val="both"/>
        <w:rPr>
          <w:rFonts w:ascii="Arial" w:hAnsi="Arial" w:cs="Arial"/>
          <w:sz w:val="22"/>
          <w:szCs w:val="22"/>
        </w:rPr>
      </w:pPr>
      <w:r w:rsidRPr="001B50C1">
        <w:rPr>
          <w:rFonts w:ascii="Arial" w:hAnsi="Arial" w:cs="Arial"/>
          <w:sz w:val="22"/>
          <w:szCs w:val="22"/>
        </w:rPr>
        <w:t xml:space="preserve">During the sample size re-assessment, a blinded assessment of the observed CER of proportion of viral clearance and hospitalization will also be done. If the CER of viral clearance and hospitalization are adequately high to achieve adequate statistical power (e.g. 80 to 90%) at 5% type I error rate within the feasible sample size target range, switching the endpoint to either viral clearance and hospitalization for possible interim analyses and adaptations may be considered by the TSC. </w:t>
      </w:r>
    </w:p>
    <w:p w14:paraId="1A49B4D3" w14:textId="77777777" w:rsidR="00BF570A" w:rsidRPr="001B50C1" w:rsidRDefault="00BF570A" w:rsidP="00FB2D39">
      <w:pPr>
        <w:jc w:val="both"/>
        <w:rPr>
          <w:rFonts w:ascii="Arial" w:hAnsi="Arial" w:cs="Arial"/>
          <w:sz w:val="22"/>
          <w:szCs w:val="22"/>
        </w:rPr>
      </w:pPr>
    </w:p>
    <w:p w14:paraId="4736998A" w14:textId="27248C17" w:rsidR="0075611D" w:rsidRPr="00881BB0" w:rsidRDefault="00356E24" w:rsidP="00FB2D39">
      <w:pPr>
        <w:jc w:val="both"/>
        <w:rPr>
          <w:rFonts w:ascii="Arial" w:hAnsi="Arial" w:cs="Arial"/>
          <w:sz w:val="22"/>
          <w:szCs w:val="22"/>
        </w:rPr>
      </w:pPr>
      <w:r w:rsidRPr="00881BB0">
        <w:rPr>
          <w:rFonts w:ascii="Arial" w:hAnsi="Arial" w:cs="Arial"/>
          <w:sz w:val="22"/>
          <w:szCs w:val="22"/>
        </w:rPr>
        <w:t xml:space="preserve">Should a new intervention be added, allocation ratio will be adjusted to </w:t>
      </w:r>
      <w:proofErr w:type="spellStart"/>
      <w:r w:rsidRPr="00881BB0">
        <w:rPr>
          <w:rFonts w:ascii="Arial" w:hAnsi="Arial" w:cs="Arial"/>
          <w:sz w:val="22"/>
          <w:szCs w:val="22"/>
        </w:rPr>
        <w:t>favor</w:t>
      </w:r>
      <w:proofErr w:type="spellEnd"/>
      <w:r w:rsidRPr="00881BB0">
        <w:rPr>
          <w:rFonts w:ascii="Arial" w:hAnsi="Arial" w:cs="Arial"/>
          <w:sz w:val="22"/>
          <w:szCs w:val="22"/>
        </w:rPr>
        <w:t xml:space="preserve"> the new arm ensuring that control arm participants are still enrolled concurrently with active arms. A</w:t>
      </w:r>
      <w:r w:rsidR="0075611D" w:rsidRPr="00881BB0">
        <w:rPr>
          <w:rFonts w:ascii="Arial" w:hAnsi="Arial" w:cs="Arial"/>
          <w:sz w:val="22"/>
          <w:szCs w:val="22"/>
        </w:rPr>
        <w:t xml:space="preserve">n empirical Bayesian information borrowing method </w:t>
      </w:r>
      <w:r w:rsidRPr="00881BB0">
        <w:rPr>
          <w:rFonts w:ascii="Arial" w:hAnsi="Arial" w:cs="Arial"/>
          <w:sz w:val="22"/>
          <w:szCs w:val="22"/>
        </w:rPr>
        <w:t>may</w:t>
      </w:r>
      <w:r w:rsidR="0075611D" w:rsidRPr="00881BB0">
        <w:rPr>
          <w:rFonts w:ascii="Arial" w:hAnsi="Arial" w:cs="Arial"/>
          <w:sz w:val="22"/>
          <w:szCs w:val="22"/>
        </w:rPr>
        <w:t xml:space="preserve"> be used to </w:t>
      </w:r>
      <w:r w:rsidRPr="00881BB0">
        <w:rPr>
          <w:rFonts w:ascii="Arial" w:hAnsi="Arial" w:cs="Arial"/>
          <w:sz w:val="22"/>
          <w:szCs w:val="22"/>
        </w:rPr>
        <w:t>supplement</w:t>
      </w:r>
      <w:r w:rsidR="0075611D" w:rsidRPr="00881BB0">
        <w:rPr>
          <w:rFonts w:ascii="Arial" w:hAnsi="Arial" w:cs="Arial"/>
          <w:sz w:val="22"/>
          <w:szCs w:val="22"/>
        </w:rPr>
        <w:t xml:space="preserve"> the comparison of new intervention that is added late</w:t>
      </w:r>
      <w:r w:rsidRPr="00881BB0">
        <w:rPr>
          <w:rFonts w:ascii="Arial" w:hAnsi="Arial" w:cs="Arial"/>
          <w:sz w:val="22"/>
          <w:szCs w:val="22"/>
        </w:rPr>
        <w:t>r using past data collected.</w:t>
      </w:r>
    </w:p>
    <w:p w14:paraId="463BC680" w14:textId="77777777" w:rsidR="00F554D1" w:rsidRPr="00881BB0" w:rsidRDefault="00F554D1" w:rsidP="00FB2D39">
      <w:pPr>
        <w:pStyle w:val="HeadingNoTOC"/>
        <w:jc w:val="both"/>
        <w:rPr>
          <w:rFonts w:ascii="Arial" w:hAnsi="Arial" w:cs="Arial"/>
          <w:sz w:val="22"/>
          <w:szCs w:val="22"/>
        </w:rPr>
      </w:pPr>
      <w:r w:rsidRPr="00881BB0">
        <w:rPr>
          <w:rFonts w:ascii="Arial" w:hAnsi="Arial" w:cs="Arial"/>
          <w:sz w:val="22"/>
          <w:szCs w:val="22"/>
        </w:rPr>
        <w:t>Duration:</w:t>
      </w:r>
    </w:p>
    <w:p w14:paraId="7E3AEE05" w14:textId="77777777" w:rsidR="00F554D1" w:rsidRPr="00881BB0" w:rsidRDefault="00F554D1" w:rsidP="00FB2D39">
      <w:pPr>
        <w:jc w:val="both"/>
        <w:rPr>
          <w:rFonts w:ascii="Arial" w:hAnsi="Arial" w:cs="Arial"/>
          <w:sz w:val="22"/>
          <w:szCs w:val="22"/>
        </w:rPr>
      </w:pPr>
      <w:r w:rsidRPr="00881BB0">
        <w:rPr>
          <w:rFonts w:ascii="Arial" w:hAnsi="Arial" w:cs="Arial"/>
          <w:sz w:val="22"/>
          <w:szCs w:val="22"/>
        </w:rPr>
        <w:t xml:space="preserve">14 days of clinical follow-up per participant </w:t>
      </w:r>
    </w:p>
    <w:p w14:paraId="0FA589EC" w14:textId="57F8AD7A" w:rsidR="00377738" w:rsidRDefault="00F554D1" w:rsidP="00FB2D39">
      <w:pPr>
        <w:jc w:val="both"/>
        <w:rPr>
          <w:rFonts w:ascii="Arial" w:hAnsi="Arial" w:cs="Arial"/>
          <w:sz w:val="22"/>
          <w:szCs w:val="22"/>
        </w:rPr>
      </w:pPr>
      <w:proofErr w:type="spellStart"/>
      <w:r w:rsidRPr="00881BB0">
        <w:rPr>
          <w:rFonts w:ascii="Arial" w:hAnsi="Arial" w:cs="Arial"/>
          <w:sz w:val="22"/>
          <w:szCs w:val="22"/>
        </w:rPr>
        <w:t>Enrollment</w:t>
      </w:r>
      <w:proofErr w:type="spellEnd"/>
      <w:r w:rsidRPr="00881BB0">
        <w:rPr>
          <w:rFonts w:ascii="Arial" w:hAnsi="Arial" w:cs="Arial"/>
          <w:sz w:val="22"/>
          <w:szCs w:val="22"/>
        </w:rPr>
        <w:t xml:space="preserve"> </w:t>
      </w:r>
      <w:r w:rsidR="00E16297" w:rsidRPr="00881BB0">
        <w:rPr>
          <w:rFonts w:ascii="Arial" w:hAnsi="Arial" w:cs="Arial"/>
          <w:sz w:val="22"/>
          <w:szCs w:val="22"/>
        </w:rPr>
        <w:t>and completion TBD based on the observed recruitment rate</w:t>
      </w:r>
    </w:p>
    <w:p w14:paraId="7A2413A8" w14:textId="77777777" w:rsidR="000E20D1" w:rsidRPr="00881BB0" w:rsidRDefault="000E20D1" w:rsidP="00FB2D39">
      <w:pPr>
        <w:jc w:val="both"/>
        <w:rPr>
          <w:rFonts w:ascii="Arial" w:hAnsi="Arial" w:cs="Arial"/>
          <w:sz w:val="22"/>
          <w:szCs w:val="22"/>
        </w:rPr>
      </w:pPr>
    </w:p>
    <w:p w14:paraId="1120A2D9" w14:textId="560C49C7" w:rsidR="006A1DCB" w:rsidRDefault="00F554D1" w:rsidP="00FB2D39">
      <w:pPr>
        <w:jc w:val="both"/>
        <w:rPr>
          <w:rFonts w:ascii="Arial" w:hAnsi="Arial" w:cs="Arial"/>
          <w:sz w:val="22"/>
          <w:szCs w:val="22"/>
        </w:rPr>
      </w:pPr>
      <w:r w:rsidRPr="00881BB0">
        <w:rPr>
          <w:rFonts w:ascii="Arial" w:hAnsi="Arial" w:cs="Arial"/>
          <w:b/>
          <w:sz w:val="22"/>
          <w:szCs w:val="22"/>
        </w:rPr>
        <w:lastRenderedPageBreak/>
        <w:t xml:space="preserve">Proposed </w:t>
      </w:r>
      <w:r w:rsidR="00C24785">
        <w:rPr>
          <w:rFonts w:ascii="Arial" w:hAnsi="Arial" w:cs="Arial"/>
          <w:b/>
          <w:sz w:val="22"/>
          <w:szCs w:val="22"/>
        </w:rPr>
        <w:t>s</w:t>
      </w:r>
      <w:r w:rsidRPr="00881BB0">
        <w:rPr>
          <w:rFonts w:ascii="Arial" w:hAnsi="Arial" w:cs="Arial"/>
          <w:b/>
          <w:sz w:val="22"/>
          <w:szCs w:val="22"/>
        </w:rPr>
        <w:t>ites:</w:t>
      </w:r>
      <w:r w:rsidRPr="00881BB0">
        <w:rPr>
          <w:rFonts w:ascii="Arial" w:hAnsi="Arial" w:cs="Arial"/>
          <w:sz w:val="22"/>
          <w:szCs w:val="22"/>
        </w:rPr>
        <w:t xml:space="preserve">  </w:t>
      </w:r>
      <w:r w:rsidR="00356E24" w:rsidRPr="00881BB0">
        <w:rPr>
          <w:rFonts w:ascii="Arial" w:hAnsi="Arial" w:cs="Arial"/>
          <w:sz w:val="22"/>
          <w:szCs w:val="22"/>
        </w:rPr>
        <w:t xml:space="preserve">Concurrent with the </w:t>
      </w:r>
      <w:r w:rsidR="00D426E1">
        <w:rPr>
          <w:rFonts w:ascii="Arial" w:hAnsi="Arial" w:cs="Arial"/>
          <w:sz w:val="22"/>
          <w:szCs w:val="22"/>
        </w:rPr>
        <w:t>US</w:t>
      </w:r>
      <w:r w:rsidR="00AF10A5" w:rsidRPr="00881BB0">
        <w:rPr>
          <w:rFonts w:ascii="Arial" w:hAnsi="Arial" w:cs="Arial"/>
          <w:sz w:val="22"/>
          <w:szCs w:val="22"/>
        </w:rPr>
        <w:t xml:space="preserve"> </w:t>
      </w:r>
      <w:r w:rsidR="00C24785">
        <w:rPr>
          <w:rFonts w:ascii="Arial" w:hAnsi="Arial" w:cs="Arial"/>
          <w:sz w:val="22"/>
          <w:szCs w:val="22"/>
        </w:rPr>
        <w:t>site</w:t>
      </w:r>
      <w:r w:rsidR="0067373B" w:rsidRPr="00881BB0">
        <w:rPr>
          <w:rFonts w:ascii="Arial" w:hAnsi="Arial" w:cs="Arial"/>
          <w:sz w:val="22"/>
          <w:szCs w:val="22"/>
        </w:rPr>
        <w:t xml:space="preserve"> </w:t>
      </w:r>
      <w:r w:rsidR="00AF10A5" w:rsidRPr="00881BB0">
        <w:rPr>
          <w:rFonts w:ascii="Arial" w:hAnsi="Arial" w:cs="Arial"/>
          <w:sz w:val="22"/>
          <w:szCs w:val="22"/>
        </w:rPr>
        <w:t>(TOGETHER 1)</w:t>
      </w:r>
      <w:r w:rsidR="00356E24" w:rsidRPr="00881BB0">
        <w:rPr>
          <w:rFonts w:ascii="Arial" w:hAnsi="Arial" w:cs="Arial"/>
          <w:sz w:val="22"/>
          <w:szCs w:val="22"/>
        </w:rPr>
        <w:t xml:space="preserve">, </w:t>
      </w:r>
      <w:r w:rsidR="00AF10A5" w:rsidRPr="00881BB0">
        <w:rPr>
          <w:rFonts w:ascii="Arial" w:hAnsi="Arial" w:cs="Arial"/>
          <w:sz w:val="22"/>
          <w:szCs w:val="22"/>
        </w:rPr>
        <w:t xml:space="preserve">Brazil (TOGETHER 2) and </w:t>
      </w:r>
      <w:r w:rsidR="00356E24" w:rsidRPr="00881BB0">
        <w:rPr>
          <w:rFonts w:ascii="Arial" w:hAnsi="Arial" w:cs="Arial"/>
          <w:sz w:val="22"/>
          <w:szCs w:val="22"/>
        </w:rPr>
        <w:t>South Africa</w:t>
      </w:r>
      <w:r w:rsidR="00AF10A5" w:rsidRPr="00881BB0">
        <w:rPr>
          <w:rFonts w:ascii="Arial" w:hAnsi="Arial" w:cs="Arial"/>
          <w:sz w:val="22"/>
          <w:szCs w:val="22"/>
        </w:rPr>
        <w:t xml:space="preserve"> (TOGETHER 3)</w:t>
      </w:r>
      <w:r w:rsidR="00356E24" w:rsidRPr="00881BB0">
        <w:rPr>
          <w:rFonts w:ascii="Arial" w:hAnsi="Arial" w:cs="Arial"/>
          <w:sz w:val="22"/>
          <w:szCs w:val="22"/>
        </w:rPr>
        <w:t xml:space="preserve">, </w:t>
      </w:r>
      <w:r w:rsidR="0067373B" w:rsidRPr="00881BB0">
        <w:rPr>
          <w:rFonts w:ascii="Arial" w:hAnsi="Arial" w:cs="Arial"/>
          <w:sz w:val="22"/>
          <w:szCs w:val="22"/>
        </w:rPr>
        <w:t xml:space="preserve">we </w:t>
      </w:r>
      <w:r w:rsidR="00356E24" w:rsidRPr="00881BB0">
        <w:rPr>
          <w:rFonts w:ascii="Arial" w:hAnsi="Arial" w:cs="Arial"/>
          <w:sz w:val="22"/>
          <w:szCs w:val="22"/>
        </w:rPr>
        <w:t>will work together to generative comparative data.</w:t>
      </w:r>
      <w:r w:rsidR="0067373B" w:rsidRPr="00881BB0">
        <w:rPr>
          <w:rFonts w:ascii="Arial" w:hAnsi="Arial" w:cs="Arial"/>
          <w:sz w:val="22"/>
          <w:szCs w:val="22"/>
        </w:rPr>
        <w:t xml:space="preserve"> Interventions for TOGETHER 1, 2 and 3 may differ depending on feasibility, evolving epidemiology and the evidence on interventions, and appropriateness of interventions in the local environments. </w:t>
      </w:r>
    </w:p>
    <w:p w14:paraId="5CD59BD3" w14:textId="77777777" w:rsidR="00C24785" w:rsidRPr="00C24785" w:rsidRDefault="00C24785" w:rsidP="00FB2D39">
      <w:pPr>
        <w:jc w:val="both"/>
        <w:rPr>
          <w:rFonts w:ascii="Arial" w:hAnsi="Arial" w:cs="Arial"/>
          <w:sz w:val="22"/>
          <w:szCs w:val="22"/>
        </w:rPr>
      </w:pPr>
    </w:p>
    <w:p w14:paraId="34620005" w14:textId="77777777" w:rsidR="00C24785" w:rsidRPr="00C24785" w:rsidRDefault="00C24785" w:rsidP="00FB2D39">
      <w:pPr>
        <w:jc w:val="both"/>
        <w:rPr>
          <w:rFonts w:ascii="Arial" w:hAnsi="Arial" w:cs="Arial"/>
          <w:i/>
          <w:sz w:val="22"/>
          <w:szCs w:val="22"/>
        </w:rPr>
      </w:pPr>
    </w:p>
    <w:p w14:paraId="7A147AB4" w14:textId="18C280FB" w:rsidR="006A1DCB" w:rsidRPr="00C24785" w:rsidRDefault="00377738" w:rsidP="00FB2D39">
      <w:pPr>
        <w:jc w:val="both"/>
        <w:rPr>
          <w:rFonts w:ascii="Arial" w:hAnsi="Arial" w:cs="Arial"/>
          <w:sz w:val="22"/>
          <w:szCs w:val="22"/>
        </w:rPr>
      </w:pPr>
      <w:r w:rsidRPr="00C24785">
        <w:rPr>
          <w:rFonts w:ascii="Arial" w:hAnsi="Arial" w:cs="Arial"/>
          <w:sz w:val="22"/>
          <w:szCs w:val="22"/>
        </w:rPr>
        <w:t xml:space="preserve"> </w:t>
      </w:r>
    </w:p>
    <w:p w14:paraId="6520FF69" w14:textId="5CF4ADD8" w:rsidR="006A1DCB" w:rsidRPr="00881BB0" w:rsidRDefault="006A1DCB" w:rsidP="00FB2D39">
      <w:pPr>
        <w:pStyle w:val="Heading1"/>
        <w:rPr>
          <w:rFonts w:ascii="Arial" w:hAnsi="Arial" w:cs="Arial"/>
          <w:sz w:val="22"/>
        </w:rPr>
      </w:pPr>
      <w:bookmarkStart w:id="3" w:name="_Toc38818734"/>
      <w:r w:rsidRPr="00881BB0">
        <w:rPr>
          <w:rFonts w:ascii="Arial" w:hAnsi="Arial" w:cs="Arial"/>
          <w:sz w:val="22"/>
        </w:rPr>
        <w:lastRenderedPageBreak/>
        <w:t>Schedule of Activities</w:t>
      </w:r>
      <w:bookmarkEnd w:id="3"/>
    </w:p>
    <w:tbl>
      <w:tblPr>
        <w:tblW w:w="5000" w:type="pct"/>
        <w:tblLook w:val="01E0" w:firstRow="1" w:lastRow="1" w:firstColumn="1" w:lastColumn="1" w:noHBand="0" w:noVBand="0"/>
      </w:tblPr>
      <w:tblGrid>
        <w:gridCol w:w="2866"/>
        <w:gridCol w:w="1280"/>
        <w:gridCol w:w="620"/>
        <w:gridCol w:w="620"/>
        <w:gridCol w:w="620"/>
        <w:gridCol w:w="742"/>
        <w:gridCol w:w="620"/>
        <w:gridCol w:w="742"/>
        <w:gridCol w:w="620"/>
        <w:gridCol w:w="620"/>
      </w:tblGrid>
      <w:tr w:rsidR="003C529C" w:rsidRPr="00881BB0" w14:paraId="09F19919" w14:textId="1D71CD16" w:rsidTr="00F85213">
        <w:trPr>
          <w:cantSplit/>
          <w:tblHeader/>
        </w:trPr>
        <w:tc>
          <w:tcPr>
            <w:tcW w:w="1533" w:type="pct"/>
            <w:vMerge w:val="restart"/>
            <w:tcBorders>
              <w:top w:val="single" w:sz="4" w:space="0" w:color="auto"/>
              <w:left w:val="single" w:sz="4" w:space="0" w:color="auto"/>
              <w:bottom w:val="single" w:sz="4" w:space="0" w:color="auto"/>
              <w:right w:val="single" w:sz="4" w:space="0" w:color="auto"/>
            </w:tcBorders>
            <w:vAlign w:val="center"/>
          </w:tcPr>
          <w:p w14:paraId="2E40B8E3" w14:textId="77777777" w:rsidR="003C529C" w:rsidRPr="00881BB0" w:rsidRDefault="003C529C" w:rsidP="00FB2D39">
            <w:pPr>
              <w:pStyle w:val="TableHeaderText"/>
              <w:keepNext/>
              <w:keepLines/>
              <w:spacing w:before="0" w:after="0"/>
              <w:jc w:val="both"/>
              <w:rPr>
                <w:rFonts w:ascii="Arial" w:hAnsi="Arial" w:cs="Arial"/>
                <w:sz w:val="22"/>
                <w:szCs w:val="22"/>
              </w:rPr>
            </w:pPr>
            <w:bookmarkStart w:id="4" w:name="_Hlk35209168"/>
            <w:r w:rsidRPr="00881BB0">
              <w:rPr>
                <w:rFonts w:ascii="Arial" w:hAnsi="Arial" w:cs="Arial"/>
                <w:sz w:val="22"/>
                <w:szCs w:val="22"/>
              </w:rPr>
              <w:t>Procedure</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14:paraId="0401B58F" w14:textId="77777777" w:rsidR="003C529C" w:rsidRPr="00881BB0" w:rsidRDefault="003C529C" w:rsidP="00FB2D39">
            <w:pPr>
              <w:pStyle w:val="TableHeaderText"/>
              <w:keepNext/>
              <w:keepLines/>
              <w:spacing w:before="0" w:after="0"/>
              <w:jc w:val="both"/>
              <w:rPr>
                <w:rFonts w:ascii="Arial" w:hAnsi="Arial" w:cs="Arial"/>
                <w:sz w:val="22"/>
                <w:szCs w:val="22"/>
              </w:rPr>
            </w:pPr>
            <w:r w:rsidRPr="00881BB0">
              <w:rPr>
                <w:rFonts w:ascii="Arial" w:hAnsi="Arial" w:cs="Arial"/>
                <w:sz w:val="22"/>
                <w:szCs w:val="22"/>
              </w:rPr>
              <w:t>Screening</w:t>
            </w:r>
          </w:p>
        </w:tc>
        <w:tc>
          <w:tcPr>
            <w:tcW w:w="2451" w:type="pct"/>
            <w:gridSpan w:val="7"/>
            <w:tcBorders>
              <w:top w:val="single" w:sz="4" w:space="0" w:color="auto"/>
              <w:left w:val="single" w:sz="4" w:space="0" w:color="auto"/>
              <w:bottom w:val="single" w:sz="4" w:space="0" w:color="auto"/>
              <w:right w:val="single" w:sz="4" w:space="0" w:color="auto"/>
            </w:tcBorders>
          </w:tcPr>
          <w:p w14:paraId="7A362335" w14:textId="7DD5C8E2" w:rsidR="003C529C" w:rsidRPr="00881BB0" w:rsidRDefault="003C529C" w:rsidP="00FB2D39">
            <w:pPr>
              <w:pStyle w:val="TableHeaderText"/>
              <w:keepNext/>
              <w:keepLines/>
              <w:spacing w:before="0" w:after="0"/>
              <w:jc w:val="both"/>
              <w:rPr>
                <w:rFonts w:ascii="Arial" w:hAnsi="Arial" w:cs="Arial"/>
                <w:sz w:val="22"/>
                <w:szCs w:val="22"/>
              </w:rPr>
            </w:pPr>
            <w:r w:rsidRPr="00881BB0">
              <w:rPr>
                <w:rFonts w:ascii="Arial" w:hAnsi="Arial" w:cs="Arial"/>
                <w:sz w:val="22"/>
                <w:szCs w:val="22"/>
              </w:rPr>
              <w:t>Self-Quarantine</w:t>
            </w:r>
          </w:p>
        </w:tc>
        <w:tc>
          <w:tcPr>
            <w:tcW w:w="332" w:type="pct"/>
            <w:vMerge w:val="restart"/>
            <w:tcBorders>
              <w:top w:val="single" w:sz="4" w:space="0" w:color="auto"/>
              <w:left w:val="single" w:sz="4" w:space="0" w:color="auto"/>
              <w:right w:val="single" w:sz="4" w:space="0" w:color="auto"/>
            </w:tcBorders>
          </w:tcPr>
          <w:p w14:paraId="31D59637" w14:textId="77777777" w:rsidR="003C529C" w:rsidRPr="00881BB0" w:rsidRDefault="003C529C" w:rsidP="00FB2D39">
            <w:pPr>
              <w:pStyle w:val="TableHeaderText"/>
              <w:keepNext/>
              <w:keepLines/>
              <w:spacing w:before="0" w:after="0"/>
              <w:jc w:val="both"/>
              <w:rPr>
                <w:rFonts w:ascii="Arial" w:hAnsi="Arial" w:cs="Arial"/>
                <w:sz w:val="22"/>
                <w:szCs w:val="22"/>
              </w:rPr>
            </w:pPr>
          </w:p>
        </w:tc>
      </w:tr>
      <w:tr w:rsidR="003C529C" w:rsidRPr="00881BB0" w14:paraId="51AEF03D" w14:textId="69F091EC" w:rsidTr="00F85213">
        <w:trPr>
          <w:cantSplit/>
          <w:tblHeader/>
        </w:trPr>
        <w:tc>
          <w:tcPr>
            <w:tcW w:w="1533" w:type="pct"/>
            <w:vMerge/>
            <w:tcBorders>
              <w:top w:val="single" w:sz="4" w:space="0" w:color="auto"/>
              <w:left w:val="single" w:sz="4" w:space="0" w:color="auto"/>
              <w:bottom w:val="single" w:sz="4" w:space="0" w:color="auto"/>
              <w:right w:val="single" w:sz="4" w:space="0" w:color="auto"/>
            </w:tcBorders>
            <w:vAlign w:val="center"/>
          </w:tcPr>
          <w:p w14:paraId="148B1CD7" w14:textId="77777777" w:rsidR="003C529C" w:rsidRPr="00881BB0" w:rsidRDefault="003C529C" w:rsidP="00FB2D39">
            <w:pPr>
              <w:pStyle w:val="TableHeaderText"/>
              <w:keepNext/>
              <w:keepLines/>
              <w:spacing w:before="0" w:after="0"/>
              <w:jc w:val="both"/>
              <w:rPr>
                <w:rFonts w:ascii="Arial" w:hAnsi="Arial" w:cs="Arial"/>
                <w:sz w:val="22"/>
                <w:szCs w:val="22"/>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37DE25E5" w14:textId="77777777" w:rsidR="003C529C" w:rsidRPr="00881BB0" w:rsidRDefault="003C529C" w:rsidP="00FB2D39">
            <w:pPr>
              <w:pStyle w:val="TableHeaderText"/>
              <w:keepNext/>
              <w:keepLines/>
              <w:spacing w:before="0" w:after="0"/>
              <w:jc w:val="both"/>
              <w:rPr>
                <w:rFonts w:ascii="Arial" w:hAnsi="Arial" w:cs="Arial"/>
                <w:sz w:val="22"/>
                <w:szCs w:val="22"/>
              </w:rPr>
            </w:pPr>
          </w:p>
        </w:tc>
        <w:tc>
          <w:tcPr>
            <w:tcW w:w="2451" w:type="pct"/>
            <w:gridSpan w:val="7"/>
            <w:tcBorders>
              <w:top w:val="single" w:sz="4" w:space="0" w:color="auto"/>
              <w:left w:val="single" w:sz="4" w:space="0" w:color="auto"/>
              <w:bottom w:val="single" w:sz="4" w:space="0" w:color="auto"/>
              <w:right w:val="single" w:sz="4" w:space="0" w:color="auto"/>
            </w:tcBorders>
          </w:tcPr>
          <w:p w14:paraId="725212FA" w14:textId="0400B7EA" w:rsidR="003C529C" w:rsidRPr="00881BB0" w:rsidRDefault="003C529C" w:rsidP="00FB2D39">
            <w:pPr>
              <w:pStyle w:val="TableHeaderText"/>
              <w:keepNext/>
              <w:keepLines/>
              <w:spacing w:before="0" w:after="0"/>
              <w:jc w:val="both"/>
              <w:rPr>
                <w:rFonts w:ascii="Arial" w:hAnsi="Arial" w:cs="Arial"/>
                <w:sz w:val="22"/>
                <w:szCs w:val="22"/>
              </w:rPr>
            </w:pPr>
            <w:r w:rsidRPr="00881BB0">
              <w:rPr>
                <w:rFonts w:ascii="Arial" w:hAnsi="Arial" w:cs="Arial"/>
                <w:sz w:val="22"/>
                <w:szCs w:val="22"/>
              </w:rPr>
              <w:t xml:space="preserve">Treatment Period </w:t>
            </w:r>
          </w:p>
        </w:tc>
        <w:tc>
          <w:tcPr>
            <w:tcW w:w="332" w:type="pct"/>
            <w:vMerge/>
            <w:tcBorders>
              <w:left w:val="single" w:sz="4" w:space="0" w:color="auto"/>
              <w:bottom w:val="single" w:sz="4" w:space="0" w:color="auto"/>
              <w:right w:val="single" w:sz="4" w:space="0" w:color="auto"/>
            </w:tcBorders>
          </w:tcPr>
          <w:p w14:paraId="4D1AF1AF" w14:textId="77777777" w:rsidR="003C529C" w:rsidRPr="00881BB0" w:rsidRDefault="003C529C" w:rsidP="00FB2D39">
            <w:pPr>
              <w:pStyle w:val="TableHeaderText"/>
              <w:keepNext/>
              <w:keepLines/>
              <w:spacing w:before="0" w:after="0"/>
              <w:jc w:val="both"/>
              <w:rPr>
                <w:rFonts w:ascii="Arial" w:hAnsi="Arial" w:cs="Arial"/>
                <w:sz w:val="22"/>
                <w:szCs w:val="22"/>
              </w:rPr>
            </w:pPr>
          </w:p>
        </w:tc>
      </w:tr>
      <w:tr w:rsidR="003C529C" w:rsidRPr="00881BB0" w14:paraId="35065143" w14:textId="1DB6B672" w:rsidTr="00F85213">
        <w:trPr>
          <w:cantSplit/>
          <w:tblHeader/>
        </w:trPr>
        <w:tc>
          <w:tcPr>
            <w:tcW w:w="1533" w:type="pct"/>
            <w:vMerge/>
            <w:tcBorders>
              <w:top w:val="single" w:sz="4" w:space="0" w:color="auto"/>
              <w:left w:val="single" w:sz="4" w:space="0" w:color="auto"/>
              <w:bottom w:val="single" w:sz="4" w:space="0" w:color="auto"/>
              <w:right w:val="single" w:sz="4" w:space="0" w:color="auto"/>
            </w:tcBorders>
          </w:tcPr>
          <w:p w14:paraId="3F4331E5" w14:textId="77777777" w:rsidR="003C529C" w:rsidRPr="00881BB0" w:rsidRDefault="003C529C" w:rsidP="00FB2D39">
            <w:pPr>
              <w:pStyle w:val="tabletextNS"/>
              <w:keepNext/>
              <w:keepLines/>
              <w:spacing w:before="0"/>
              <w:rPr>
                <w:rFonts w:ascii="Arial" w:hAnsi="Arial" w:cs="Arial"/>
                <w:sz w:val="22"/>
                <w:szCs w:val="22"/>
                <w:lang w:val="en-US"/>
              </w:rPr>
            </w:pPr>
          </w:p>
        </w:tc>
        <w:tc>
          <w:tcPr>
            <w:tcW w:w="684" w:type="pct"/>
            <w:tcBorders>
              <w:top w:val="single" w:sz="4" w:space="0" w:color="auto"/>
              <w:left w:val="single" w:sz="4" w:space="0" w:color="auto"/>
              <w:bottom w:val="single" w:sz="4" w:space="0" w:color="auto"/>
              <w:right w:val="single" w:sz="4" w:space="0" w:color="auto"/>
            </w:tcBorders>
          </w:tcPr>
          <w:p w14:paraId="0FDE00F3" w14:textId="77777777" w:rsidR="003C529C" w:rsidRPr="00881BB0" w:rsidRDefault="003C529C" w:rsidP="00FB2D39">
            <w:pPr>
              <w:pStyle w:val="TableHeaderText"/>
              <w:keepNext/>
              <w:keepLines/>
              <w:spacing w:before="0" w:after="0"/>
              <w:jc w:val="both"/>
              <w:rPr>
                <w:rFonts w:ascii="Arial" w:hAnsi="Arial" w:cs="Arial"/>
                <w:b w:val="0"/>
                <w:sz w:val="22"/>
                <w:szCs w:val="22"/>
              </w:rPr>
            </w:pPr>
            <w:r w:rsidRPr="00881BB0">
              <w:rPr>
                <w:rFonts w:ascii="Arial" w:hAnsi="Arial" w:cs="Arial"/>
                <w:bCs/>
                <w:sz w:val="22"/>
                <w:szCs w:val="22"/>
              </w:rPr>
              <w:t>Day 0</w:t>
            </w:r>
            <w:r w:rsidRPr="00881BB0">
              <w:rPr>
                <w:rFonts w:ascii="Arial" w:hAnsi="Arial" w:cs="Arial"/>
                <w:sz w:val="22"/>
                <w:szCs w:val="22"/>
                <w:vertAlign w:val="superscript"/>
              </w:rPr>
              <w:t>a</w:t>
            </w:r>
          </w:p>
        </w:tc>
        <w:tc>
          <w:tcPr>
            <w:tcW w:w="332" w:type="pct"/>
            <w:tcBorders>
              <w:top w:val="single" w:sz="4" w:space="0" w:color="auto"/>
              <w:left w:val="single" w:sz="4" w:space="0" w:color="auto"/>
              <w:bottom w:val="single" w:sz="4" w:space="0" w:color="auto"/>
              <w:right w:val="single" w:sz="4" w:space="0" w:color="auto"/>
            </w:tcBorders>
          </w:tcPr>
          <w:p w14:paraId="52D72D30" w14:textId="77777777" w:rsidR="003C529C" w:rsidRPr="00881BB0" w:rsidRDefault="003C529C" w:rsidP="00FB2D39">
            <w:pPr>
              <w:pStyle w:val="TableHeaderText"/>
              <w:keepNext/>
              <w:keepLines/>
              <w:spacing w:before="0" w:after="0"/>
              <w:jc w:val="both"/>
              <w:rPr>
                <w:rFonts w:ascii="Arial" w:hAnsi="Arial" w:cs="Arial"/>
                <w:bCs/>
                <w:sz w:val="22"/>
                <w:szCs w:val="22"/>
              </w:rPr>
            </w:pPr>
            <w:r w:rsidRPr="00881BB0">
              <w:rPr>
                <w:rFonts w:ascii="Arial" w:hAnsi="Arial" w:cs="Arial"/>
                <w:bCs/>
                <w:sz w:val="22"/>
                <w:szCs w:val="22"/>
              </w:rPr>
              <w:t>Day 1</w:t>
            </w:r>
            <w:r w:rsidRPr="00881BB0">
              <w:rPr>
                <w:rFonts w:ascii="Arial" w:hAnsi="Arial" w:cs="Arial"/>
                <w:sz w:val="22"/>
                <w:szCs w:val="22"/>
                <w:vertAlign w:val="superscript"/>
              </w:rPr>
              <w:t>a</w:t>
            </w:r>
          </w:p>
        </w:tc>
        <w:tc>
          <w:tcPr>
            <w:tcW w:w="332" w:type="pct"/>
            <w:tcBorders>
              <w:top w:val="single" w:sz="4" w:space="0" w:color="auto"/>
              <w:left w:val="single" w:sz="4" w:space="0" w:color="auto"/>
              <w:bottom w:val="single" w:sz="4" w:space="0" w:color="auto"/>
              <w:right w:val="single" w:sz="4" w:space="0" w:color="auto"/>
            </w:tcBorders>
          </w:tcPr>
          <w:p w14:paraId="23ED6C25" w14:textId="77777777" w:rsidR="003C529C" w:rsidRPr="00881BB0" w:rsidRDefault="003C529C" w:rsidP="00FB2D39">
            <w:pPr>
              <w:pStyle w:val="TableHeaderText"/>
              <w:keepNext/>
              <w:keepLines/>
              <w:spacing w:before="0" w:after="0"/>
              <w:jc w:val="both"/>
              <w:rPr>
                <w:rFonts w:ascii="Arial" w:hAnsi="Arial" w:cs="Arial"/>
                <w:bCs/>
                <w:sz w:val="22"/>
                <w:szCs w:val="22"/>
              </w:rPr>
            </w:pPr>
            <w:r w:rsidRPr="00881BB0">
              <w:rPr>
                <w:rFonts w:ascii="Arial" w:hAnsi="Arial" w:cs="Arial"/>
                <w:bCs/>
                <w:sz w:val="22"/>
                <w:szCs w:val="22"/>
              </w:rPr>
              <w:t>Day 2</w:t>
            </w:r>
            <w:r w:rsidRPr="00881BB0">
              <w:rPr>
                <w:rFonts w:ascii="Arial" w:hAnsi="Arial" w:cs="Arial"/>
                <w:bCs/>
                <w:sz w:val="22"/>
                <w:szCs w:val="22"/>
                <w:vertAlign w:val="superscript"/>
              </w:rPr>
              <w:t>a</w:t>
            </w:r>
          </w:p>
        </w:tc>
        <w:tc>
          <w:tcPr>
            <w:tcW w:w="332" w:type="pct"/>
            <w:tcBorders>
              <w:top w:val="single" w:sz="4" w:space="0" w:color="auto"/>
              <w:left w:val="single" w:sz="4" w:space="0" w:color="auto"/>
              <w:bottom w:val="single" w:sz="4" w:space="0" w:color="auto"/>
              <w:right w:val="single" w:sz="4" w:space="0" w:color="auto"/>
            </w:tcBorders>
          </w:tcPr>
          <w:p w14:paraId="665A9BE2" w14:textId="77777777" w:rsidR="003C529C" w:rsidRPr="00881BB0" w:rsidRDefault="003C529C" w:rsidP="00FB2D39">
            <w:pPr>
              <w:pStyle w:val="TableHeaderText"/>
              <w:keepNext/>
              <w:keepLines/>
              <w:spacing w:before="0" w:after="0"/>
              <w:jc w:val="both"/>
              <w:rPr>
                <w:rFonts w:ascii="Arial" w:hAnsi="Arial" w:cs="Arial"/>
                <w:bCs/>
                <w:sz w:val="22"/>
                <w:szCs w:val="22"/>
              </w:rPr>
            </w:pPr>
            <w:r w:rsidRPr="00881BB0">
              <w:rPr>
                <w:rFonts w:ascii="Arial" w:hAnsi="Arial" w:cs="Arial"/>
                <w:bCs/>
                <w:sz w:val="22"/>
                <w:szCs w:val="22"/>
              </w:rPr>
              <w:t>Day 3</w:t>
            </w:r>
            <w:r w:rsidRPr="00881BB0">
              <w:rPr>
                <w:rFonts w:ascii="Arial" w:hAnsi="Arial" w:cs="Arial"/>
                <w:bCs/>
                <w:sz w:val="22"/>
                <w:szCs w:val="22"/>
                <w:vertAlign w:val="superscript"/>
              </w:rPr>
              <w:t>a</w:t>
            </w:r>
          </w:p>
        </w:tc>
        <w:tc>
          <w:tcPr>
            <w:tcW w:w="397" w:type="pct"/>
            <w:tcBorders>
              <w:top w:val="single" w:sz="4" w:space="0" w:color="auto"/>
              <w:left w:val="single" w:sz="4" w:space="0" w:color="auto"/>
              <w:bottom w:val="single" w:sz="4" w:space="0" w:color="auto"/>
              <w:right w:val="single" w:sz="4" w:space="0" w:color="auto"/>
            </w:tcBorders>
          </w:tcPr>
          <w:p w14:paraId="3D1B2224" w14:textId="77777777" w:rsidR="003C529C" w:rsidRPr="00881BB0" w:rsidRDefault="003C529C" w:rsidP="00FB2D39">
            <w:pPr>
              <w:pStyle w:val="TableHeaderText"/>
              <w:keepNext/>
              <w:keepLines/>
              <w:spacing w:before="0" w:after="0"/>
              <w:jc w:val="both"/>
              <w:rPr>
                <w:rFonts w:ascii="Arial" w:hAnsi="Arial" w:cs="Arial"/>
                <w:bCs/>
                <w:sz w:val="22"/>
                <w:szCs w:val="22"/>
              </w:rPr>
            </w:pPr>
            <w:r w:rsidRPr="00881BB0">
              <w:rPr>
                <w:rFonts w:ascii="Arial" w:hAnsi="Arial" w:cs="Arial"/>
                <w:bCs/>
                <w:sz w:val="22"/>
                <w:szCs w:val="22"/>
              </w:rPr>
              <w:t>Days</w:t>
            </w:r>
          </w:p>
          <w:p w14:paraId="54F98E47" w14:textId="77777777" w:rsidR="003C529C" w:rsidRPr="00881BB0" w:rsidRDefault="003C529C" w:rsidP="00FB2D39">
            <w:pPr>
              <w:pStyle w:val="TableHeaderText"/>
              <w:keepNext/>
              <w:keepLines/>
              <w:spacing w:before="0" w:after="0"/>
              <w:jc w:val="both"/>
              <w:rPr>
                <w:rFonts w:ascii="Arial" w:hAnsi="Arial" w:cs="Arial"/>
                <w:bCs/>
                <w:sz w:val="22"/>
                <w:szCs w:val="22"/>
              </w:rPr>
            </w:pPr>
            <w:r w:rsidRPr="00881BB0">
              <w:rPr>
                <w:rFonts w:ascii="Arial" w:hAnsi="Arial" w:cs="Arial"/>
                <w:bCs/>
                <w:sz w:val="22"/>
                <w:szCs w:val="22"/>
              </w:rPr>
              <w:t>4 to 8</w:t>
            </w:r>
          </w:p>
        </w:tc>
        <w:tc>
          <w:tcPr>
            <w:tcW w:w="332" w:type="pct"/>
            <w:tcBorders>
              <w:top w:val="single" w:sz="4" w:space="0" w:color="auto"/>
              <w:left w:val="single" w:sz="4" w:space="0" w:color="auto"/>
              <w:bottom w:val="single" w:sz="4" w:space="0" w:color="auto"/>
              <w:right w:val="single" w:sz="4" w:space="0" w:color="auto"/>
            </w:tcBorders>
          </w:tcPr>
          <w:p w14:paraId="04D41369" w14:textId="77777777" w:rsidR="003C529C" w:rsidRPr="00881BB0" w:rsidRDefault="003C529C" w:rsidP="00FB2D39">
            <w:pPr>
              <w:pStyle w:val="TableHeaderText"/>
              <w:keepNext/>
              <w:keepLines/>
              <w:spacing w:before="0" w:after="0"/>
              <w:jc w:val="both"/>
              <w:rPr>
                <w:rFonts w:ascii="Arial" w:hAnsi="Arial" w:cs="Arial"/>
                <w:bCs/>
                <w:sz w:val="22"/>
                <w:szCs w:val="22"/>
              </w:rPr>
            </w:pPr>
            <w:r w:rsidRPr="00881BB0">
              <w:rPr>
                <w:rFonts w:ascii="Arial" w:hAnsi="Arial" w:cs="Arial"/>
                <w:bCs/>
                <w:sz w:val="22"/>
                <w:szCs w:val="22"/>
              </w:rPr>
              <w:t>Day 9</w:t>
            </w:r>
            <w:r w:rsidRPr="00881BB0">
              <w:rPr>
                <w:rFonts w:ascii="Arial" w:hAnsi="Arial" w:cs="Arial"/>
                <w:bCs/>
                <w:sz w:val="22"/>
                <w:szCs w:val="22"/>
                <w:vertAlign w:val="superscript"/>
              </w:rPr>
              <w:t>a</w:t>
            </w:r>
          </w:p>
        </w:tc>
        <w:tc>
          <w:tcPr>
            <w:tcW w:w="397" w:type="pct"/>
            <w:tcBorders>
              <w:top w:val="single" w:sz="4" w:space="0" w:color="auto"/>
              <w:left w:val="single" w:sz="4" w:space="0" w:color="auto"/>
              <w:bottom w:val="single" w:sz="4" w:space="0" w:color="auto"/>
              <w:right w:val="single" w:sz="4" w:space="0" w:color="auto"/>
            </w:tcBorders>
          </w:tcPr>
          <w:p w14:paraId="56F95FE9" w14:textId="77777777" w:rsidR="003C529C" w:rsidRPr="00881BB0" w:rsidRDefault="003C529C" w:rsidP="00FB2D39">
            <w:pPr>
              <w:pStyle w:val="TableHeaderText"/>
              <w:keepNext/>
              <w:keepLines/>
              <w:spacing w:before="0" w:after="0"/>
              <w:jc w:val="both"/>
              <w:rPr>
                <w:rFonts w:ascii="Arial" w:hAnsi="Arial" w:cs="Arial"/>
                <w:bCs/>
                <w:sz w:val="22"/>
                <w:szCs w:val="22"/>
              </w:rPr>
            </w:pPr>
            <w:r w:rsidRPr="00881BB0">
              <w:rPr>
                <w:rFonts w:ascii="Arial" w:hAnsi="Arial" w:cs="Arial"/>
                <w:bCs/>
                <w:sz w:val="22"/>
                <w:szCs w:val="22"/>
              </w:rPr>
              <w:t>Days</w:t>
            </w:r>
          </w:p>
          <w:p w14:paraId="37E15366" w14:textId="77777777" w:rsidR="003C529C" w:rsidRPr="00881BB0" w:rsidRDefault="003C529C" w:rsidP="00FB2D39">
            <w:pPr>
              <w:pStyle w:val="TableHeaderText"/>
              <w:keepNext/>
              <w:keepLines/>
              <w:spacing w:before="0" w:after="0"/>
              <w:jc w:val="both"/>
              <w:rPr>
                <w:rFonts w:ascii="Arial" w:hAnsi="Arial" w:cs="Arial"/>
                <w:bCs/>
                <w:sz w:val="22"/>
                <w:szCs w:val="22"/>
              </w:rPr>
            </w:pPr>
            <w:r w:rsidRPr="00881BB0">
              <w:rPr>
                <w:rFonts w:ascii="Arial" w:hAnsi="Arial" w:cs="Arial"/>
                <w:bCs/>
                <w:sz w:val="22"/>
                <w:szCs w:val="22"/>
              </w:rPr>
              <w:t>9 to 13</w:t>
            </w:r>
          </w:p>
        </w:tc>
        <w:tc>
          <w:tcPr>
            <w:tcW w:w="332" w:type="pct"/>
            <w:tcBorders>
              <w:top w:val="single" w:sz="4" w:space="0" w:color="auto"/>
              <w:left w:val="single" w:sz="4" w:space="0" w:color="auto"/>
              <w:bottom w:val="single" w:sz="4" w:space="0" w:color="auto"/>
              <w:right w:val="single" w:sz="4" w:space="0" w:color="auto"/>
            </w:tcBorders>
          </w:tcPr>
          <w:p w14:paraId="4B13F338" w14:textId="77777777" w:rsidR="003C529C" w:rsidRPr="00881BB0" w:rsidRDefault="003C529C" w:rsidP="00FB2D39">
            <w:pPr>
              <w:pStyle w:val="TableHeaderText"/>
              <w:keepNext/>
              <w:keepLines/>
              <w:spacing w:before="0" w:after="0"/>
              <w:jc w:val="both"/>
              <w:rPr>
                <w:rFonts w:ascii="Arial" w:hAnsi="Arial" w:cs="Arial"/>
                <w:sz w:val="22"/>
                <w:szCs w:val="22"/>
              </w:rPr>
            </w:pPr>
            <w:r w:rsidRPr="00881BB0">
              <w:rPr>
                <w:rFonts w:ascii="Arial" w:hAnsi="Arial" w:cs="Arial"/>
                <w:sz w:val="22"/>
                <w:szCs w:val="22"/>
              </w:rPr>
              <w:t>Day 14</w:t>
            </w:r>
            <w:r w:rsidRPr="00881BB0">
              <w:rPr>
                <w:rFonts w:ascii="Arial" w:hAnsi="Arial" w:cs="Arial"/>
                <w:sz w:val="22"/>
                <w:szCs w:val="22"/>
                <w:vertAlign w:val="superscript"/>
              </w:rPr>
              <w:t>a</w:t>
            </w:r>
            <w:r w:rsidRPr="00881BB0">
              <w:rPr>
                <w:rFonts w:ascii="Arial" w:hAnsi="Arial" w:cs="Arial"/>
                <w:sz w:val="22"/>
                <w:szCs w:val="22"/>
              </w:rPr>
              <w:t xml:space="preserve"> </w:t>
            </w:r>
          </w:p>
          <w:p w14:paraId="46BBFDD9" w14:textId="33D05FA8" w:rsidR="003C529C" w:rsidRPr="00881BB0" w:rsidRDefault="003C529C" w:rsidP="00FB2D39">
            <w:pPr>
              <w:pStyle w:val="TableHeader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0581EE29" w14:textId="429CD029" w:rsidR="003C529C" w:rsidRPr="00881BB0" w:rsidRDefault="003C529C" w:rsidP="00FB2D39">
            <w:pPr>
              <w:pStyle w:val="TableHeaderText"/>
              <w:keepNext/>
              <w:keepLines/>
              <w:spacing w:before="0" w:after="0"/>
              <w:jc w:val="both"/>
              <w:rPr>
                <w:rFonts w:ascii="Arial" w:hAnsi="Arial" w:cs="Arial"/>
                <w:sz w:val="22"/>
                <w:szCs w:val="22"/>
              </w:rPr>
            </w:pPr>
            <w:r>
              <w:rPr>
                <w:rFonts w:ascii="Arial" w:hAnsi="Arial" w:cs="Arial"/>
                <w:sz w:val="22"/>
                <w:szCs w:val="22"/>
              </w:rPr>
              <w:t>Day 56</w:t>
            </w:r>
          </w:p>
        </w:tc>
      </w:tr>
      <w:tr w:rsidR="003C529C" w:rsidRPr="00881BB0" w14:paraId="089AE74A" w14:textId="649A5DF4"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4E68529A" w14:textId="77777777" w:rsidR="003C529C" w:rsidRPr="00881BB0" w:rsidRDefault="003C529C" w:rsidP="00E50A4E">
            <w:pPr>
              <w:pStyle w:val="TableText"/>
              <w:keepNext/>
              <w:keepLines/>
              <w:spacing w:before="0" w:after="0"/>
              <w:rPr>
                <w:rFonts w:ascii="Arial" w:hAnsi="Arial" w:cs="Arial"/>
                <w:sz w:val="22"/>
                <w:szCs w:val="22"/>
              </w:rPr>
            </w:pPr>
            <w:r w:rsidRPr="00881BB0">
              <w:rPr>
                <w:rFonts w:ascii="Arial" w:hAnsi="Arial" w:cs="Arial"/>
                <w:sz w:val="22"/>
                <w:szCs w:val="22"/>
              </w:rPr>
              <w:t>Informed consent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335C0EE" w14:textId="77777777" w:rsidR="003C529C" w:rsidRPr="00881BB0" w:rsidRDefault="003C529C" w:rsidP="00FB2D39">
            <w:pPr>
              <w:pStyle w:val="StyleTableTextCentered"/>
              <w:keepNext/>
              <w:keepLines/>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0371BEB"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D36B55A"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6D81344"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A67DBD0"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D6898AD"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0B5DDB9"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2E0B752C"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11134949" w14:textId="77777777" w:rsidR="003C529C" w:rsidRPr="00881BB0" w:rsidRDefault="003C529C" w:rsidP="00FB2D39">
            <w:pPr>
              <w:pStyle w:val="TableText"/>
              <w:keepNext/>
              <w:keepLines/>
              <w:spacing w:before="0" w:after="0"/>
              <w:jc w:val="both"/>
              <w:rPr>
                <w:rFonts w:ascii="Arial" w:hAnsi="Arial" w:cs="Arial"/>
                <w:sz w:val="22"/>
                <w:szCs w:val="22"/>
              </w:rPr>
            </w:pPr>
          </w:p>
        </w:tc>
      </w:tr>
      <w:tr w:rsidR="003C529C" w:rsidRPr="00881BB0" w14:paraId="1E8D9D99" w14:textId="2BEF41B9"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39A7AE3E" w14:textId="77777777" w:rsidR="003C529C" w:rsidRPr="00881BB0" w:rsidRDefault="003C529C" w:rsidP="00E50A4E">
            <w:pPr>
              <w:pStyle w:val="TableText"/>
              <w:keepNext/>
              <w:keepLines/>
              <w:spacing w:before="0" w:after="0"/>
              <w:rPr>
                <w:rFonts w:ascii="Arial" w:hAnsi="Arial" w:cs="Arial"/>
                <w:sz w:val="22"/>
                <w:szCs w:val="22"/>
              </w:rPr>
            </w:pPr>
            <w:r w:rsidRPr="00881BB0">
              <w:rPr>
                <w:rFonts w:ascii="Arial" w:hAnsi="Arial" w:cs="Arial"/>
                <w:sz w:val="22"/>
                <w:szCs w:val="22"/>
              </w:rPr>
              <w:t>Demography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0D44861" w14:textId="77777777" w:rsidR="003C529C" w:rsidRPr="00881BB0" w:rsidRDefault="003C529C" w:rsidP="00FB2D39">
            <w:pPr>
              <w:pStyle w:val="StyleTableTextCentered"/>
              <w:keepNext/>
              <w:keepLines/>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AE9927F"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DA5E34A"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00D367F"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5F06ADA"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33FCFF6"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219F4FE"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5C4001B0"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14B925A2" w14:textId="77777777" w:rsidR="003C529C" w:rsidRPr="00881BB0" w:rsidRDefault="003C529C" w:rsidP="00FB2D39">
            <w:pPr>
              <w:pStyle w:val="TableText"/>
              <w:keepNext/>
              <w:keepLines/>
              <w:spacing w:before="0" w:after="0"/>
              <w:jc w:val="both"/>
              <w:rPr>
                <w:rFonts w:ascii="Arial" w:hAnsi="Arial" w:cs="Arial"/>
                <w:sz w:val="22"/>
                <w:szCs w:val="22"/>
              </w:rPr>
            </w:pPr>
          </w:p>
        </w:tc>
      </w:tr>
      <w:tr w:rsidR="003C529C" w:rsidRPr="00881BB0" w14:paraId="029E1420" w14:textId="1DE58003"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bottom"/>
          </w:tcPr>
          <w:p w14:paraId="39E3B632" w14:textId="77777777" w:rsidR="003C529C" w:rsidRPr="00881BB0" w:rsidRDefault="003C529C" w:rsidP="00E50A4E">
            <w:pPr>
              <w:pStyle w:val="TableText"/>
              <w:keepNext/>
              <w:keepLines/>
              <w:spacing w:before="0" w:after="0"/>
              <w:rPr>
                <w:rFonts w:ascii="Arial" w:hAnsi="Arial" w:cs="Arial"/>
                <w:color w:val="000000"/>
                <w:sz w:val="22"/>
                <w:szCs w:val="22"/>
              </w:rPr>
            </w:pPr>
            <w:r w:rsidRPr="00881BB0">
              <w:rPr>
                <w:rFonts w:ascii="Arial" w:hAnsi="Arial" w:cs="Arial"/>
                <w:color w:val="000000"/>
                <w:sz w:val="22"/>
                <w:szCs w:val="22"/>
              </w:rPr>
              <w:t>Past and current medical conditions, including known pregnancy and/or lactation status</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FD17E2B" w14:textId="77777777" w:rsidR="003C529C" w:rsidRPr="00881BB0" w:rsidRDefault="003C529C" w:rsidP="00FB2D39">
            <w:pPr>
              <w:pStyle w:val="StyleTableTextCentered"/>
              <w:keepNext/>
              <w:keepLines/>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2E227F0"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92306D1"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FC95797"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A3229A0"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173BCF0"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024068C"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7C5276A2"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086CA37F" w14:textId="77777777" w:rsidR="003C529C" w:rsidRPr="00881BB0" w:rsidRDefault="003C529C" w:rsidP="00FB2D39">
            <w:pPr>
              <w:pStyle w:val="TableText"/>
              <w:keepNext/>
              <w:keepLines/>
              <w:spacing w:before="0" w:after="0"/>
              <w:jc w:val="both"/>
              <w:rPr>
                <w:rFonts w:ascii="Arial" w:hAnsi="Arial" w:cs="Arial"/>
                <w:sz w:val="22"/>
                <w:szCs w:val="22"/>
              </w:rPr>
            </w:pPr>
          </w:p>
        </w:tc>
      </w:tr>
      <w:tr w:rsidR="003C529C" w:rsidRPr="00881BB0" w14:paraId="5E840F80" w14:textId="4AC8FFA6"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bottom"/>
          </w:tcPr>
          <w:p w14:paraId="0576B910" w14:textId="77777777" w:rsidR="003C529C" w:rsidRPr="00881BB0" w:rsidRDefault="003C529C" w:rsidP="00E50A4E">
            <w:pPr>
              <w:pStyle w:val="TableText"/>
              <w:keepNext/>
              <w:keepLines/>
              <w:spacing w:before="0" w:after="0"/>
              <w:rPr>
                <w:rFonts w:ascii="Arial" w:hAnsi="Arial" w:cs="Arial"/>
                <w:color w:val="000000"/>
                <w:sz w:val="22"/>
                <w:szCs w:val="22"/>
              </w:rPr>
            </w:pPr>
            <w:r w:rsidRPr="00881BB0">
              <w:rPr>
                <w:rFonts w:ascii="Arial" w:hAnsi="Arial" w:cs="Arial"/>
                <w:color w:val="000000"/>
                <w:sz w:val="22"/>
                <w:szCs w:val="22"/>
              </w:rPr>
              <w:t>Concomitant medications</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6A65F73" w14:textId="77777777" w:rsidR="003C529C" w:rsidRPr="00881BB0" w:rsidRDefault="003C529C" w:rsidP="00FB2D39">
            <w:pPr>
              <w:pStyle w:val="StyleTableTextCentered"/>
              <w:keepNext/>
              <w:keepLines/>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7A897EF"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9D97C3A"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77F6CB9"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E7AE320"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B682E72"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6CAB3F0"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255C3C5A"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1C046C35" w14:textId="77777777" w:rsidR="003C529C" w:rsidRPr="00881BB0" w:rsidRDefault="003C529C" w:rsidP="00FB2D39">
            <w:pPr>
              <w:pStyle w:val="TableText"/>
              <w:keepNext/>
              <w:keepLines/>
              <w:spacing w:before="0" w:after="0"/>
              <w:jc w:val="both"/>
              <w:rPr>
                <w:rFonts w:ascii="Arial" w:hAnsi="Arial" w:cs="Arial"/>
                <w:sz w:val="22"/>
                <w:szCs w:val="22"/>
              </w:rPr>
            </w:pPr>
          </w:p>
        </w:tc>
      </w:tr>
      <w:tr w:rsidR="003C529C" w:rsidRPr="00881BB0" w14:paraId="2A673D91" w14:textId="70B7EC1E"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bottom"/>
          </w:tcPr>
          <w:p w14:paraId="0B53944B" w14:textId="77777777" w:rsidR="003C529C" w:rsidRPr="00881BB0" w:rsidRDefault="003C529C" w:rsidP="00E50A4E">
            <w:pPr>
              <w:pStyle w:val="TableText"/>
              <w:keepNext/>
              <w:keepLines/>
              <w:spacing w:before="0" w:after="0"/>
              <w:rPr>
                <w:rFonts w:ascii="Arial" w:hAnsi="Arial" w:cs="Arial"/>
                <w:color w:val="000000"/>
                <w:sz w:val="22"/>
                <w:szCs w:val="22"/>
              </w:rPr>
            </w:pPr>
            <w:r w:rsidRPr="00881BB0">
              <w:rPr>
                <w:rFonts w:ascii="Arial" w:hAnsi="Arial" w:cs="Arial"/>
                <w:color w:val="000000"/>
                <w:sz w:val="22"/>
                <w:szCs w:val="22"/>
              </w:rPr>
              <w:t>Laboratory documentation of COVID-19 testing</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06CBF37" w14:textId="77777777" w:rsidR="003C529C" w:rsidRPr="00881BB0" w:rsidRDefault="003C529C" w:rsidP="00FB2D39">
            <w:pPr>
              <w:pStyle w:val="StyleTableTextCentered"/>
              <w:keepNext/>
              <w:keepLines/>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6F05CC7"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E23EFD2"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3B4279A"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1601065"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D61B72E"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8BD13F0"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19033078"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5AEA23F2" w14:textId="77777777" w:rsidR="003C529C" w:rsidRPr="00881BB0" w:rsidRDefault="003C529C" w:rsidP="00FB2D39">
            <w:pPr>
              <w:pStyle w:val="TableText"/>
              <w:keepNext/>
              <w:keepLines/>
              <w:spacing w:before="0" w:after="0"/>
              <w:jc w:val="both"/>
              <w:rPr>
                <w:rFonts w:ascii="Arial" w:hAnsi="Arial" w:cs="Arial"/>
                <w:sz w:val="22"/>
                <w:szCs w:val="22"/>
              </w:rPr>
            </w:pPr>
          </w:p>
        </w:tc>
      </w:tr>
      <w:tr w:rsidR="003C529C" w:rsidRPr="00881BB0" w14:paraId="36AF0F64" w14:textId="6371EE3A"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55B1B293" w14:textId="77777777" w:rsidR="003C529C" w:rsidRPr="00881BB0" w:rsidRDefault="003C529C" w:rsidP="00E50A4E">
            <w:pPr>
              <w:pStyle w:val="TableText"/>
              <w:keepNext/>
              <w:keepLines/>
              <w:spacing w:before="0" w:after="0"/>
              <w:rPr>
                <w:rFonts w:ascii="Arial" w:hAnsi="Arial" w:cs="Arial"/>
                <w:sz w:val="22"/>
                <w:szCs w:val="22"/>
              </w:rPr>
            </w:pPr>
            <w:r w:rsidRPr="00881BB0">
              <w:rPr>
                <w:rFonts w:ascii="Arial" w:hAnsi="Arial" w:cs="Arial"/>
                <w:sz w:val="22"/>
                <w:szCs w:val="22"/>
              </w:rPr>
              <w:t>Inclusion and exclusion criteria</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1C9582" w14:textId="77777777" w:rsidR="003C529C" w:rsidRPr="00881BB0" w:rsidRDefault="003C529C" w:rsidP="00FB2D39">
            <w:pPr>
              <w:pStyle w:val="StyleTableTextCentered"/>
              <w:keepNext/>
              <w:keepLines/>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CA0697A"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0FB5193"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4754FBE"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380EF9C"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475075E"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8A876DD"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578C2688" w14:textId="77777777" w:rsidR="003C529C" w:rsidRPr="00881BB0" w:rsidRDefault="003C529C" w:rsidP="00FB2D39">
            <w:pPr>
              <w:pStyle w:val="TableText"/>
              <w:keepNext/>
              <w:keepLines/>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24CD15D1" w14:textId="77777777" w:rsidR="003C529C" w:rsidRPr="00881BB0" w:rsidRDefault="003C529C" w:rsidP="00FB2D39">
            <w:pPr>
              <w:pStyle w:val="TableText"/>
              <w:keepNext/>
              <w:keepLines/>
              <w:spacing w:before="0" w:after="0"/>
              <w:jc w:val="both"/>
              <w:rPr>
                <w:rFonts w:ascii="Arial" w:hAnsi="Arial" w:cs="Arial"/>
                <w:sz w:val="22"/>
                <w:szCs w:val="22"/>
              </w:rPr>
            </w:pPr>
          </w:p>
        </w:tc>
      </w:tr>
      <w:tr w:rsidR="003C529C" w:rsidRPr="00881BB0" w14:paraId="217B4B43" w14:textId="6ACAB83B"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74EE3CF3" w14:textId="77777777" w:rsidR="003C529C" w:rsidRPr="00881BB0" w:rsidRDefault="003C529C" w:rsidP="00E50A4E">
            <w:pPr>
              <w:pStyle w:val="TableText"/>
              <w:spacing w:before="0" w:after="0"/>
              <w:rPr>
                <w:rFonts w:ascii="Arial" w:hAnsi="Arial" w:cs="Arial"/>
                <w:sz w:val="22"/>
                <w:szCs w:val="22"/>
              </w:rPr>
            </w:pPr>
            <w:r w:rsidRPr="00881BB0">
              <w:rPr>
                <w:rFonts w:ascii="Arial" w:hAnsi="Arial" w:cs="Arial"/>
                <w:sz w:val="22"/>
                <w:szCs w:val="22"/>
              </w:rPr>
              <w:t>Randomization</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A53D5F" w14:textId="77777777"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8305288" w14:textId="77777777" w:rsidR="003C529C" w:rsidRPr="00881BB0" w:rsidRDefault="003C529C" w:rsidP="00FB2D39">
            <w:pPr>
              <w:pStyle w:val="StyleTableTextCentered"/>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0DB1057"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F0E806A" w14:textId="77777777" w:rsidR="003C529C" w:rsidRPr="00881BB0" w:rsidRDefault="003C529C" w:rsidP="00FB2D39">
            <w:pPr>
              <w:pStyle w:val="TableText"/>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A616629"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598F775" w14:textId="77777777" w:rsidR="003C529C" w:rsidRPr="00881BB0" w:rsidRDefault="003C529C" w:rsidP="00FB2D39">
            <w:pPr>
              <w:pStyle w:val="TableText"/>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859FEB2"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4A6861C3"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7E0AB04F" w14:textId="77777777" w:rsidR="003C529C" w:rsidRPr="00881BB0" w:rsidRDefault="003C529C" w:rsidP="00FB2D39">
            <w:pPr>
              <w:pStyle w:val="TableText"/>
              <w:spacing w:before="0" w:after="0"/>
              <w:jc w:val="both"/>
              <w:rPr>
                <w:rFonts w:ascii="Arial" w:hAnsi="Arial" w:cs="Arial"/>
                <w:sz w:val="22"/>
                <w:szCs w:val="22"/>
              </w:rPr>
            </w:pPr>
          </w:p>
        </w:tc>
      </w:tr>
      <w:tr w:rsidR="003C529C" w:rsidRPr="00881BB0" w14:paraId="2833D185" w14:textId="2AA4B38E"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69F92C4B" w14:textId="36F89BBA" w:rsidR="003C529C" w:rsidRPr="00881BB0" w:rsidRDefault="003C529C" w:rsidP="00E50A4E">
            <w:pPr>
              <w:pStyle w:val="TableText"/>
              <w:spacing w:before="0" w:after="0"/>
              <w:rPr>
                <w:rFonts w:ascii="Arial" w:hAnsi="Arial" w:cs="Arial"/>
                <w:sz w:val="22"/>
                <w:szCs w:val="22"/>
              </w:rPr>
            </w:pPr>
            <w:r w:rsidRPr="00881BB0">
              <w:rPr>
                <w:rFonts w:ascii="Arial" w:hAnsi="Arial" w:cs="Arial"/>
                <w:sz w:val="22"/>
                <w:szCs w:val="22"/>
              </w:rPr>
              <w:t xml:space="preserve">Mid-nasal </w:t>
            </w:r>
            <w:proofErr w:type="spellStart"/>
            <w:r w:rsidRPr="00881BB0">
              <w:rPr>
                <w:rFonts w:ascii="Arial" w:hAnsi="Arial" w:cs="Arial"/>
                <w:sz w:val="22"/>
                <w:szCs w:val="22"/>
              </w:rPr>
              <w:t>swab</w:t>
            </w:r>
            <w:r w:rsidRPr="00881BB0">
              <w:rPr>
                <w:rFonts w:ascii="Arial" w:hAnsi="Arial" w:cs="Arial"/>
                <w:sz w:val="22"/>
                <w:szCs w:val="22"/>
                <w:vertAlign w:val="superscript"/>
              </w:rPr>
              <w:t>a</w:t>
            </w:r>
            <w:proofErr w:type="spellEnd"/>
            <w:r w:rsidRPr="00881BB0">
              <w:rPr>
                <w:rFonts w:ascii="Arial" w:hAnsi="Arial" w:cs="Arial"/>
                <w:sz w:val="22"/>
                <w:szCs w:val="22"/>
                <w:vertAlign w:val="superscript"/>
              </w:rPr>
              <w:t xml:space="preserve"> </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251D0E"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5D85378" w14:textId="67508253"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706CA9B" w14:textId="77777777" w:rsidR="003C529C" w:rsidRPr="00881BB0" w:rsidRDefault="003C529C" w:rsidP="00FB2D39">
            <w:pPr>
              <w:pStyle w:val="StyleTableTextCentered"/>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A977600" w14:textId="3F834472" w:rsidR="003C529C" w:rsidRPr="00881BB0" w:rsidRDefault="000E3F17" w:rsidP="00FB2D39">
            <w:pPr>
              <w:pStyle w:val="TableText"/>
              <w:spacing w:before="0" w:after="0"/>
              <w:jc w:val="both"/>
              <w:rPr>
                <w:rFonts w:ascii="Arial" w:hAnsi="Arial" w:cs="Arial"/>
                <w:sz w:val="22"/>
                <w:szCs w:val="22"/>
              </w:rPr>
            </w:pPr>
            <w:r>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F96A1BC" w14:textId="16A496A7"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0C78AEE" w14:textId="77777777" w:rsidR="003C529C" w:rsidRPr="00881BB0" w:rsidRDefault="003C529C" w:rsidP="00FB2D39">
            <w:pPr>
              <w:pStyle w:val="TableText"/>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22999EF" w14:textId="433438BE"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95FB872" w14:textId="4F6C899A" w:rsidR="003C529C" w:rsidRPr="00881BB0" w:rsidRDefault="000E3F17" w:rsidP="00FB2D39">
            <w:pPr>
              <w:pStyle w:val="TableText"/>
              <w:spacing w:before="0" w:after="0"/>
              <w:jc w:val="both"/>
              <w:rPr>
                <w:rFonts w:ascii="Arial" w:hAnsi="Arial" w:cs="Arial"/>
                <w:sz w:val="22"/>
                <w:szCs w:val="22"/>
              </w:rPr>
            </w:pPr>
            <w:r>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tcPr>
          <w:p w14:paraId="0B8923DC" w14:textId="77777777" w:rsidR="003C529C" w:rsidRPr="00881BB0" w:rsidRDefault="003C529C" w:rsidP="00FB2D39">
            <w:pPr>
              <w:pStyle w:val="TableText"/>
              <w:spacing w:before="0" w:after="0"/>
              <w:jc w:val="both"/>
              <w:rPr>
                <w:rFonts w:ascii="Arial" w:hAnsi="Arial" w:cs="Arial"/>
                <w:sz w:val="22"/>
                <w:szCs w:val="22"/>
              </w:rPr>
            </w:pPr>
          </w:p>
        </w:tc>
      </w:tr>
      <w:tr w:rsidR="003C529C" w:rsidRPr="00881BB0" w14:paraId="5EFC354B" w14:textId="27315729"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415A3FFB" w14:textId="77777777" w:rsidR="003C529C" w:rsidRPr="00881BB0" w:rsidRDefault="003C529C" w:rsidP="00E50A4E">
            <w:pPr>
              <w:pStyle w:val="TableText"/>
              <w:spacing w:before="0" w:after="0"/>
              <w:rPr>
                <w:rFonts w:ascii="Arial" w:hAnsi="Arial" w:cs="Arial"/>
                <w:sz w:val="22"/>
                <w:szCs w:val="22"/>
              </w:rPr>
            </w:pPr>
            <w:r w:rsidRPr="00881BB0">
              <w:rPr>
                <w:rFonts w:ascii="Arial" w:hAnsi="Arial" w:cs="Arial"/>
                <w:sz w:val="22"/>
                <w:szCs w:val="22"/>
              </w:rPr>
              <w:t>Study therapies</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554F3C"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9CD7C79" w14:textId="77777777"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B2D1955"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C319084" w14:textId="77777777"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4821275" w14:textId="77777777"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D0B1208" w14:textId="77777777"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CBF9CBD" w14:textId="77777777" w:rsidR="003C529C" w:rsidRPr="00881BB0" w:rsidRDefault="003C529C" w:rsidP="00FB2D39">
            <w:pPr>
              <w:pStyle w:val="TableText"/>
              <w:spacing w:before="0" w:after="0"/>
              <w:jc w:val="both"/>
              <w:rPr>
                <w:rFonts w:ascii="Arial" w:hAnsi="Arial" w:cs="Arial"/>
                <w:sz w:val="22"/>
                <w:szCs w:val="22"/>
              </w:rPr>
            </w:pPr>
            <w:proofErr w:type="spellStart"/>
            <w:r w:rsidRPr="00881BB0">
              <w:rPr>
                <w:rFonts w:ascii="Arial" w:hAnsi="Arial" w:cs="Arial"/>
                <w:sz w:val="22"/>
                <w:szCs w:val="22"/>
              </w:rPr>
              <w:t>X</w:t>
            </w:r>
            <w:r w:rsidRPr="00881BB0">
              <w:rPr>
                <w:rFonts w:ascii="Arial" w:hAnsi="Arial" w:cs="Arial"/>
                <w:sz w:val="22"/>
                <w:szCs w:val="22"/>
                <w:vertAlign w:val="superscript"/>
              </w:rPr>
              <w:t>c</w:t>
            </w:r>
            <w:proofErr w:type="spellEnd"/>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40F033E"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2AE98821" w14:textId="77777777" w:rsidR="003C529C" w:rsidRPr="00881BB0" w:rsidRDefault="003C529C" w:rsidP="00FB2D39">
            <w:pPr>
              <w:pStyle w:val="TableText"/>
              <w:spacing w:before="0" w:after="0"/>
              <w:jc w:val="both"/>
              <w:rPr>
                <w:rFonts w:ascii="Arial" w:hAnsi="Arial" w:cs="Arial"/>
                <w:sz w:val="22"/>
                <w:szCs w:val="22"/>
              </w:rPr>
            </w:pPr>
          </w:p>
        </w:tc>
      </w:tr>
      <w:tr w:rsidR="003C529C" w:rsidRPr="00881BB0" w14:paraId="175A0468" w14:textId="5C18115C"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0C955AF0" w14:textId="77777777" w:rsidR="003C529C" w:rsidRPr="00881BB0" w:rsidRDefault="003C529C" w:rsidP="00E50A4E">
            <w:pPr>
              <w:pStyle w:val="TableText"/>
              <w:spacing w:before="0" w:after="0"/>
              <w:rPr>
                <w:rFonts w:ascii="Arial" w:hAnsi="Arial" w:cs="Arial"/>
                <w:sz w:val="22"/>
                <w:szCs w:val="22"/>
              </w:rPr>
            </w:pPr>
            <w:r w:rsidRPr="00881BB0">
              <w:rPr>
                <w:rFonts w:ascii="Arial" w:hAnsi="Arial" w:cs="Arial"/>
                <w:sz w:val="22"/>
                <w:szCs w:val="22"/>
              </w:rPr>
              <w:t>Daily Survey (including dosing and swab adherence, concomitant medications)</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8CE50C0"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DFCABFD"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15F0BBC"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6520AD5"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476578E"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B09DC0C"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44B7CB2"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236474C" w14:textId="1535E559"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tcPr>
          <w:p w14:paraId="225ED92E" w14:textId="77777777" w:rsidR="003C529C" w:rsidRPr="00881BB0" w:rsidRDefault="003C529C" w:rsidP="00FB2D39">
            <w:pPr>
              <w:pStyle w:val="TableText"/>
              <w:spacing w:before="0" w:after="0"/>
              <w:jc w:val="both"/>
              <w:rPr>
                <w:rFonts w:ascii="Arial" w:hAnsi="Arial" w:cs="Arial"/>
                <w:sz w:val="22"/>
                <w:szCs w:val="22"/>
              </w:rPr>
            </w:pPr>
          </w:p>
        </w:tc>
      </w:tr>
      <w:tr w:rsidR="003C529C" w:rsidRPr="00881BB0" w14:paraId="6C3D508F" w14:textId="2BBE7CA0"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7367BC6E" w14:textId="77777777" w:rsidR="003C529C" w:rsidRPr="00881BB0" w:rsidRDefault="003C529C" w:rsidP="00E50A4E">
            <w:pPr>
              <w:pStyle w:val="TableText"/>
              <w:spacing w:before="0" w:after="0"/>
              <w:rPr>
                <w:rFonts w:ascii="Arial" w:hAnsi="Arial" w:cs="Arial"/>
                <w:sz w:val="22"/>
                <w:szCs w:val="22"/>
              </w:rPr>
            </w:pPr>
            <w:r w:rsidRPr="00881BB0">
              <w:rPr>
                <w:rFonts w:ascii="Arial" w:hAnsi="Arial" w:cs="Arial"/>
                <w:sz w:val="22"/>
                <w:szCs w:val="22"/>
              </w:rPr>
              <w:t>WURSS-11 Upper Respiratory Symptom Scale</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DB4C012" w14:textId="77777777"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A3952F9"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430EB9B"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3CB6849"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D6C7D3B"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60D0990"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D34BDF2"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12D91C1" w14:textId="32A4CC15" w:rsidR="003C529C" w:rsidRPr="00881BB0" w:rsidRDefault="003C529C" w:rsidP="00FB2D39">
            <w:pPr>
              <w:pStyle w:val="TableText"/>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tcPr>
          <w:p w14:paraId="45BFC178" w14:textId="77777777" w:rsidR="003C529C" w:rsidRPr="00881BB0" w:rsidRDefault="003C529C" w:rsidP="00FB2D39">
            <w:pPr>
              <w:pStyle w:val="TableText"/>
              <w:spacing w:before="0" w:after="0"/>
              <w:jc w:val="both"/>
              <w:rPr>
                <w:rFonts w:ascii="Arial" w:hAnsi="Arial" w:cs="Arial"/>
                <w:sz w:val="22"/>
                <w:szCs w:val="22"/>
              </w:rPr>
            </w:pPr>
          </w:p>
        </w:tc>
      </w:tr>
      <w:tr w:rsidR="003C529C" w:rsidRPr="00881BB0" w14:paraId="2F0F1747" w14:textId="686DED09"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074867AD" w14:textId="018C0E1A" w:rsidR="003C529C" w:rsidRPr="00881BB0" w:rsidRDefault="003C529C" w:rsidP="00E50A4E">
            <w:pPr>
              <w:pStyle w:val="TableText"/>
              <w:spacing w:before="0" w:after="0"/>
              <w:rPr>
                <w:rFonts w:ascii="Arial" w:hAnsi="Arial" w:cs="Arial"/>
                <w:sz w:val="22"/>
                <w:szCs w:val="22"/>
              </w:rPr>
            </w:pPr>
            <w:r w:rsidRPr="00881BB0">
              <w:rPr>
                <w:rFonts w:ascii="Arial" w:hAnsi="Arial" w:cs="Arial"/>
                <w:sz w:val="22"/>
                <w:szCs w:val="22"/>
              </w:rPr>
              <w:t>Participant collected daily vitals (include temperature, pulse, SaO</w:t>
            </w:r>
            <w:r w:rsidRPr="006C4819">
              <w:rPr>
                <w:rFonts w:ascii="Arial" w:hAnsi="Arial" w:cs="Arial"/>
                <w:sz w:val="22"/>
                <w:szCs w:val="22"/>
                <w:vertAlign w:val="subscript"/>
              </w:rPr>
              <w:t>2</w:t>
            </w:r>
            <w:r w:rsidRPr="00881BB0">
              <w:rPr>
                <w:rFonts w:ascii="Arial" w:hAnsi="Arial" w:cs="Arial"/>
                <w:sz w:val="22"/>
                <w:szCs w:val="22"/>
              </w:rPr>
              <w:t>, QT monitoring if indicated by the safety profile of the investigational drug, respiratory rate)</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BE16B5"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A7A2D2B"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C239792"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C7AAAC8"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8F6A67B"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95D7ED8"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2D80D39" w14:textId="77777777" w:rsidR="003C529C" w:rsidRPr="00881BB0" w:rsidRDefault="003C529C" w:rsidP="00FB2D39">
            <w:pPr>
              <w:pStyle w:val="StyleTableTextCentered"/>
              <w:spacing w:before="0" w:after="0"/>
              <w:jc w:val="both"/>
              <w:rPr>
                <w:rFonts w:ascii="Arial" w:hAnsi="Arial" w:cs="Arial"/>
                <w:sz w:val="22"/>
                <w:szCs w:val="22"/>
              </w:rPr>
            </w:pPr>
            <w:r w:rsidRPr="00881BB0">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8DE9BE3" w14:textId="77777777" w:rsidR="003C529C" w:rsidRPr="00881BB0"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tcPr>
          <w:p w14:paraId="5C2B674E" w14:textId="77777777" w:rsidR="003C529C" w:rsidRPr="00881BB0" w:rsidRDefault="003C529C" w:rsidP="00FB2D39">
            <w:pPr>
              <w:pStyle w:val="TableText"/>
              <w:spacing w:before="0" w:after="0"/>
              <w:jc w:val="both"/>
              <w:rPr>
                <w:rFonts w:ascii="Arial" w:hAnsi="Arial" w:cs="Arial"/>
                <w:sz w:val="22"/>
                <w:szCs w:val="22"/>
              </w:rPr>
            </w:pPr>
          </w:p>
        </w:tc>
      </w:tr>
      <w:tr w:rsidR="003C529C" w:rsidRPr="00FA7410" w14:paraId="03A49C5A" w14:textId="082710E7"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70FCC107" w14:textId="0ACF26D1" w:rsidR="003C529C" w:rsidRPr="00F85213" w:rsidRDefault="003C529C" w:rsidP="00E50A4E">
            <w:pPr>
              <w:pStyle w:val="TableText"/>
              <w:spacing w:before="0" w:after="0"/>
              <w:rPr>
                <w:rFonts w:ascii="Arial" w:hAnsi="Arial" w:cs="Arial"/>
                <w:sz w:val="22"/>
                <w:szCs w:val="22"/>
                <w:vertAlign w:val="superscript"/>
              </w:rPr>
            </w:pPr>
            <w:r w:rsidRPr="006C4819">
              <w:rPr>
                <w:rFonts w:ascii="Arial" w:hAnsi="Arial" w:cs="Arial"/>
                <w:sz w:val="22"/>
                <w:szCs w:val="22"/>
              </w:rPr>
              <w:t xml:space="preserve">Contact with study </w:t>
            </w:r>
            <w:proofErr w:type="spellStart"/>
            <w:r w:rsidRPr="006C4819">
              <w:rPr>
                <w:rFonts w:ascii="Arial" w:hAnsi="Arial" w:cs="Arial"/>
                <w:sz w:val="22"/>
                <w:szCs w:val="22"/>
              </w:rPr>
              <w:t>clinician</w:t>
            </w:r>
            <w:r w:rsidR="00F85213">
              <w:rPr>
                <w:rFonts w:ascii="Arial" w:hAnsi="Arial" w:cs="Arial"/>
                <w:sz w:val="22"/>
                <w:szCs w:val="22"/>
                <w:vertAlign w:val="superscript"/>
              </w:rPr>
              <w:t>b</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B861943" w14:textId="77777777" w:rsidR="003C529C" w:rsidRPr="006C4819"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283F296"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AFE36C4"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587C19C"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41B77A7" w14:textId="495F9E85"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CCA36C8"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4A46CE6" w14:textId="4810D8F2"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 xml:space="preserve"> 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E8BC8D6" w14:textId="583162D9" w:rsidR="003C529C" w:rsidRPr="006C4819" w:rsidRDefault="003C529C" w:rsidP="00FB2D39">
            <w:pPr>
              <w:pStyle w:val="TableText"/>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tcPr>
          <w:p w14:paraId="5DC0212B" w14:textId="77777777" w:rsidR="003C529C" w:rsidRPr="003C529C" w:rsidRDefault="003C529C" w:rsidP="00FB2D39">
            <w:pPr>
              <w:pStyle w:val="TableText"/>
              <w:spacing w:before="0" w:after="0"/>
              <w:jc w:val="both"/>
              <w:rPr>
                <w:rFonts w:ascii="Arial" w:hAnsi="Arial" w:cs="Arial"/>
                <w:sz w:val="22"/>
                <w:szCs w:val="22"/>
              </w:rPr>
            </w:pPr>
          </w:p>
        </w:tc>
      </w:tr>
      <w:tr w:rsidR="003C529C" w:rsidRPr="00FA7410" w14:paraId="60DC5101" w14:textId="2EC551C1"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5D0EDDAB" w14:textId="77777777" w:rsidR="003C529C" w:rsidRPr="006C4819" w:rsidRDefault="003C529C" w:rsidP="00E50A4E">
            <w:pPr>
              <w:pStyle w:val="TableText"/>
              <w:spacing w:before="0" w:after="0"/>
              <w:rPr>
                <w:rFonts w:ascii="Arial" w:hAnsi="Arial" w:cs="Arial"/>
                <w:sz w:val="22"/>
                <w:szCs w:val="22"/>
              </w:rPr>
            </w:pPr>
            <w:r w:rsidRPr="006C4819">
              <w:rPr>
                <w:rFonts w:ascii="Arial" w:hAnsi="Arial" w:cs="Arial"/>
                <w:sz w:val="22"/>
                <w:szCs w:val="22"/>
              </w:rPr>
              <w:t>Exit Contact Survey (including concomitant medications, symptoms, etc.)</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E5AD312" w14:textId="77777777" w:rsidR="003C529C" w:rsidRPr="006C4819"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D602D3D" w14:textId="77777777" w:rsidR="003C529C" w:rsidRPr="006C4819" w:rsidRDefault="003C529C" w:rsidP="00FB2D39">
            <w:pPr>
              <w:pStyle w:val="StyleTableTextCentered"/>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DB42C85" w14:textId="77777777" w:rsidR="003C529C" w:rsidRPr="006C4819" w:rsidRDefault="003C529C" w:rsidP="00FB2D39">
            <w:pPr>
              <w:pStyle w:val="StyleTableTextCentered"/>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41C9600" w14:textId="77777777" w:rsidR="003C529C" w:rsidRPr="006C4819" w:rsidRDefault="003C529C" w:rsidP="00FB2D39">
            <w:pPr>
              <w:pStyle w:val="StyleTableTextCentered"/>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7B353DE" w14:textId="77777777" w:rsidR="003C529C" w:rsidRPr="006C4819" w:rsidRDefault="003C529C" w:rsidP="00FB2D39">
            <w:pPr>
              <w:pStyle w:val="StyleTableTextCentered"/>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5A54BA1" w14:textId="77777777" w:rsidR="003C529C" w:rsidRPr="006C4819" w:rsidRDefault="003C529C" w:rsidP="00FB2D39">
            <w:pPr>
              <w:pStyle w:val="StyleTableTextCentered"/>
              <w:spacing w:before="0" w:after="0"/>
              <w:jc w:val="both"/>
              <w:rPr>
                <w:rFonts w:ascii="Arial" w:hAnsi="Arial" w:cs="Arial"/>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153537B"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 xml:space="preserve"> </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2129EFAC" w14:textId="6CB96D62" w:rsidR="003C529C" w:rsidRPr="006C4819" w:rsidRDefault="003C529C" w:rsidP="00FB2D39">
            <w:pPr>
              <w:pStyle w:val="TableText"/>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tcPr>
          <w:p w14:paraId="62DE1880" w14:textId="77777777" w:rsidR="003C529C" w:rsidRPr="003C529C" w:rsidRDefault="003C529C" w:rsidP="00FB2D39">
            <w:pPr>
              <w:pStyle w:val="TableText"/>
              <w:spacing w:before="0" w:after="0"/>
              <w:jc w:val="both"/>
              <w:rPr>
                <w:rFonts w:ascii="Arial" w:hAnsi="Arial" w:cs="Arial"/>
                <w:sz w:val="22"/>
                <w:szCs w:val="22"/>
              </w:rPr>
            </w:pPr>
          </w:p>
        </w:tc>
      </w:tr>
      <w:tr w:rsidR="003C529C" w:rsidRPr="00FA7410" w14:paraId="4087E225" w14:textId="7D5ED9F6"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7F1C840D" w14:textId="77777777" w:rsidR="003C529C" w:rsidRPr="006C4819" w:rsidRDefault="003C529C" w:rsidP="00E50A4E">
            <w:pPr>
              <w:pStyle w:val="TableText"/>
              <w:spacing w:before="0" w:after="0"/>
              <w:rPr>
                <w:rFonts w:ascii="Arial" w:hAnsi="Arial" w:cs="Arial"/>
                <w:sz w:val="22"/>
                <w:szCs w:val="22"/>
              </w:rPr>
            </w:pPr>
            <w:r w:rsidRPr="006C4819">
              <w:rPr>
                <w:rFonts w:ascii="Arial" w:hAnsi="Arial" w:cs="Arial"/>
                <w:sz w:val="22"/>
                <w:szCs w:val="22"/>
              </w:rPr>
              <w:t>Adverse Event review</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02EE1F" w14:textId="77777777" w:rsidR="003C529C" w:rsidRPr="006C4819" w:rsidRDefault="003C529C" w:rsidP="00FB2D39">
            <w:pPr>
              <w:pStyle w:val="TableText"/>
              <w:spacing w:before="0" w:after="0"/>
              <w:jc w:val="both"/>
              <w:rPr>
                <w:rFonts w:ascii="Arial" w:hAnsi="Arial" w:cs="Arial"/>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7F75D76D"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6D66B54"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4AE063BC"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D5F048E"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13E8C95"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7A41788" w14:textId="77777777" w:rsidR="003C529C" w:rsidRPr="006C4819" w:rsidRDefault="003C529C" w:rsidP="00FB2D39">
            <w:pPr>
              <w:pStyle w:val="StyleTableTextCentered"/>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60CD56CD" w14:textId="42DE8B68" w:rsidR="003C529C" w:rsidRPr="006C4819" w:rsidRDefault="003C529C" w:rsidP="00FB2D39">
            <w:pPr>
              <w:pStyle w:val="TableText"/>
              <w:spacing w:before="0" w:after="0"/>
              <w:jc w:val="both"/>
              <w:rPr>
                <w:rFonts w:ascii="Arial" w:hAnsi="Arial" w:cs="Arial"/>
                <w:sz w:val="22"/>
                <w:szCs w:val="22"/>
              </w:rPr>
            </w:pPr>
            <w:r w:rsidRPr="006C4819">
              <w:rPr>
                <w:rFonts w:ascii="Arial" w:hAnsi="Arial" w:cs="Arial"/>
                <w:sz w:val="22"/>
                <w:szCs w:val="22"/>
              </w:rPr>
              <w:t>X</w:t>
            </w:r>
          </w:p>
        </w:tc>
        <w:tc>
          <w:tcPr>
            <w:tcW w:w="332" w:type="pct"/>
            <w:tcBorders>
              <w:top w:val="single" w:sz="4" w:space="0" w:color="auto"/>
              <w:left w:val="single" w:sz="4" w:space="0" w:color="auto"/>
              <w:bottom w:val="single" w:sz="4" w:space="0" w:color="auto"/>
              <w:right w:val="single" w:sz="4" w:space="0" w:color="auto"/>
            </w:tcBorders>
          </w:tcPr>
          <w:p w14:paraId="3ADCAF0C" w14:textId="77777777" w:rsidR="003C529C" w:rsidRPr="003C529C" w:rsidRDefault="003C529C" w:rsidP="00FB2D39">
            <w:pPr>
              <w:pStyle w:val="TableText"/>
              <w:spacing w:before="0" w:after="0"/>
              <w:jc w:val="both"/>
              <w:rPr>
                <w:rFonts w:ascii="Arial" w:hAnsi="Arial" w:cs="Arial"/>
                <w:sz w:val="22"/>
                <w:szCs w:val="22"/>
              </w:rPr>
            </w:pPr>
          </w:p>
        </w:tc>
      </w:tr>
      <w:tr w:rsidR="003C529C" w:rsidRPr="00FA7410" w14:paraId="4EEFB7AB" w14:textId="3F3442CA" w:rsidTr="00F85213">
        <w:trPr>
          <w:cantSplit/>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tcPr>
          <w:p w14:paraId="37FB7FF5" w14:textId="5DDEDEDF" w:rsidR="003C529C" w:rsidRPr="00E50A4E" w:rsidRDefault="003C529C" w:rsidP="00E50A4E">
            <w:pPr>
              <w:pStyle w:val="TableText"/>
              <w:spacing w:before="0" w:after="0"/>
              <w:rPr>
                <w:rFonts w:ascii="Arial" w:hAnsi="Arial" w:cs="Arial"/>
                <w:iCs/>
                <w:sz w:val="22"/>
                <w:szCs w:val="22"/>
              </w:rPr>
            </w:pPr>
            <w:r w:rsidRPr="00E50A4E">
              <w:rPr>
                <w:rFonts w:ascii="Arial" w:hAnsi="Arial" w:cs="Arial"/>
                <w:iCs/>
                <w:sz w:val="22"/>
                <w:szCs w:val="22"/>
              </w:rPr>
              <w:t>Dried blood spot sample for investigational drug concentrations and anti-SARS-CoV-2 antibodies</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6689DAA" w14:textId="77777777" w:rsidR="003C529C" w:rsidRPr="00E50A4E" w:rsidRDefault="003C529C" w:rsidP="00FB2D39">
            <w:pPr>
              <w:pStyle w:val="TableText"/>
              <w:spacing w:before="0" w:after="0"/>
              <w:jc w:val="both"/>
              <w:rPr>
                <w:rFonts w:ascii="Arial" w:hAnsi="Arial" w:cs="Arial"/>
                <w:iCs/>
                <w:sz w:val="22"/>
                <w:szCs w:val="22"/>
              </w:rPr>
            </w:pP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36755D6C" w14:textId="77777777" w:rsidR="003C529C" w:rsidRPr="00E50A4E" w:rsidRDefault="003C529C" w:rsidP="00FB2D39">
            <w:pPr>
              <w:pStyle w:val="TableText"/>
              <w:spacing w:before="0" w:after="0"/>
              <w:jc w:val="both"/>
              <w:rPr>
                <w:rFonts w:ascii="Arial" w:hAnsi="Arial" w:cs="Arial"/>
                <w:iCs/>
                <w:sz w:val="22"/>
                <w:szCs w:val="22"/>
              </w:rPr>
            </w:pPr>
            <w:r w:rsidRPr="00E50A4E">
              <w:rPr>
                <w:rFonts w:ascii="Arial" w:hAnsi="Arial" w:cs="Arial"/>
                <w:iCs/>
                <w:sz w:val="22"/>
                <w:szCs w:val="22"/>
              </w:rPr>
              <w:t>X</w:t>
            </w:r>
          </w:p>
        </w:tc>
        <w:tc>
          <w:tcPr>
            <w:tcW w:w="212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95274E" w14:textId="77777777" w:rsidR="003C529C" w:rsidRPr="00E50A4E" w:rsidRDefault="003C529C" w:rsidP="00FB2D39">
            <w:pPr>
              <w:pStyle w:val="TableText"/>
              <w:spacing w:before="0" w:after="0"/>
              <w:jc w:val="both"/>
              <w:rPr>
                <w:rFonts w:ascii="Arial" w:hAnsi="Arial" w:cs="Arial"/>
                <w:iCs/>
                <w:sz w:val="22"/>
                <w:szCs w:val="22"/>
              </w:rPr>
            </w:pPr>
            <w:r w:rsidRPr="00E50A4E">
              <w:rPr>
                <w:rFonts w:ascii="Arial" w:hAnsi="Arial" w:cs="Arial"/>
                <w:iCs/>
                <w:sz w:val="22"/>
                <w:szCs w:val="22"/>
              </w:rPr>
              <w:t>1 to 5 samples (no more than 1 per day) after dosing start</w:t>
            </w:r>
          </w:p>
          <w:p w14:paraId="0D84C2CE" w14:textId="1DC66172" w:rsidR="003C529C" w:rsidRPr="00E50A4E" w:rsidRDefault="003C529C" w:rsidP="00FB2D39">
            <w:pPr>
              <w:pStyle w:val="TableText"/>
              <w:spacing w:before="0" w:after="0"/>
              <w:jc w:val="both"/>
              <w:rPr>
                <w:rFonts w:ascii="Arial" w:hAnsi="Arial" w:cs="Arial"/>
                <w:iCs/>
                <w:sz w:val="22"/>
                <w:szCs w:val="22"/>
              </w:rPr>
            </w:pPr>
          </w:p>
          <w:p w14:paraId="393204D2" w14:textId="4A18F198" w:rsidR="003C529C" w:rsidRPr="00E50A4E" w:rsidRDefault="003C529C" w:rsidP="00FB2D39">
            <w:pPr>
              <w:pStyle w:val="TableText"/>
              <w:spacing w:before="0" w:after="0"/>
              <w:jc w:val="both"/>
              <w:rPr>
                <w:rFonts w:ascii="Arial" w:hAnsi="Arial" w:cs="Arial"/>
                <w:iCs/>
                <w:sz w:val="22"/>
                <w:szCs w:val="22"/>
              </w:rPr>
            </w:pPr>
          </w:p>
        </w:tc>
        <w:tc>
          <w:tcPr>
            <w:tcW w:w="332" w:type="pct"/>
            <w:tcBorders>
              <w:top w:val="single" w:sz="4" w:space="0" w:color="auto"/>
              <w:left w:val="single" w:sz="4" w:space="0" w:color="auto"/>
              <w:bottom w:val="single" w:sz="4" w:space="0" w:color="auto"/>
              <w:right w:val="single" w:sz="4" w:space="0" w:color="auto"/>
            </w:tcBorders>
          </w:tcPr>
          <w:p w14:paraId="52F31AA5" w14:textId="14EA8A9E" w:rsidR="003C529C" w:rsidRPr="00E50A4E" w:rsidRDefault="003C529C" w:rsidP="00FB2D39">
            <w:pPr>
              <w:pStyle w:val="TableText"/>
              <w:spacing w:before="0" w:after="0"/>
              <w:jc w:val="both"/>
              <w:rPr>
                <w:rFonts w:ascii="Arial" w:hAnsi="Arial" w:cs="Arial"/>
                <w:iCs/>
                <w:sz w:val="22"/>
                <w:szCs w:val="22"/>
              </w:rPr>
            </w:pPr>
            <w:r w:rsidRPr="00E50A4E">
              <w:rPr>
                <w:rFonts w:ascii="Arial" w:hAnsi="Arial" w:cs="Arial"/>
                <w:iCs/>
                <w:sz w:val="22"/>
                <w:szCs w:val="22"/>
              </w:rPr>
              <w:t>X</w:t>
            </w:r>
          </w:p>
        </w:tc>
      </w:tr>
      <w:tr w:rsidR="003C529C" w:rsidRPr="00FA7410" w14:paraId="74DE3D20" w14:textId="53520EEC" w:rsidTr="00F85213">
        <w:trPr>
          <w:cantSplit/>
          <w:trHeight w:val="2257"/>
        </w:trPr>
        <w:tc>
          <w:tcPr>
            <w:tcW w:w="4668" w:type="pct"/>
            <w:gridSpan w:val="9"/>
            <w:tcBorders>
              <w:top w:val="single" w:sz="4" w:space="0" w:color="auto"/>
              <w:left w:val="nil"/>
              <w:bottom w:val="nil"/>
              <w:right w:val="nil"/>
            </w:tcBorders>
          </w:tcPr>
          <w:p w14:paraId="5D65EA9E" w14:textId="434E7BB1" w:rsidR="003C529C" w:rsidRPr="003C529C" w:rsidRDefault="003C529C" w:rsidP="00FB2D39">
            <w:pPr>
              <w:pStyle w:val="TblFootnote"/>
              <w:tabs>
                <w:tab w:val="clear" w:pos="259"/>
                <w:tab w:val="left" w:pos="0"/>
              </w:tabs>
              <w:ind w:left="0" w:firstLine="0"/>
              <w:rPr>
                <w:rFonts w:ascii="Arial" w:hAnsi="Arial" w:cs="Arial"/>
                <w:sz w:val="22"/>
                <w:szCs w:val="22"/>
              </w:rPr>
            </w:pPr>
            <w:r w:rsidRPr="003C529C">
              <w:rPr>
                <w:rFonts w:ascii="Arial" w:hAnsi="Arial" w:cs="Arial"/>
                <w:sz w:val="22"/>
                <w:szCs w:val="22"/>
              </w:rPr>
              <w:lastRenderedPageBreak/>
              <w:t>SARS-CoV-2: severe acute respiratory syndrome coronavirus 2.  WURSS:  Wisconsin Upper Respiratory Symptom Survey-11</w:t>
            </w:r>
          </w:p>
          <w:p w14:paraId="7D2C2C9C" w14:textId="134398E6" w:rsidR="003C529C" w:rsidRPr="003C529C" w:rsidRDefault="003C529C" w:rsidP="00FB2D39">
            <w:pPr>
              <w:pStyle w:val="TblFootnote"/>
              <w:tabs>
                <w:tab w:val="clear" w:pos="259"/>
                <w:tab w:val="left" w:pos="0"/>
              </w:tabs>
              <w:ind w:left="0" w:firstLine="0"/>
              <w:rPr>
                <w:rFonts w:ascii="Arial" w:hAnsi="Arial" w:cs="Arial"/>
                <w:sz w:val="22"/>
                <w:szCs w:val="22"/>
              </w:rPr>
            </w:pPr>
            <w:r w:rsidRPr="003C529C">
              <w:rPr>
                <w:rFonts w:ascii="Arial" w:hAnsi="Arial" w:cs="Arial"/>
                <w:sz w:val="22"/>
                <w:szCs w:val="22"/>
              </w:rPr>
              <w:t xml:space="preserve">Note: Depending on group assignment, the dosing regimen will vary. </w:t>
            </w:r>
          </w:p>
          <w:p w14:paraId="6BF118A4" w14:textId="2FD55D84" w:rsidR="009D6FED" w:rsidRPr="009D6FED" w:rsidRDefault="003C529C" w:rsidP="009D6FED">
            <w:pPr>
              <w:pStyle w:val="TblFootnote"/>
            </w:pPr>
            <w:r w:rsidRPr="003C529C">
              <w:rPr>
                <w:rFonts w:ascii="Arial" w:hAnsi="Arial" w:cs="Arial"/>
                <w:sz w:val="22"/>
                <w:szCs w:val="22"/>
                <w:vertAlign w:val="superscript"/>
              </w:rPr>
              <w:t>a</w:t>
            </w:r>
            <w:r w:rsidRPr="003C529C">
              <w:rPr>
                <w:rFonts w:ascii="Arial" w:hAnsi="Arial" w:cs="Arial"/>
                <w:sz w:val="22"/>
                <w:szCs w:val="22"/>
              </w:rPr>
              <w:t xml:space="preserve"> Screening and Day 1 evaluations will be conducted with participants physically present at the study site, Day </w:t>
            </w:r>
            <w:r w:rsidR="00F85213">
              <w:rPr>
                <w:rFonts w:ascii="Arial" w:hAnsi="Arial" w:cs="Arial"/>
                <w:sz w:val="22"/>
                <w:szCs w:val="22"/>
              </w:rPr>
              <w:t xml:space="preserve">2 to 14 </w:t>
            </w:r>
            <w:r w:rsidRPr="003C529C">
              <w:rPr>
                <w:rFonts w:ascii="Arial" w:hAnsi="Arial" w:cs="Arial"/>
                <w:sz w:val="22"/>
                <w:szCs w:val="22"/>
              </w:rPr>
              <w:t xml:space="preserve">evaluations will be conducted through a web-based screening tool, HIPAA-compliant video conference (Telehealth), telephone, or text messaging. Screening and Day 1 evaluations may occur on the same day. </w:t>
            </w:r>
            <w:proofErr w:type="spellStart"/>
            <w:r w:rsidRPr="003C529C">
              <w:rPr>
                <w:rFonts w:ascii="Arial" w:hAnsi="Arial" w:cs="Arial"/>
                <w:sz w:val="22"/>
                <w:szCs w:val="22"/>
              </w:rPr>
              <w:t>Self mid-</w:t>
            </w:r>
            <w:proofErr w:type="spellEnd"/>
            <w:r w:rsidRPr="003C529C">
              <w:rPr>
                <w:rFonts w:ascii="Arial" w:hAnsi="Arial" w:cs="Arial"/>
                <w:sz w:val="22"/>
                <w:szCs w:val="22"/>
              </w:rPr>
              <w:t xml:space="preserve">nasal swab for viral assessment will be done on </w:t>
            </w:r>
            <w:r w:rsidR="009D6FED" w:rsidRPr="00881BB0">
              <w:rPr>
                <w:rFonts w:ascii="Arial" w:hAnsi="Arial" w:cs="Arial"/>
                <w:sz w:val="22"/>
                <w:szCs w:val="22"/>
              </w:rPr>
              <w:t>Day 1,</w:t>
            </w:r>
            <w:r w:rsidR="009D6FED">
              <w:rPr>
                <w:rFonts w:ascii="Arial" w:hAnsi="Arial" w:cs="Arial"/>
                <w:sz w:val="22"/>
                <w:szCs w:val="22"/>
              </w:rPr>
              <w:t xml:space="preserve"> Day 3,</w:t>
            </w:r>
            <w:r w:rsidR="009D6FED" w:rsidRPr="00881BB0">
              <w:rPr>
                <w:rFonts w:ascii="Arial" w:hAnsi="Arial" w:cs="Arial"/>
                <w:sz w:val="22"/>
                <w:szCs w:val="22"/>
              </w:rPr>
              <w:t xml:space="preserve"> Day 5</w:t>
            </w:r>
            <w:r w:rsidR="009D6FED">
              <w:rPr>
                <w:rFonts w:ascii="Arial" w:hAnsi="Arial" w:cs="Arial"/>
                <w:sz w:val="22"/>
                <w:szCs w:val="22"/>
              </w:rPr>
              <w:t>, Day 7, Day 10</w:t>
            </w:r>
            <w:r w:rsidR="009D6FED" w:rsidRPr="00881BB0">
              <w:rPr>
                <w:rFonts w:ascii="Arial" w:hAnsi="Arial" w:cs="Arial"/>
                <w:sz w:val="22"/>
                <w:szCs w:val="22"/>
              </w:rPr>
              <w:t xml:space="preserve"> and Day </w:t>
            </w:r>
            <w:r w:rsidR="009D6FED">
              <w:rPr>
                <w:rFonts w:ascii="Arial" w:hAnsi="Arial" w:cs="Arial"/>
                <w:sz w:val="22"/>
                <w:szCs w:val="22"/>
              </w:rPr>
              <w:t>14. Swab collection may be decreased to Day 1, Day 5 and Day 10 in participants where multiple swabbing is not feasible.</w:t>
            </w:r>
          </w:p>
          <w:p w14:paraId="14711EE7" w14:textId="77777777" w:rsidR="003C529C" w:rsidRPr="003C529C" w:rsidRDefault="003C529C" w:rsidP="00FB2D39">
            <w:pPr>
              <w:pStyle w:val="TblFootnote"/>
              <w:rPr>
                <w:rFonts w:ascii="Arial" w:hAnsi="Arial" w:cs="Arial"/>
                <w:sz w:val="22"/>
                <w:szCs w:val="22"/>
              </w:rPr>
            </w:pPr>
            <w:r w:rsidRPr="003C529C">
              <w:rPr>
                <w:rFonts w:ascii="Arial" w:hAnsi="Arial" w:cs="Arial"/>
                <w:sz w:val="22"/>
                <w:szCs w:val="22"/>
                <w:vertAlign w:val="superscript"/>
              </w:rPr>
              <w:t>b</w:t>
            </w:r>
            <w:r w:rsidRPr="003C529C">
              <w:rPr>
                <w:rFonts w:ascii="Arial" w:hAnsi="Arial" w:cs="Arial"/>
                <w:sz w:val="22"/>
                <w:szCs w:val="22"/>
              </w:rPr>
              <w:t xml:space="preserve"> These evaluations will be as needed/requested by study participant.</w:t>
            </w:r>
          </w:p>
          <w:p w14:paraId="52BB41F5" w14:textId="77777777" w:rsidR="003C529C" w:rsidRPr="003C529C" w:rsidRDefault="003C529C" w:rsidP="00FB2D39">
            <w:pPr>
              <w:jc w:val="both"/>
              <w:rPr>
                <w:rFonts w:ascii="Arial" w:hAnsi="Arial" w:cs="Arial"/>
                <w:sz w:val="22"/>
                <w:szCs w:val="22"/>
                <w:vertAlign w:val="superscript"/>
              </w:rPr>
            </w:pPr>
            <w:r w:rsidRPr="003C529C">
              <w:rPr>
                <w:rFonts w:ascii="Arial" w:hAnsi="Arial" w:cs="Arial"/>
                <w:sz w:val="22"/>
                <w:szCs w:val="22"/>
                <w:vertAlign w:val="superscript"/>
              </w:rPr>
              <w:t xml:space="preserve">c </w:t>
            </w:r>
            <w:r w:rsidRPr="003C529C">
              <w:rPr>
                <w:rFonts w:ascii="Arial" w:hAnsi="Arial" w:cs="Arial"/>
                <w:sz w:val="22"/>
                <w:szCs w:val="22"/>
              </w:rPr>
              <w:t>Last day of study medication will be administered on Day 10</w:t>
            </w:r>
          </w:p>
        </w:tc>
        <w:tc>
          <w:tcPr>
            <w:tcW w:w="332" w:type="pct"/>
            <w:tcBorders>
              <w:top w:val="single" w:sz="4" w:space="0" w:color="auto"/>
              <w:left w:val="nil"/>
              <w:bottom w:val="nil"/>
              <w:right w:val="nil"/>
            </w:tcBorders>
          </w:tcPr>
          <w:p w14:paraId="0E134B8E" w14:textId="77777777" w:rsidR="003C529C" w:rsidRPr="003C529C" w:rsidRDefault="003C529C" w:rsidP="00FB2D39">
            <w:pPr>
              <w:pStyle w:val="TblFootnote"/>
              <w:tabs>
                <w:tab w:val="clear" w:pos="259"/>
                <w:tab w:val="left" w:pos="0"/>
              </w:tabs>
              <w:ind w:left="0" w:firstLine="0"/>
              <w:rPr>
                <w:rFonts w:ascii="Arial" w:hAnsi="Arial" w:cs="Arial"/>
                <w:sz w:val="22"/>
                <w:szCs w:val="22"/>
              </w:rPr>
            </w:pPr>
          </w:p>
        </w:tc>
      </w:tr>
      <w:bookmarkEnd w:id="4"/>
    </w:tbl>
    <w:p w14:paraId="25A59FF3" w14:textId="5DF5F19C" w:rsidR="006A1DCB" w:rsidRPr="003C529C" w:rsidRDefault="006A1DCB" w:rsidP="00FB2D39">
      <w:pPr>
        <w:jc w:val="both"/>
        <w:rPr>
          <w:rFonts w:ascii="Arial" w:hAnsi="Arial" w:cs="Arial"/>
          <w:sz w:val="22"/>
          <w:szCs w:val="22"/>
        </w:rPr>
      </w:pPr>
    </w:p>
    <w:p w14:paraId="3F42E0B0" w14:textId="03B292D0" w:rsidR="006A1DCB" w:rsidRPr="003C529C" w:rsidRDefault="006A1DCB" w:rsidP="00FB2D39">
      <w:pPr>
        <w:jc w:val="both"/>
        <w:rPr>
          <w:rFonts w:ascii="Arial" w:hAnsi="Arial" w:cs="Arial"/>
          <w:sz w:val="22"/>
          <w:szCs w:val="22"/>
        </w:rPr>
      </w:pPr>
    </w:p>
    <w:p w14:paraId="74B6E4FD" w14:textId="77777777" w:rsidR="006A1DCB" w:rsidRPr="003C529C" w:rsidRDefault="006A1DCB" w:rsidP="00FB2D39">
      <w:pPr>
        <w:jc w:val="both"/>
        <w:rPr>
          <w:rFonts w:ascii="Arial" w:hAnsi="Arial" w:cs="Arial"/>
          <w:sz w:val="22"/>
          <w:szCs w:val="22"/>
        </w:rPr>
      </w:pPr>
    </w:p>
    <w:p w14:paraId="0AE96D04" w14:textId="4B0CD23C" w:rsidR="00381D18" w:rsidRPr="003C529C" w:rsidRDefault="006A1DCB" w:rsidP="00FB2D39">
      <w:pPr>
        <w:pStyle w:val="Heading1"/>
        <w:rPr>
          <w:rFonts w:ascii="Arial" w:hAnsi="Arial" w:cs="Arial"/>
          <w:sz w:val="22"/>
        </w:rPr>
      </w:pPr>
      <w:r w:rsidRPr="003C529C">
        <w:rPr>
          <w:rFonts w:ascii="Arial" w:hAnsi="Arial" w:cs="Arial"/>
          <w:sz w:val="22"/>
        </w:rPr>
        <w:lastRenderedPageBreak/>
        <w:tab/>
      </w:r>
      <w:bookmarkStart w:id="5" w:name="_Toc38818735"/>
      <w:r w:rsidR="00FC4C3A" w:rsidRPr="003C529C">
        <w:rPr>
          <w:rFonts w:ascii="Arial" w:hAnsi="Arial" w:cs="Arial"/>
          <w:sz w:val="22"/>
        </w:rPr>
        <w:t>Introduction</w:t>
      </w:r>
      <w:bookmarkEnd w:id="5"/>
    </w:p>
    <w:p w14:paraId="293323B0" w14:textId="3B43A706" w:rsidR="00C56F26" w:rsidRPr="003C529C" w:rsidRDefault="00F554D1" w:rsidP="00FB2D39">
      <w:pPr>
        <w:jc w:val="both"/>
        <w:rPr>
          <w:rFonts w:ascii="Arial" w:hAnsi="Arial" w:cs="Arial"/>
          <w:sz w:val="22"/>
          <w:szCs w:val="22"/>
        </w:rPr>
      </w:pPr>
      <w:bookmarkStart w:id="6" w:name="_Ref35217803"/>
      <w:r w:rsidRPr="003C529C">
        <w:rPr>
          <w:rFonts w:ascii="Arial" w:hAnsi="Arial" w:cs="Arial"/>
          <w:sz w:val="22"/>
          <w:szCs w:val="22"/>
        </w:rPr>
        <w:t>This is a</w:t>
      </w:r>
      <w:r w:rsidR="00C56F26" w:rsidRPr="003C529C">
        <w:rPr>
          <w:rFonts w:ascii="Arial" w:hAnsi="Arial" w:cs="Arial"/>
          <w:sz w:val="22"/>
          <w:szCs w:val="22"/>
        </w:rPr>
        <w:t>n international multi-</w:t>
      </w:r>
      <w:proofErr w:type="spellStart"/>
      <w:r w:rsidR="00C56F26" w:rsidRPr="003C529C">
        <w:rPr>
          <w:rFonts w:ascii="Arial" w:hAnsi="Arial" w:cs="Arial"/>
          <w:sz w:val="22"/>
          <w:szCs w:val="22"/>
        </w:rPr>
        <w:t>center</w:t>
      </w:r>
      <w:proofErr w:type="spellEnd"/>
      <w:r w:rsidR="00C56F26" w:rsidRPr="003C529C">
        <w:rPr>
          <w:rFonts w:ascii="Arial" w:hAnsi="Arial" w:cs="Arial"/>
          <w:sz w:val="22"/>
          <w:szCs w:val="22"/>
        </w:rPr>
        <w:t xml:space="preserve"> adaptive randomized platform trial for the treatment of </w:t>
      </w:r>
      <w:r w:rsidRPr="003C529C">
        <w:rPr>
          <w:rFonts w:ascii="Arial" w:hAnsi="Arial" w:cs="Arial"/>
          <w:sz w:val="22"/>
          <w:szCs w:val="22"/>
        </w:rPr>
        <w:t>severe acute respiratory syndrome coronavirus 2 (SARS-CoV-2) infection in high risk adults not requiring hospital admission.</w:t>
      </w:r>
      <w:r w:rsidR="00CA23D0" w:rsidRPr="003C529C">
        <w:rPr>
          <w:rFonts w:ascii="Arial" w:hAnsi="Arial" w:cs="Arial"/>
          <w:sz w:val="22"/>
          <w:szCs w:val="22"/>
        </w:rPr>
        <w:t xml:space="preserve"> This protocol builds upon the US-based outpatient treatment platform trial.</w:t>
      </w:r>
    </w:p>
    <w:p w14:paraId="760B994E" w14:textId="74512FA7" w:rsidR="00CA23D0" w:rsidRPr="003C529C" w:rsidRDefault="00F554D1" w:rsidP="00FB2D39">
      <w:pPr>
        <w:jc w:val="both"/>
        <w:rPr>
          <w:rFonts w:ascii="Arial" w:hAnsi="Arial" w:cs="Arial"/>
          <w:sz w:val="22"/>
          <w:szCs w:val="22"/>
        </w:rPr>
      </w:pPr>
      <w:r w:rsidRPr="003C529C">
        <w:rPr>
          <w:rFonts w:ascii="Arial" w:hAnsi="Arial" w:cs="Arial"/>
          <w:sz w:val="22"/>
          <w:szCs w:val="22"/>
        </w:rPr>
        <w:t xml:space="preserve">The trial will </w:t>
      </w:r>
      <w:r w:rsidR="006A3EEC" w:rsidRPr="003C529C">
        <w:rPr>
          <w:rFonts w:ascii="Arial" w:hAnsi="Arial" w:cs="Arial"/>
          <w:sz w:val="22"/>
          <w:szCs w:val="22"/>
        </w:rPr>
        <w:t>initial start</w:t>
      </w:r>
      <w:r w:rsidRPr="003C529C">
        <w:rPr>
          <w:rFonts w:ascii="Arial" w:hAnsi="Arial" w:cs="Arial"/>
          <w:sz w:val="22"/>
          <w:szCs w:val="22"/>
        </w:rPr>
        <w:t xml:space="preserve"> with </w:t>
      </w:r>
      <w:r w:rsidR="00C56F26" w:rsidRPr="003C529C">
        <w:rPr>
          <w:rFonts w:ascii="Arial" w:hAnsi="Arial" w:cs="Arial"/>
          <w:sz w:val="22"/>
          <w:szCs w:val="22"/>
        </w:rPr>
        <w:t xml:space="preserve">placebo-equivalent (ascorbic acid) as a control </w:t>
      </w:r>
      <w:r w:rsidR="00CA23D0" w:rsidRPr="003C529C">
        <w:rPr>
          <w:rFonts w:ascii="Arial" w:hAnsi="Arial" w:cs="Arial"/>
          <w:sz w:val="22"/>
          <w:szCs w:val="22"/>
        </w:rPr>
        <w:t>in the clinical evaluation of the</w:t>
      </w:r>
      <w:r w:rsidR="00C56F26" w:rsidRPr="003C529C">
        <w:rPr>
          <w:rFonts w:ascii="Arial" w:hAnsi="Arial" w:cs="Arial"/>
          <w:sz w:val="22"/>
          <w:szCs w:val="22"/>
        </w:rPr>
        <w:t xml:space="preserve"> experimental interventions. </w:t>
      </w:r>
      <w:r w:rsidR="00CA23D0" w:rsidRPr="003C529C">
        <w:rPr>
          <w:rFonts w:ascii="Arial" w:hAnsi="Arial" w:cs="Arial"/>
          <w:sz w:val="22"/>
          <w:szCs w:val="22"/>
        </w:rPr>
        <w:t xml:space="preserve">Additional arms will be added as new agents or combinations are prioritized. In addition, if one of the agents is found to be superior over placebo, it may become the control group against which new interventions are measured. Evaluations include safety and tolerability, SARS-CoV-2 viral shedding, and development of lower respiratory tract infection (LRTI). </w:t>
      </w:r>
    </w:p>
    <w:p w14:paraId="5F768FC2" w14:textId="77777777" w:rsidR="00F85213" w:rsidRDefault="006A3EEC" w:rsidP="00FB2D39">
      <w:pPr>
        <w:jc w:val="both"/>
        <w:rPr>
          <w:rFonts w:ascii="Arial" w:hAnsi="Arial" w:cs="Arial"/>
          <w:sz w:val="22"/>
          <w:szCs w:val="22"/>
        </w:rPr>
      </w:pPr>
      <w:r w:rsidRPr="003C529C">
        <w:rPr>
          <w:rFonts w:ascii="Arial" w:hAnsi="Arial" w:cs="Arial"/>
          <w:sz w:val="22"/>
          <w:szCs w:val="22"/>
        </w:rPr>
        <w:t xml:space="preserve">Initially, </w:t>
      </w:r>
      <w:r w:rsidR="00CA23D0" w:rsidRPr="003C529C">
        <w:rPr>
          <w:rFonts w:ascii="Arial" w:hAnsi="Arial" w:cs="Arial"/>
          <w:sz w:val="22"/>
          <w:szCs w:val="22"/>
        </w:rPr>
        <w:t xml:space="preserve">165 patients per arm will be recruited and </w:t>
      </w:r>
      <w:r w:rsidRPr="003C529C">
        <w:rPr>
          <w:rFonts w:ascii="Arial" w:hAnsi="Arial" w:cs="Arial"/>
          <w:sz w:val="22"/>
          <w:szCs w:val="22"/>
        </w:rPr>
        <w:t xml:space="preserve">randomized (at the level of household) at an equal allocation. </w:t>
      </w:r>
      <w:r w:rsidR="00CA23D0" w:rsidRPr="003C529C">
        <w:rPr>
          <w:rFonts w:ascii="Arial" w:hAnsi="Arial" w:cs="Arial"/>
          <w:sz w:val="22"/>
          <w:szCs w:val="22"/>
        </w:rPr>
        <w:t xml:space="preserve">If more than one participant in the same household, all will be assigned to the same randomized group, preserving some degree of masking. </w:t>
      </w:r>
      <w:r w:rsidRPr="003C529C">
        <w:rPr>
          <w:rFonts w:ascii="Arial" w:hAnsi="Arial" w:cs="Arial"/>
          <w:sz w:val="22"/>
          <w:szCs w:val="22"/>
        </w:rPr>
        <w:t>The control data (ascorbic acid) from</w:t>
      </w:r>
      <w:r w:rsidR="00CA23D0" w:rsidRPr="003C529C">
        <w:rPr>
          <w:rFonts w:ascii="Arial" w:hAnsi="Arial" w:cs="Arial"/>
          <w:sz w:val="22"/>
          <w:szCs w:val="22"/>
        </w:rPr>
        <w:t xml:space="preserve"> the </w:t>
      </w:r>
      <w:r w:rsidRPr="003C529C">
        <w:rPr>
          <w:rFonts w:ascii="Arial" w:hAnsi="Arial" w:cs="Arial"/>
          <w:sz w:val="22"/>
          <w:szCs w:val="22"/>
        </w:rPr>
        <w:t xml:space="preserve">US </w:t>
      </w:r>
      <w:r w:rsidR="00CA23D0" w:rsidRPr="003C529C">
        <w:rPr>
          <w:rFonts w:ascii="Arial" w:hAnsi="Arial" w:cs="Arial"/>
          <w:sz w:val="22"/>
          <w:szCs w:val="22"/>
        </w:rPr>
        <w:t>trial</w:t>
      </w:r>
      <w:r w:rsidRPr="003C529C">
        <w:rPr>
          <w:rFonts w:ascii="Arial" w:hAnsi="Arial" w:cs="Arial"/>
          <w:sz w:val="22"/>
          <w:szCs w:val="22"/>
        </w:rPr>
        <w:t xml:space="preserve"> </w:t>
      </w:r>
      <w:r w:rsidR="00CA23D0" w:rsidRPr="003C529C">
        <w:rPr>
          <w:rFonts w:ascii="Arial" w:hAnsi="Arial" w:cs="Arial"/>
          <w:sz w:val="22"/>
          <w:szCs w:val="22"/>
        </w:rPr>
        <w:t>may</w:t>
      </w:r>
      <w:r w:rsidRPr="003C529C">
        <w:rPr>
          <w:rFonts w:ascii="Arial" w:hAnsi="Arial" w:cs="Arial"/>
          <w:sz w:val="22"/>
          <w:szCs w:val="22"/>
        </w:rPr>
        <w:t xml:space="preserve"> be used to in conjunction with the control data from TOGETHER 2 and 3. </w:t>
      </w:r>
      <w:r w:rsidR="00CA23D0" w:rsidRPr="003C529C">
        <w:rPr>
          <w:rFonts w:ascii="Arial" w:hAnsi="Arial" w:cs="Arial"/>
          <w:sz w:val="22"/>
          <w:szCs w:val="22"/>
        </w:rPr>
        <w:t xml:space="preserve"> A second group of 45 individuals per arm (18 to 59 years of age) without risk factors for progression to LRTI will be randomized at an equal allocation to the same experimental and control interventions.</w:t>
      </w:r>
    </w:p>
    <w:p w14:paraId="6275F75E" w14:textId="36C313F6" w:rsidR="00F85213" w:rsidRPr="006C4819" w:rsidRDefault="00F85213" w:rsidP="00FB2D39">
      <w:pPr>
        <w:pStyle w:val="ListParagraph"/>
        <w:numPr>
          <w:ilvl w:val="0"/>
          <w:numId w:val="49"/>
        </w:numPr>
        <w:rPr>
          <w:rFonts w:ascii="Arial" w:hAnsi="Arial" w:cs="Arial"/>
          <w:sz w:val="22"/>
          <w:szCs w:val="22"/>
        </w:rPr>
      </w:pPr>
      <w:r w:rsidRPr="006C4819">
        <w:rPr>
          <w:rFonts w:ascii="Arial" w:hAnsi="Arial" w:cs="Arial"/>
          <w:sz w:val="22"/>
          <w:szCs w:val="22"/>
        </w:rPr>
        <w:t xml:space="preserve">In </w:t>
      </w:r>
      <w:r>
        <w:rPr>
          <w:rFonts w:ascii="Arial" w:hAnsi="Arial" w:cs="Arial"/>
          <w:sz w:val="22"/>
          <w:szCs w:val="22"/>
        </w:rPr>
        <w:t>the US</w:t>
      </w:r>
      <w:r w:rsidRPr="006C4819">
        <w:rPr>
          <w:rFonts w:ascii="Arial" w:hAnsi="Arial" w:cs="Arial"/>
          <w:sz w:val="22"/>
          <w:szCs w:val="22"/>
        </w:rPr>
        <w:t xml:space="preserve"> for TOGETHER 1, the trial started with three arms: </w:t>
      </w:r>
      <w:r>
        <w:rPr>
          <w:rFonts w:ascii="Arial" w:hAnsi="Arial" w:cs="Arial"/>
          <w:sz w:val="22"/>
          <w:szCs w:val="22"/>
        </w:rPr>
        <w:t>1A) Placebo; 1B) HCQ; and 1C) LPV/r.</w:t>
      </w:r>
    </w:p>
    <w:p w14:paraId="629FAE95" w14:textId="50CF947E" w:rsidR="00F85213" w:rsidRPr="006C4819" w:rsidRDefault="00F85213" w:rsidP="00FB2D39">
      <w:pPr>
        <w:pStyle w:val="ListParagraph"/>
        <w:numPr>
          <w:ilvl w:val="0"/>
          <w:numId w:val="49"/>
        </w:numPr>
        <w:rPr>
          <w:rFonts w:ascii="Arial" w:hAnsi="Arial" w:cs="Arial"/>
          <w:sz w:val="22"/>
          <w:szCs w:val="22"/>
        </w:rPr>
      </w:pPr>
      <w:r w:rsidRPr="006C4819">
        <w:rPr>
          <w:rFonts w:ascii="Arial" w:hAnsi="Arial" w:cs="Arial"/>
          <w:sz w:val="22"/>
          <w:szCs w:val="22"/>
        </w:rPr>
        <w:t xml:space="preserve">In Brazil for TOGETHER 2, the trial will start with </w:t>
      </w:r>
      <w:r w:rsidR="001B50C1">
        <w:rPr>
          <w:rFonts w:ascii="Arial" w:hAnsi="Arial" w:cs="Arial"/>
          <w:sz w:val="22"/>
          <w:szCs w:val="22"/>
        </w:rPr>
        <w:t>four</w:t>
      </w:r>
      <w:r w:rsidRPr="006C4819">
        <w:rPr>
          <w:rFonts w:ascii="Arial" w:hAnsi="Arial" w:cs="Arial"/>
          <w:sz w:val="22"/>
          <w:szCs w:val="22"/>
        </w:rPr>
        <w:t xml:space="preserve"> arms: 2A) Placebo; 2B) </w:t>
      </w:r>
      <w:r>
        <w:rPr>
          <w:rFonts w:ascii="Arial" w:hAnsi="Arial" w:cs="Arial"/>
          <w:sz w:val="22"/>
          <w:szCs w:val="22"/>
        </w:rPr>
        <w:t>H</w:t>
      </w:r>
      <w:r w:rsidRPr="006C4819">
        <w:rPr>
          <w:rFonts w:ascii="Arial" w:hAnsi="Arial" w:cs="Arial"/>
          <w:sz w:val="22"/>
          <w:szCs w:val="22"/>
        </w:rPr>
        <w:t>CQ;</w:t>
      </w:r>
      <w:r>
        <w:rPr>
          <w:rFonts w:ascii="Arial" w:hAnsi="Arial" w:cs="Arial"/>
          <w:sz w:val="22"/>
          <w:szCs w:val="22"/>
        </w:rPr>
        <w:t xml:space="preserve"> </w:t>
      </w:r>
      <w:r w:rsidR="00BF570A">
        <w:rPr>
          <w:rFonts w:ascii="Arial" w:hAnsi="Arial" w:cs="Arial"/>
          <w:sz w:val="22"/>
          <w:szCs w:val="22"/>
        </w:rPr>
        <w:t xml:space="preserve">and </w:t>
      </w:r>
      <w:r>
        <w:rPr>
          <w:rFonts w:ascii="Arial" w:hAnsi="Arial" w:cs="Arial"/>
          <w:sz w:val="22"/>
          <w:szCs w:val="22"/>
        </w:rPr>
        <w:t>2C) LPV/r</w:t>
      </w:r>
      <w:r w:rsidR="00BF570A">
        <w:rPr>
          <w:rFonts w:ascii="Arial" w:hAnsi="Arial" w:cs="Arial"/>
          <w:sz w:val="22"/>
          <w:szCs w:val="22"/>
        </w:rPr>
        <w:t>.</w:t>
      </w:r>
    </w:p>
    <w:p w14:paraId="26E7653B" w14:textId="41A59784" w:rsidR="00CA23D0" w:rsidRPr="00F85213" w:rsidRDefault="00F85213" w:rsidP="00FB2D39">
      <w:pPr>
        <w:pStyle w:val="ListParagraph"/>
        <w:numPr>
          <w:ilvl w:val="0"/>
          <w:numId w:val="49"/>
        </w:numPr>
        <w:rPr>
          <w:rFonts w:ascii="Arial" w:hAnsi="Arial" w:cs="Arial"/>
          <w:sz w:val="22"/>
          <w:szCs w:val="22"/>
        </w:rPr>
      </w:pPr>
      <w:r w:rsidRPr="006C4819">
        <w:rPr>
          <w:rFonts w:ascii="Arial" w:hAnsi="Arial" w:cs="Arial"/>
          <w:sz w:val="22"/>
          <w:szCs w:val="22"/>
        </w:rPr>
        <w:t xml:space="preserve">In South Africa for TOGETHER 3, the trial will start with three arms: 3A) </w:t>
      </w:r>
      <w:r>
        <w:rPr>
          <w:rFonts w:ascii="Arial" w:hAnsi="Arial" w:cs="Arial"/>
          <w:sz w:val="22"/>
          <w:szCs w:val="22"/>
        </w:rPr>
        <w:t>P</w:t>
      </w:r>
      <w:r w:rsidRPr="006C4819">
        <w:rPr>
          <w:rFonts w:ascii="Arial" w:hAnsi="Arial" w:cs="Arial"/>
          <w:sz w:val="22"/>
          <w:szCs w:val="22"/>
        </w:rPr>
        <w:t>lacebo; 3B) LPV/r</w:t>
      </w:r>
      <w:r>
        <w:rPr>
          <w:rFonts w:ascii="Arial" w:hAnsi="Arial" w:cs="Arial"/>
          <w:sz w:val="22"/>
          <w:szCs w:val="22"/>
        </w:rPr>
        <w:t>;</w:t>
      </w:r>
      <w:r w:rsidRPr="006C4819">
        <w:rPr>
          <w:rFonts w:ascii="Arial" w:hAnsi="Arial" w:cs="Arial"/>
          <w:sz w:val="22"/>
          <w:szCs w:val="22"/>
        </w:rPr>
        <w:t xml:space="preserve"> and</w:t>
      </w:r>
      <w:r>
        <w:rPr>
          <w:rFonts w:ascii="Arial" w:hAnsi="Arial" w:cs="Arial"/>
          <w:sz w:val="22"/>
          <w:szCs w:val="22"/>
        </w:rPr>
        <w:t xml:space="preserve"> </w:t>
      </w:r>
      <w:r w:rsidRPr="006C4819">
        <w:rPr>
          <w:rFonts w:ascii="Arial" w:hAnsi="Arial" w:cs="Arial"/>
          <w:sz w:val="22"/>
          <w:szCs w:val="22"/>
        </w:rPr>
        <w:t xml:space="preserve">3C) Azithromycin </w:t>
      </w:r>
    </w:p>
    <w:p w14:paraId="1629F23D" w14:textId="77777777" w:rsidR="00F554D1" w:rsidRPr="003C529C" w:rsidRDefault="00F554D1" w:rsidP="00FB2D39">
      <w:pPr>
        <w:jc w:val="both"/>
        <w:rPr>
          <w:rFonts w:ascii="Arial" w:hAnsi="Arial" w:cs="Arial"/>
          <w:sz w:val="22"/>
          <w:szCs w:val="22"/>
        </w:rPr>
      </w:pPr>
      <w:r w:rsidRPr="003C529C">
        <w:rPr>
          <w:rFonts w:ascii="Arial" w:hAnsi="Arial" w:cs="Arial"/>
          <w:sz w:val="22"/>
          <w:szCs w:val="22"/>
        </w:rPr>
        <w:t>During the study participants will perform the following:</w:t>
      </w:r>
    </w:p>
    <w:p w14:paraId="623ED2F1" w14:textId="77777777" w:rsidR="00F554D1" w:rsidRPr="003C529C" w:rsidRDefault="00F554D1" w:rsidP="00FB2D39">
      <w:pPr>
        <w:pStyle w:val="ListParagraph"/>
        <w:numPr>
          <w:ilvl w:val="0"/>
          <w:numId w:val="9"/>
        </w:numPr>
        <w:rPr>
          <w:rFonts w:ascii="Arial" w:hAnsi="Arial" w:cs="Arial"/>
          <w:sz w:val="22"/>
          <w:szCs w:val="22"/>
        </w:rPr>
      </w:pPr>
      <w:r w:rsidRPr="003C529C">
        <w:rPr>
          <w:rFonts w:ascii="Arial" w:hAnsi="Arial" w:cs="Arial"/>
          <w:sz w:val="22"/>
          <w:szCs w:val="22"/>
        </w:rPr>
        <w:t>Collect mid-nasal swabs for viral detection for the co-primary trial endpoint</w:t>
      </w:r>
    </w:p>
    <w:p w14:paraId="1F2F5E04" w14:textId="6126E64C" w:rsidR="00F554D1" w:rsidRPr="003C529C" w:rsidRDefault="00F554D1" w:rsidP="00FB2D39">
      <w:pPr>
        <w:pStyle w:val="ListParagraph"/>
        <w:numPr>
          <w:ilvl w:val="0"/>
          <w:numId w:val="9"/>
        </w:numPr>
        <w:rPr>
          <w:rFonts w:ascii="Arial" w:hAnsi="Arial" w:cs="Arial"/>
          <w:sz w:val="22"/>
          <w:szCs w:val="22"/>
        </w:rPr>
      </w:pPr>
      <w:r w:rsidRPr="003C529C">
        <w:rPr>
          <w:rFonts w:ascii="Arial" w:hAnsi="Arial" w:cs="Arial"/>
          <w:sz w:val="22"/>
          <w:szCs w:val="22"/>
        </w:rPr>
        <w:t>Complete daily assessments for symptoms of LRTI and measurement of temperature, respiratory rate, pulse, and SpO</w:t>
      </w:r>
      <w:r w:rsidRPr="003C529C">
        <w:rPr>
          <w:rFonts w:ascii="Arial" w:hAnsi="Arial" w:cs="Arial"/>
          <w:sz w:val="22"/>
          <w:szCs w:val="22"/>
          <w:vertAlign w:val="subscript"/>
        </w:rPr>
        <w:t>2</w:t>
      </w:r>
      <w:r w:rsidRPr="003C529C">
        <w:rPr>
          <w:rFonts w:ascii="Arial" w:hAnsi="Arial" w:cs="Arial"/>
          <w:sz w:val="22"/>
          <w:szCs w:val="22"/>
        </w:rPr>
        <w:t xml:space="preserve">. </w:t>
      </w:r>
    </w:p>
    <w:p w14:paraId="77367998" w14:textId="77777777" w:rsidR="00F554D1" w:rsidRPr="003C529C" w:rsidRDefault="00F554D1" w:rsidP="00FB2D39">
      <w:pPr>
        <w:pStyle w:val="ListParagraph"/>
        <w:numPr>
          <w:ilvl w:val="0"/>
          <w:numId w:val="9"/>
        </w:numPr>
        <w:rPr>
          <w:rFonts w:ascii="Arial" w:hAnsi="Arial" w:cs="Arial"/>
          <w:sz w:val="22"/>
          <w:szCs w:val="22"/>
        </w:rPr>
      </w:pPr>
      <w:r w:rsidRPr="003C529C">
        <w:rPr>
          <w:rFonts w:ascii="Arial" w:hAnsi="Arial" w:cs="Arial"/>
          <w:sz w:val="22"/>
          <w:szCs w:val="22"/>
        </w:rPr>
        <w:t>Complete surveys that will include questions about symptoms from both the drug regimen and respiratory and systemic symptoms, review of concomitant medications, and other pertinent topics</w:t>
      </w:r>
    </w:p>
    <w:p w14:paraId="7FE3BA9F" w14:textId="68483D1D" w:rsidR="00F554D1" w:rsidRPr="003C529C" w:rsidRDefault="00F554D1" w:rsidP="00FB2D39">
      <w:pPr>
        <w:jc w:val="both"/>
        <w:rPr>
          <w:rFonts w:ascii="Arial" w:hAnsi="Arial" w:cs="Arial"/>
          <w:sz w:val="22"/>
          <w:szCs w:val="22"/>
        </w:rPr>
      </w:pPr>
      <w:r w:rsidRPr="003C529C">
        <w:rPr>
          <w:rFonts w:ascii="Arial" w:hAnsi="Arial" w:cs="Arial"/>
          <w:sz w:val="22"/>
          <w:szCs w:val="22"/>
        </w:rPr>
        <w:t>During the 14 study days, participants take medication, complete surveys, and collect mid</w:t>
      </w:r>
      <w:r w:rsidRPr="003C529C">
        <w:rPr>
          <w:rFonts w:ascii="Arial" w:hAnsi="Arial" w:cs="Arial"/>
          <w:sz w:val="22"/>
          <w:szCs w:val="22"/>
        </w:rPr>
        <w:noBreakHyphen/>
        <w:t>nasal swab for viral quantification and will assess symptoms for progression to LRTI. Physical assessments will include daily temperature, SpO</w:t>
      </w:r>
      <w:r w:rsidRPr="003C529C">
        <w:rPr>
          <w:rFonts w:ascii="Arial" w:hAnsi="Arial" w:cs="Arial"/>
          <w:sz w:val="22"/>
          <w:szCs w:val="22"/>
          <w:vertAlign w:val="subscript"/>
        </w:rPr>
        <w:t>2</w:t>
      </w:r>
      <w:r w:rsidR="00B16397">
        <w:rPr>
          <w:rFonts w:ascii="Arial" w:hAnsi="Arial" w:cs="Arial"/>
          <w:sz w:val="22"/>
          <w:szCs w:val="22"/>
        </w:rPr>
        <w:t xml:space="preserve"> assessment using a</w:t>
      </w:r>
      <w:r w:rsidRPr="003C529C">
        <w:rPr>
          <w:rFonts w:ascii="Arial" w:hAnsi="Arial" w:cs="Arial"/>
          <w:sz w:val="22"/>
          <w:szCs w:val="22"/>
        </w:rPr>
        <w:t xml:space="preserve"> pulse</w:t>
      </w:r>
      <w:r w:rsidR="006A3EEC" w:rsidRPr="003C529C">
        <w:rPr>
          <w:rFonts w:ascii="Arial" w:hAnsi="Arial" w:cs="Arial"/>
          <w:sz w:val="22"/>
          <w:szCs w:val="22"/>
        </w:rPr>
        <w:t xml:space="preserve"> oximeter</w:t>
      </w:r>
      <w:r w:rsidRPr="003C529C">
        <w:rPr>
          <w:rFonts w:ascii="Arial" w:hAnsi="Arial" w:cs="Arial"/>
          <w:sz w:val="22"/>
          <w:szCs w:val="22"/>
        </w:rPr>
        <w:t xml:space="preserve">.   </w:t>
      </w:r>
    </w:p>
    <w:p w14:paraId="5E7B5015" w14:textId="77777777" w:rsidR="00F554D1" w:rsidRPr="003C529C" w:rsidRDefault="00F554D1" w:rsidP="00FB2D39">
      <w:pPr>
        <w:pStyle w:val="Heading2"/>
        <w:jc w:val="both"/>
      </w:pPr>
      <w:bookmarkStart w:id="7" w:name="_Toc36029485"/>
      <w:bookmarkStart w:id="8" w:name="_Toc38818736"/>
      <w:r w:rsidRPr="003C529C">
        <w:t>Background</w:t>
      </w:r>
      <w:bookmarkEnd w:id="7"/>
      <w:bookmarkEnd w:id="8"/>
    </w:p>
    <w:p w14:paraId="3CFA0E9B" w14:textId="40879E46" w:rsidR="00F554D1" w:rsidRPr="003C529C" w:rsidRDefault="00F554D1" w:rsidP="00FB2D39">
      <w:pPr>
        <w:jc w:val="both"/>
        <w:rPr>
          <w:rFonts w:ascii="Arial" w:hAnsi="Arial" w:cs="Arial"/>
          <w:sz w:val="22"/>
          <w:szCs w:val="22"/>
        </w:rPr>
      </w:pPr>
      <w:r w:rsidRPr="003C529C">
        <w:rPr>
          <w:rFonts w:ascii="Arial" w:hAnsi="Arial" w:cs="Arial"/>
          <w:sz w:val="22"/>
          <w:szCs w:val="22"/>
        </w:rPr>
        <w:t>SARS-CoV-2 is a coronavirus novel to the human population discovered in December 2019; it is currently the cause of a global pandemic</w:t>
      </w:r>
      <w:r w:rsidR="0034557D" w:rsidRPr="003C529C">
        <w:rPr>
          <w:rFonts w:ascii="Arial" w:hAnsi="Arial" w:cs="Arial"/>
          <w:sz w:val="22"/>
          <w:szCs w:val="22"/>
        </w:rPr>
        <w:t>.</w:t>
      </w:r>
      <w:hyperlink w:anchor="_ENREF_1" w:tooltip="Huang, 2020 #21" w:history="1">
        <w:r w:rsidR="00415001" w:rsidRPr="003C529C">
          <w:rPr>
            <w:rFonts w:ascii="Arial" w:hAnsi="Arial" w:cs="Arial"/>
            <w:sz w:val="22"/>
            <w:szCs w:val="22"/>
          </w:rPr>
          <w:fldChar w:fldCharType="begin">
            <w:fldData xml:space="preserve">PEVuZE5vdGU+PENpdGU+PEF1dGhvcj5IdWFuZzwvQXV0aG9yPjxZZWFyPjIwMjA8L1llYXI+PFJl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PEVuZE5vdGU+PENpdGU+PEF1dGhvcj5IdWFuZzwvQXV0aG9yPjxZZWFyPjIwMjA8L1llYXI+PFJl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1-3</w:t>
        </w:r>
        <w:r w:rsidR="00415001" w:rsidRPr="003C529C">
          <w:rPr>
            <w:rFonts w:ascii="Arial" w:hAnsi="Arial" w:cs="Arial"/>
            <w:sz w:val="22"/>
            <w:szCs w:val="22"/>
          </w:rPr>
          <w:fldChar w:fldCharType="end"/>
        </w:r>
      </w:hyperlink>
      <w:r w:rsidR="00471195" w:rsidRPr="003C529C">
        <w:rPr>
          <w:rFonts w:ascii="Arial" w:hAnsi="Arial" w:cs="Arial"/>
          <w:sz w:val="22"/>
          <w:szCs w:val="22"/>
        </w:rPr>
        <w:t xml:space="preserve"> </w:t>
      </w:r>
      <w:r w:rsidRPr="003C529C">
        <w:rPr>
          <w:rFonts w:ascii="Arial" w:hAnsi="Arial" w:cs="Arial"/>
          <w:sz w:val="22"/>
          <w:szCs w:val="22"/>
        </w:rPr>
        <w:t>The World Health Organization (WHO) named the novel coronavirus SARS-CoV-2 and the disease caused by SARS-CoV-2 COVID-19.</w:t>
      </w:r>
      <w:r w:rsidR="006A3EEC" w:rsidRPr="003C529C">
        <w:rPr>
          <w:rFonts w:ascii="Arial" w:hAnsi="Arial" w:cs="Arial"/>
          <w:sz w:val="22"/>
          <w:szCs w:val="22"/>
        </w:rPr>
        <w:t xml:space="preserve"> </w:t>
      </w:r>
      <w:r w:rsidRPr="003C529C">
        <w:rPr>
          <w:rFonts w:ascii="Arial" w:hAnsi="Arial" w:cs="Arial"/>
          <w:sz w:val="22"/>
          <w:szCs w:val="22"/>
        </w:rPr>
        <w:t>Person-to-person transmission has occurred in China, across temperate Asia, Europe, and North America, with sporadic cases in Africa and person-to-person transmission in the southern hemisphere. Accurate reporting is limited by availability of diagnostic testing. The WHO declared the COVID-19 pandemic a Public Health Emergency of International Concern on 30 January 2020</w:t>
      </w:r>
      <w:r w:rsidR="00CA23D0" w:rsidRPr="003C529C">
        <w:rPr>
          <w:rFonts w:ascii="Arial" w:hAnsi="Arial" w:cs="Arial"/>
          <w:sz w:val="22"/>
          <w:szCs w:val="22"/>
        </w:rPr>
        <w:t>.</w:t>
      </w:r>
      <w:hyperlink w:anchor="_ENREF_4" w:tooltip="Release, 2020 #29"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&lt;EndNote&gt;&lt;Cite&gt;&lt;Author&gt;Release&lt;/Author&gt;&lt;Year&gt;2020&lt;/Year&gt;&lt;RecNum&gt;29&lt;/RecNum&gt;&lt;DisplayText&gt;&lt;style face="superscript"&gt;4&lt;/style&gt;&lt;/DisplayText&gt;&lt;record&gt;&lt;rec-number&gt;29&lt;/rec-number&gt;&lt;foreign-keys&gt;&lt;key app="EN" db-id="052xftpepftv2eepd2b5dps10se2pte52pps" timestamp="1585773544"&gt;29&lt;/key&gt;&lt;/foreign-keys&gt;&lt;ref-type name="Web Page"&gt;12&lt;/ref-type&gt;&lt;contributors&gt;&lt;authors&gt;&lt;author&gt;WHO News Release&lt;/author&gt;&lt;/authors&gt;&lt;/contributors&gt;&lt;titles&gt;&lt;title&gt;Statement on the second meeting of the International Health Regulations (2005) Emergency Committee regarding the outbreak of novel coronavirus (2019-nCoV)&lt;/title&gt;&lt;/titles&gt;&lt;dates&gt;&lt;year&gt;2020&lt;/year&gt;&lt;pub-dates&gt;&lt;date&gt;30 January 2020&lt;/date&gt;&lt;/pub-dates&gt;&lt;/dates&gt;&lt;pub-location&gt;WHO&lt;/pub-location&gt;&lt;urls&gt;&lt;related-urls&gt;&lt;url&gt;https://www.who.int/news-room/detail/30-01-2020-statement-on-the-second-meeting-of-the-international-health-regulations-(2005)-emergency-committee-regarding-the-outbreak-of-novel-coronavirus-(2019-ncov)&lt;/url&gt;&lt;/related-urls&gt;&lt;/urls&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4</w:t>
        </w:r>
        <w:r w:rsidR="00415001" w:rsidRPr="003C529C">
          <w:rPr>
            <w:rFonts w:ascii="Arial" w:hAnsi="Arial" w:cs="Arial"/>
            <w:sz w:val="22"/>
            <w:szCs w:val="22"/>
          </w:rPr>
          <w:fldChar w:fldCharType="end"/>
        </w:r>
      </w:hyperlink>
    </w:p>
    <w:p w14:paraId="600F201B" w14:textId="31E8AD0F" w:rsidR="00F554D1" w:rsidRPr="003C529C" w:rsidRDefault="00F554D1" w:rsidP="00FB2D39">
      <w:pPr>
        <w:jc w:val="both"/>
        <w:rPr>
          <w:rFonts w:ascii="Arial" w:hAnsi="Arial" w:cs="Arial"/>
          <w:sz w:val="22"/>
          <w:szCs w:val="22"/>
        </w:rPr>
      </w:pPr>
      <w:r w:rsidRPr="003C529C">
        <w:rPr>
          <w:rFonts w:ascii="Arial" w:hAnsi="Arial" w:cs="Arial"/>
          <w:sz w:val="22"/>
          <w:szCs w:val="22"/>
        </w:rPr>
        <w:t>Most deaths and severe pneumonitis have occurred in the elderly or in persons with underlying pulmonary or cardiac comorbidities or diabetes. In healthy adults, including pregnant women, it can cause a febrile, self-limited pneumonia. Infection appears less symptomatic in children and younger adults</w:t>
      </w:r>
      <w:r w:rsidR="0034557D" w:rsidRPr="003C529C">
        <w:rPr>
          <w:rFonts w:ascii="Arial" w:hAnsi="Arial" w:cs="Arial"/>
          <w:sz w:val="22"/>
          <w:szCs w:val="22"/>
        </w:rPr>
        <w:t>.</w:t>
      </w:r>
      <w:hyperlink w:anchor="_ENREF_5" w:tooltip="Cai, 2020 #6" w:history="1">
        <w:r w:rsidR="00415001" w:rsidRPr="003C529C">
          <w:rPr>
            <w:rFonts w:ascii="Arial" w:hAnsi="Arial" w:cs="Arial"/>
            <w:sz w:val="22"/>
            <w:szCs w:val="22"/>
          </w:rPr>
          <w:fldChar w:fldCharType="begin">
            <w:fldData xml:space="preserve">PEVuZE5vdGU+PENpdGU+PEF1dGhvcj5DYWk8L0F1dGhvcj48WWVhcj4yMDIwPC9ZZWFyPjxSZWNO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PEVuZE5vdGU+PENpdGU+PEF1dGhvcj5DYWk8L0F1dGhvcj48WWVhcj4yMDIwPC9ZZWFyPjxSZWNO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5</w:t>
        </w:r>
        <w:r w:rsidR="00415001" w:rsidRPr="003C529C">
          <w:rPr>
            <w:rFonts w:ascii="Arial" w:hAnsi="Arial" w:cs="Arial"/>
            <w:sz w:val="22"/>
            <w:szCs w:val="22"/>
          </w:rPr>
          <w:fldChar w:fldCharType="end"/>
        </w:r>
      </w:hyperlink>
      <w:r w:rsidR="0034557D" w:rsidRPr="003C529C">
        <w:rPr>
          <w:rFonts w:ascii="Arial" w:hAnsi="Arial" w:cs="Arial"/>
          <w:sz w:val="22"/>
          <w:szCs w:val="22"/>
        </w:rPr>
        <w:t xml:space="preserve"> </w:t>
      </w:r>
      <w:r w:rsidRPr="003C529C">
        <w:rPr>
          <w:rFonts w:ascii="Arial" w:hAnsi="Arial" w:cs="Arial"/>
          <w:sz w:val="22"/>
          <w:szCs w:val="22"/>
        </w:rPr>
        <w:t xml:space="preserve">Nevertheless, the burden of this pandemic to the global health and economic </w:t>
      </w:r>
      <w:r w:rsidRPr="003C529C">
        <w:rPr>
          <w:rFonts w:ascii="Arial" w:hAnsi="Arial" w:cs="Arial"/>
          <w:sz w:val="22"/>
          <w:szCs w:val="22"/>
        </w:rPr>
        <w:lastRenderedPageBreak/>
        <w:t>systems is expected to be substantial. No acquired immunity to this novel viral infection appears to exist in the human population globally, and no effective treatment or preventative agent is licensed at this time.</w:t>
      </w:r>
    </w:p>
    <w:p w14:paraId="6B59455C" w14:textId="39AE46F3" w:rsidR="00F554D1" w:rsidRPr="003C529C" w:rsidRDefault="00F554D1" w:rsidP="00FB2D39">
      <w:pPr>
        <w:jc w:val="both"/>
        <w:rPr>
          <w:rFonts w:ascii="Arial" w:hAnsi="Arial" w:cs="Arial"/>
          <w:sz w:val="22"/>
          <w:szCs w:val="22"/>
        </w:rPr>
      </w:pPr>
      <w:r w:rsidRPr="003C529C">
        <w:rPr>
          <w:rFonts w:ascii="Arial" w:hAnsi="Arial" w:cs="Arial"/>
          <w:sz w:val="22"/>
          <w:szCs w:val="22"/>
        </w:rPr>
        <w:t xml:space="preserve">As with many infectious epidemics, household contacts, first responders, caregivers, and medical personnel attending persons with COVID-19 are at high risk of infection. The incubation time requires 14 days of quarantine for exposed individuals not wearing personal protective equipment </w:t>
      </w:r>
      <w:hyperlink w:anchor="_ENREF_6" w:tooltip="Linton, 2020 #25"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&lt;EndNote&gt;&lt;Cite&gt;&lt;Author&gt;Linton&lt;/Author&gt;&lt;Year&gt;2020&lt;/Year&gt;&lt;RecNum&gt;25&lt;/RecNum&gt;&lt;DisplayText&gt;&lt;style face="superscript"&gt;6&lt;/style&gt;&lt;/DisplayText&gt;&lt;record&gt;&lt;rec-number&gt;25&lt;/rec-number&gt;&lt;foreign-keys&gt;&lt;key app="EN" db-id="052xftpepftv2eepd2b5dps10se2pte52pps" timestamp="1585773544"&gt;25&lt;/key&gt;&lt;/foreign-keys&gt;&lt;ref-type name="Journal Article"&gt;17&lt;/ref-type&gt;&lt;contributors&gt;&lt;authors&gt;&lt;author&gt;Linton, N. M.&lt;/author&gt;&lt;author&gt;Kobayashi, T.&lt;/author&gt;&lt;author&gt;Yang, Y.&lt;/author&gt;&lt;author&gt;Hayashi, K.&lt;/author&gt;&lt;author&gt;Akhmetzhanov, A. R.&lt;/author&gt;&lt;author&gt;Jung, S. M.&lt;/author&gt;&lt;author&gt;Yuan, B.&lt;/author&gt;&lt;author&gt;Kinoshita, R.&lt;/author&gt;&lt;author&gt;Nishiura, H.&lt;/author&gt;&lt;/authors&gt;&lt;/contributors&gt;&lt;auth-address&gt;Graduate School of Medicine, Hokkaido University, Kita 15 Jo Nishi 7 Chome, Kita-ku, Sapporo-shi, Hokkaido 060-8638, Japan.&amp;#xD;Core Research for Evolutional Science and Technology (CREST), Japan Science and Technology Agency, Honcho 4-1-8, Kawaguchi, Saitama 332-0012, Japan.&lt;/auth-address&gt;&lt;titles&gt;&lt;title&gt;Incubation Period and Other Epidemiological Characteristics of 2019 Novel Coronavirus Infections with Right Truncation: A Statistical Analysis of Publicly Available Case Data&lt;/title&gt;&lt;secondary-title&gt;J Clin Med&lt;/secondary-title&gt;&lt;/titles&gt;&lt;periodical&gt;&lt;full-title&gt;J Clin Med&lt;/full-title&gt;&lt;/periodical&gt;&lt;volume&gt;9&lt;/volume&gt;&lt;number&gt;2&lt;/number&gt;&lt;edition&gt;2020/02/23&lt;/edition&gt;&lt;keywords&gt;&lt;keyword&gt;distribution&lt;/keyword&gt;&lt;keyword&gt;emerging infectious diseases&lt;/keyword&gt;&lt;keyword&gt;epidemiology&lt;/keyword&gt;&lt;keyword&gt;incubation period&lt;/keyword&gt;&lt;keyword&gt;virus&lt;/keyword&gt;&lt;/keywords&gt;&lt;dates&gt;&lt;year&gt;2020&lt;/year&gt;&lt;pub-dates&gt;&lt;date&gt;Feb 17&lt;/date&gt;&lt;/pub-dates&gt;&lt;/dates&gt;&lt;isbn&gt;2077-0383 (Print)&amp;#xD;2077-0383 (Linking)&lt;/isbn&gt;&lt;accession-num&gt;32079150&lt;/accession-num&gt;&lt;urls&gt;&lt;related-urls&gt;&lt;url&gt;https://www.ncbi.nlm.nih.gov/pubmed/32079150&lt;/url&gt;&lt;/related-urls&gt;&lt;/urls&gt;&lt;custom2&gt;PMC7074197&lt;/custom2&gt;&lt;electronic-resource-num&gt;10.3390/jcm9020538&lt;/electronic-resource-num&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6</w:t>
        </w:r>
        <w:r w:rsidR="00415001" w:rsidRPr="003C529C">
          <w:rPr>
            <w:rFonts w:ascii="Arial" w:hAnsi="Arial" w:cs="Arial"/>
            <w:sz w:val="22"/>
            <w:szCs w:val="22"/>
          </w:rPr>
          <w:fldChar w:fldCharType="end"/>
        </w:r>
      </w:hyperlink>
      <w:r w:rsidRPr="003C529C">
        <w:rPr>
          <w:rFonts w:ascii="Arial" w:hAnsi="Arial" w:cs="Arial"/>
          <w:sz w:val="22"/>
          <w:szCs w:val="22"/>
        </w:rPr>
        <w:t>, and on 03 March 2020, WHO declared a global shortage of personal protective equipment leaving doctors, nurses, and other frontline workers dangerously ill-equipped to care for COVID-19 patients.</w:t>
      </w:r>
      <w:hyperlink w:anchor="_ENREF_7" w:tooltip="Release, 2020 #30"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&lt;EndNote&gt;&lt;Cite&gt;&lt;Author&gt;Release&lt;/Author&gt;&lt;Year&gt;2020&lt;/Year&gt;&lt;RecNum&gt;30&lt;/RecNum&gt;&lt;DisplayText&gt;&lt;style face="superscript"&gt;7&lt;/style&gt;&lt;/DisplayText&gt;&lt;record&gt;&lt;rec-number&gt;30&lt;/rec-number&gt;&lt;foreign-keys&gt;&lt;key app="EN" db-id="052xftpepftv2eepd2b5dps10se2pte52pps" timestamp="1585773544"&gt;30&lt;/key&gt;&lt;/foreign-keys&gt;&lt;ref-type name="Web Page"&gt;12&lt;/ref-type&gt;&lt;contributors&gt;&lt;authors&gt;&lt;author&gt;WHO News Release&lt;/author&gt;&lt;/authors&gt;&lt;/contributors&gt;&lt;titles&gt;&lt;title&gt;Shortage of personal protective equipment endangering health workers worldwide&lt;/title&gt;&lt;/titles&gt;&lt;dates&gt;&lt;year&gt;2020&lt;/year&gt;&lt;/dates&gt;&lt;pub-location&gt;WHO&lt;/pub-location&gt;&lt;urls&gt;&lt;related-urls&gt;&lt;url&gt;https://www.who.int/news-room/detail/03-03-2020-shortage-of-personal-protective-equipment-endangering-health-workers-worldwide&lt;/url&gt;&lt;/related-urls&gt;&lt;/urls&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7</w:t>
        </w:r>
        <w:r w:rsidR="00415001" w:rsidRPr="003C529C">
          <w:rPr>
            <w:rFonts w:ascii="Arial" w:hAnsi="Arial" w:cs="Arial"/>
            <w:sz w:val="22"/>
            <w:szCs w:val="22"/>
          </w:rPr>
          <w:fldChar w:fldCharType="end"/>
        </w:r>
      </w:hyperlink>
      <w:r w:rsidRPr="003C529C">
        <w:rPr>
          <w:rFonts w:ascii="Arial" w:hAnsi="Arial" w:cs="Arial"/>
          <w:sz w:val="22"/>
          <w:szCs w:val="22"/>
        </w:rPr>
        <w:t xml:space="preserve"> Extensive absences from the care network and health system will degrade the ability to care not only for those with COVID-19 but also for routine healthcare issues as well. At the height of local epidemic, the health care system becomes overburdened with patients with respiratory illness. To date, rigorous self-isolation and lockdown have been required to contain the SARS-CoV-2, leaving entire societies to abruptly stop normal life. Interventions are urgently needed to stop viral spread and to decrease the morbidity and mortality cause by the infection. The ability to stop viral replication to prevent transmission of the virus and to prevent LRTI, which is associated with need for hospitalization and possibly mechanical ventilatory support, will be of benefit to the individual, the hospital system, and the health of the public. In addition, targeting those at highest risk of progression to LRTI and hospitalization will have the greatest impact on the pandemic. Including a cohort without risk factors for LRTI for the co-primary virologic outcome will provide additional data to inform whether the intervention is likely to have a public health benefit by reducing transmission in situations where self-isolation is not feasible.</w:t>
      </w:r>
    </w:p>
    <w:p w14:paraId="5AC6C32C" w14:textId="77777777" w:rsidR="00F554D1" w:rsidRPr="003C529C" w:rsidRDefault="00F554D1" w:rsidP="00FB2D39">
      <w:pPr>
        <w:pStyle w:val="Heading2"/>
        <w:jc w:val="both"/>
      </w:pPr>
      <w:bookmarkStart w:id="9" w:name="_Toc36029486"/>
      <w:bookmarkStart w:id="10" w:name="_Toc38818737"/>
      <w:r w:rsidRPr="003C529C">
        <w:t>Study Rationale</w:t>
      </w:r>
      <w:bookmarkEnd w:id="9"/>
      <w:bookmarkEnd w:id="10"/>
    </w:p>
    <w:p w14:paraId="163A466E" w14:textId="2B6B0601" w:rsidR="00F554D1" w:rsidRPr="003C529C" w:rsidRDefault="00F554D1" w:rsidP="00FB2D39">
      <w:pPr>
        <w:pStyle w:val="Heading3"/>
        <w:jc w:val="both"/>
      </w:pPr>
      <w:bookmarkStart w:id="11" w:name="_Toc36029487"/>
      <w:bookmarkStart w:id="12" w:name="_Toc38818738"/>
      <w:r w:rsidRPr="003C529C">
        <w:t>COVID-19 and Antiviral Approaches</w:t>
      </w:r>
      <w:bookmarkEnd w:id="11"/>
      <w:bookmarkEnd w:id="12"/>
      <w:r w:rsidR="00B16397">
        <w:rPr>
          <w:b w:val="0"/>
          <w:bCs w:val="0"/>
          <w:i w:val="0"/>
          <w:iCs w:val="0"/>
        </w:rPr>
        <w:t xml:space="preserve"> </w:t>
      </w:r>
    </w:p>
    <w:p w14:paraId="54AC9C76" w14:textId="1A71C29B" w:rsidR="00F554D1" w:rsidRPr="003C529C" w:rsidRDefault="00F554D1" w:rsidP="00FB2D39">
      <w:pPr>
        <w:jc w:val="both"/>
        <w:rPr>
          <w:rFonts w:ascii="Arial" w:hAnsi="Arial" w:cs="Arial"/>
          <w:sz w:val="22"/>
          <w:szCs w:val="22"/>
        </w:rPr>
      </w:pPr>
      <w:r w:rsidRPr="003C529C">
        <w:rPr>
          <w:rFonts w:ascii="Arial" w:hAnsi="Arial" w:cs="Arial"/>
          <w:sz w:val="22"/>
          <w:szCs w:val="22"/>
        </w:rPr>
        <w:t xml:space="preserve">SARS-CoV-2 is a novel </w:t>
      </w:r>
      <w:proofErr w:type="spellStart"/>
      <w:r w:rsidRPr="003C529C">
        <w:rPr>
          <w:rFonts w:ascii="Arial" w:hAnsi="Arial" w:cs="Arial"/>
          <w:sz w:val="22"/>
          <w:szCs w:val="22"/>
        </w:rPr>
        <w:t>betacoronavirus</w:t>
      </w:r>
      <w:proofErr w:type="spellEnd"/>
      <w:r w:rsidRPr="003C529C">
        <w:rPr>
          <w:rFonts w:ascii="Arial" w:hAnsi="Arial" w:cs="Arial"/>
          <w:sz w:val="22"/>
          <w:szCs w:val="22"/>
        </w:rPr>
        <w:t xml:space="preserve"> of zoonotic origin, similar to the coronaviruses severe acute respiratory syndrome coronavirus (SARS-</w:t>
      </w:r>
      <w:proofErr w:type="spellStart"/>
      <w:r w:rsidRPr="003C529C">
        <w:rPr>
          <w:rFonts w:ascii="Arial" w:hAnsi="Arial" w:cs="Arial"/>
          <w:sz w:val="22"/>
          <w:szCs w:val="22"/>
        </w:rPr>
        <w:t>CoV</w:t>
      </w:r>
      <w:proofErr w:type="spellEnd"/>
      <w:r w:rsidRPr="003C529C">
        <w:rPr>
          <w:rFonts w:ascii="Arial" w:hAnsi="Arial" w:cs="Arial"/>
          <w:sz w:val="22"/>
          <w:szCs w:val="22"/>
        </w:rPr>
        <w:t>) and Middle East respiratory syndrome coronavirus (MERS). Based on current evidence, case fatality rate for SARS-CoV-2 is about 3%, which is significantly lower than SARS-</w:t>
      </w:r>
      <w:proofErr w:type="spellStart"/>
      <w:r w:rsidRPr="003C529C">
        <w:rPr>
          <w:rFonts w:ascii="Arial" w:hAnsi="Arial" w:cs="Arial"/>
          <w:sz w:val="22"/>
          <w:szCs w:val="22"/>
        </w:rPr>
        <w:t>CoV</w:t>
      </w:r>
      <w:proofErr w:type="spellEnd"/>
      <w:r w:rsidRPr="003C529C">
        <w:rPr>
          <w:rFonts w:ascii="Arial" w:hAnsi="Arial" w:cs="Arial"/>
          <w:sz w:val="22"/>
          <w:szCs w:val="22"/>
        </w:rPr>
        <w:t xml:space="preserve"> (10%) and MERS-</w:t>
      </w:r>
      <w:proofErr w:type="spellStart"/>
      <w:r w:rsidRPr="003C529C">
        <w:rPr>
          <w:rFonts w:ascii="Arial" w:hAnsi="Arial" w:cs="Arial"/>
          <w:sz w:val="22"/>
          <w:szCs w:val="22"/>
        </w:rPr>
        <w:t>CoV</w:t>
      </w:r>
      <w:proofErr w:type="spellEnd"/>
      <w:r w:rsidRPr="003C529C">
        <w:rPr>
          <w:rFonts w:ascii="Arial" w:hAnsi="Arial" w:cs="Arial"/>
          <w:sz w:val="22"/>
          <w:szCs w:val="22"/>
        </w:rPr>
        <w:t xml:space="preserve"> (40%)</w:t>
      </w:r>
      <w:r w:rsidR="00471195" w:rsidRPr="003C529C">
        <w:rPr>
          <w:rFonts w:ascii="Arial" w:hAnsi="Arial" w:cs="Arial"/>
          <w:sz w:val="22"/>
          <w:szCs w:val="22"/>
        </w:rPr>
        <w:t>.</w:t>
      </w:r>
      <w:hyperlink w:anchor="_ENREF_8" w:tooltip="Chen, 2020 #10"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&lt;EndNote&gt;&lt;Cite&gt;&lt;Author&gt;Chen&lt;/Author&gt;&lt;Year&gt;2020&lt;/Year&gt;&lt;RecNum&gt;10&lt;/RecNum&gt;&lt;DisplayText&gt;&lt;style face="superscript"&gt;8&lt;/style&gt;&lt;/DisplayText&gt;&lt;record&gt;&lt;rec-number&gt;10&lt;/rec-number&gt;&lt;foreign-keys&gt;&lt;key app="EN" db-id="052xftpepftv2eepd2b5dps10se2pte52pps" timestamp="1585773544"&gt;10&lt;/key&gt;&lt;/foreign-keys&gt;&lt;ref-type name="Journal Article"&gt;17&lt;/ref-type&gt;&lt;contributors&gt;&lt;authors&gt;&lt;author&gt;Chen, J.&lt;/author&gt;&lt;/authors&gt;&lt;/contributors&gt;&lt;auth-address&gt;Key Laboratory of Medical Molecular Virology (MOE/NHC/CAMS), School of Basic Medical Sciences, Shanghai Medical College, Fudan University, Shanghai, China. Electronic address: jieliangchen@fudan.edu.cn.&lt;/auth-address&gt;&lt;titles&gt;&lt;title&gt;Pathogenicity and transmissibility of 2019-nCoV-A quick overview and comparison with other emerging viruses&lt;/title&gt;&lt;secondary-title&gt;Microbes Infect&lt;/secondary-title&gt;&lt;/titles&gt;&lt;periodical&gt;&lt;full-title&gt;Microbes Infect&lt;/full-title&gt;&lt;/periodical&gt;&lt;pages&gt;69-71&lt;/pages&gt;&lt;volume&gt;22&lt;/volume&gt;&lt;number&gt;2&lt;/number&gt;&lt;edition&gt;2020/02/08&lt;/edition&gt;&lt;keywords&gt;&lt;keyword&gt;*Basic Reproduction Number&lt;/keyword&gt;&lt;keyword&gt;Betacoronavirus/*pathogenicity&lt;/keyword&gt;&lt;keyword&gt;Coronavirus Infections/*transmission/virology&lt;/keyword&gt;&lt;keyword&gt;Humans&lt;/keyword&gt;&lt;keyword&gt;Pandemics&lt;/keyword&gt;&lt;keyword&gt;Pneumonia, Viral/*transmission/virology&lt;/keyword&gt;&lt;keyword&gt;Virulence&lt;/keyword&gt;&lt;keyword&gt;*ace2&lt;/keyword&gt;&lt;keyword&gt;*Basic reproduction number (R(0))&lt;/keyword&gt;&lt;keyword&gt;*Case fatality rate&lt;/keyword&gt;&lt;keyword&gt;*Novel coronavirus infection&lt;/keyword&gt;&lt;keyword&gt;*sars&lt;/keyword&gt;&lt;/keywords&gt;&lt;dates&gt;&lt;year&gt;2020&lt;/year&gt;&lt;pub-dates&gt;&lt;date&gt;Mar&lt;/date&gt;&lt;/pub-dates&gt;&lt;/dates&gt;&lt;isbn&gt;1769-714X (Electronic)&amp;#xD;1286-4579 (Linking)&lt;/isbn&gt;&lt;accession-num&gt;32032682&lt;/accession-num&gt;&lt;urls&gt;&lt;related-urls&gt;&lt;url&gt;https://www.ncbi.nlm.nih.gov/pubmed/32032682&lt;/url&gt;&lt;/related-urls&gt;&lt;/urls&gt;&lt;electronic-resource-num&gt;10.1016/j.micinf.2020.01.004&lt;/electronic-resource-num&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8</w:t>
        </w:r>
        <w:r w:rsidR="00415001" w:rsidRPr="003C529C">
          <w:rPr>
            <w:rFonts w:ascii="Arial" w:hAnsi="Arial" w:cs="Arial"/>
            <w:sz w:val="22"/>
            <w:szCs w:val="22"/>
          </w:rPr>
          <w:fldChar w:fldCharType="end"/>
        </w:r>
      </w:hyperlink>
      <w:r w:rsidR="00471195" w:rsidRPr="003C529C">
        <w:rPr>
          <w:rFonts w:ascii="Arial" w:hAnsi="Arial" w:cs="Arial"/>
          <w:sz w:val="22"/>
          <w:szCs w:val="22"/>
        </w:rPr>
        <w:t xml:space="preserve"> </w:t>
      </w:r>
      <w:r w:rsidRPr="003C529C">
        <w:rPr>
          <w:rFonts w:ascii="Arial" w:hAnsi="Arial" w:cs="Arial"/>
          <w:sz w:val="22"/>
          <w:szCs w:val="22"/>
        </w:rPr>
        <w:t>However, SARS-CoV-2 has potentially higher transmissibility (R0: 1.4-5.5) than both SARS-</w:t>
      </w:r>
      <w:proofErr w:type="spellStart"/>
      <w:r w:rsidRPr="003C529C">
        <w:rPr>
          <w:rFonts w:ascii="Arial" w:hAnsi="Arial" w:cs="Arial"/>
          <w:sz w:val="22"/>
          <w:szCs w:val="22"/>
        </w:rPr>
        <w:t>CoV</w:t>
      </w:r>
      <w:proofErr w:type="spellEnd"/>
      <w:r w:rsidRPr="003C529C">
        <w:rPr>
          <w:rFonts w:ascii="Arial" w:hAnsi="Arial" w:cs="Arial"/>
          <w:sz w:val="22"/>
          <w:szCs w:val="22"/>
        </w:rPr>
        <w:t xml:space="preserve"> (R0: 2</w:t>
      </w:r>
      <w:r w:rsidRPr="003C529C">
        <w:rPr>
          <w:rFonts w:ascii="Arial" w:hAnsi="Arial" w:cs="Arial"/>
          <w:sz w:val="22"/>
          <w:szCs w:val="22"/>
        </w:rPr>
        <w:noBreakHyphen/>
        <w:t>5) and MERS-</w:t>
      </w:r>
      <w:proofErr w:type="spellStart"/>
      <w:r w:rsidRPr="003C529C">
        <w:rPr>
          <w:rFonts w:ascii="Arial" w:hAnsi="Arial" w:cs="Arial"/>
          <w:sz w:val="22"/>
          <w:szCs w:val="22"/>
        </w:rPr>
        <w:t>CoV</w:t>
      </w:r>
      <w:proofErr w:type="spellEnd"/>
      <w:r w:rsidRPr="003C529C">
        <w:rPr>
          <w:rFonts w:ascii="Arial" w:hAnsi="Arial" w:cs="Arial"/>
          <w:sz w:val="22"/>
          <w:szCs w:val="22"/>
        </w:rPr>
        <w:t xml:space="preserve"> (R0: &lt;1)</w:t>
      </w:r>
      <w:r w:rsidR="00471195" w:rsidRPr="003C529C">
        <w:rPr>
          <w:rFonts w:ascii="Arial" w:hAnsi="Arial" w:cs="Arial"/>
          <w:sz w:val="22"/>
          <w:szCs w:val="22"/>
        </w:rPr>
        <w:t>.</w:t>
      </w:r>
      <w:hyperlink w:anchor="_ENREF_8" w:tooltip="Chen, 2020 #10"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&lt;EndNote&gt;&lt;Cite&gt;&lt;Author&gt;Chen&lt;/Author&gt;&lt;Year&gt;2020&lt;/Year&gt;&lt;RecNum&gt;10&lt;/RecNum&gt;&lt;DisplayText&gt;&lt;style face="superscript"&gt;8&lt;/style&gt;&lt;/DisplayText&gt;&lt;record&gt;&lt;rec-number&gt;10&lt;/rec-number&gt;&lt;foreign-keys&gt;&lt;key app="EN" db-id="052xftpepftv2eepd2b5dps10se2pte52pps" timestamp="1585773544"&gt;10&lt;/key&gt;&lt;/foreign-keys&gt;&lt;ref-type name="Journal Article"&gt;17&lt;/ref-type&gt;&lt;contributors&gt;&lt;authors&gt;&lt;author&gt;Chen, J.&lt;/author&gt;&lt;/authors&gt;&lt;/contributors&gt;&lt;auth-address&gt;Key Laboratory of Medical Molecular Virology (MOE/NHC/CAMS), School of Basic Medical Sciences, Shanghai Medical College, Fudan University, Shanghai, China. Electronic address: jieliangchen@fudan.edu.cn.&lt;/auth-address&gt;&lt;titles&gt;&lt;title&gt;Pathogenicity and transmissibility of 2019-nCoV-A quick overview and comparison with other emerging viruses&lt;/title&gt;&lt;secondary-title&gt;Microbes Infect&lt;/secondary-title&gt;&lt;/titles&gt;&lt;periodical&gt;&lt;full-title&gt;Microbes Infect&lt;/full-title&gt;&lt;/periodical&gt;&lt;pages&gt;69-71&lt;/pages&gt;&lt;volume&gt;22&lt;/volume&gt;&lt;number&gt;2&lt;/number&gt;&lt;edition&gt;2020/02/08&lt;/edition&gt;&lt;keywords&gt;&lt;keyword&gt;*Basic Reproduction Number&lt;/keyword&gt;&lt;keyword&gt;Betacoronavirus/*pathogenicity&lt;/keyword&gt;&lt;keyword&gt;Coronavirus Infections/*transmission/virology&lt;/keyword&gt;&lt;keyword&gt;Humans&lt;/keyword&gt;&lt;keyword&gt;Pandemics&lt;/keyword&gt;&lt;keyword&gt;Pneumonia, Viral/*transmission/virology&lt;/keyword&gt;&lt;keyword&gt;Virulence&lt;/keyword&gt;&lt;keyword&gt;*ace2&lt;/keyword&gt;&lt;keyword&gt;*Basic reproduction number (R(0))&lt;/keyword&gt;&lt;keyword&gt;*Case fatality rate&lt;/keyword&gt;&lt;keyword&gt;*Novel coronavirus infection&lt;/keyword&gt;&lt;keyword&gt;*sars&lt;/keyword&gt;&lt;/keywords&gt;&lt;dates&gt;&lt;year&gt;2020&lt;/year&gt;&lt;pub-dates&gt;&lt;date&gt;Mar&lt;/date&gt;&lt;/pub-dates&gt;&lt;/dates&gt;&lt;isbn&gt;1769-714X (Electronic)&amp;#xD;1286-4579 (Linking)&lt;/isbn&gt;&lt;accession-num&gt;32032682&lt;/accession-num&gt;&lt;urls&gt;&lt;related-urls&gt;&lt;url&gt;https://www.ncbi.nlm.nih.gov/pubmed/32032682&lt;/url&gt;&lt;/related-urls&gt;&lt;/urls&gt;&lt;electronic-resource-num&gt;10.1016/j.micinf.2020.01.004&lt;/electronic-resource-num&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8</w:t>
        </w:r>
        <w:r w:rsidR="00415001" w:rsidRPr="003C529C">
          <w:rPr>
            <w:rFonts w:ascii="Arial" w:hAnsi="Arial" w:cs="Arial"/>
            <w:sz w:val="22"/>
            <w:szCs w:val="22"/>
          </w:rPr>
          <w:fldChar w:fldCharType="end"/>
        </w:r>
      </w:hyperlink>
    </w:p>
    <w:p w14:paraId="7CFB450A" w14:textId="46A9EC99" w:rsidR="00F554D1" w:rsidRPr="003C529C" w:rsidRDefault="00F554D1" w:rsidP="00FB2D39">
      <w:pPr>
        <w:jc w:val="both"/>
        <w:rPr>
          <w:rFonts w:ascii="Arial" w:hAnsi="Arial" w:cs="Arial"/>
          <w:sz w:val="22"/>
          <w:szCs w:val="22"/>
        </w:rPr>
      </w:pPr>
      <w:r w:rsidRPr="003C529C">
        <w:rPr>
          <w:rFonts w:ascii="Arial" w:hAnsi="Arial" w:cs="Arial"/>
          <w:sz w:val="22"/>
          <w:szCs w:val="22"/>
        </w:rPr>
        <w:t>Our understanding of the viral pathogenesis of SARS-CoV-2 remains limited. However, it appears that the virus cell entry depends on binding of the viral spike (S) proteins to cellular receptors and on S protein priming by host cell proteases. SARS-CoV-2, like SARS-</w:t>
      </w:r>
      <w:proofErr w:type="spellStart"/>
      <w:r w:rsidRPr="003C529C">
        <w:rPr>
          <w:rFonts w:ascii="Arial" w:hAnsi="Arial" w:cs="Arial"/>
          <w:sz w:val="22"/>
          <w:szCs w:val="22"/>
        </w:rPr>
        <w:t>CoV</w:t>
      </w:r>
      <w:proofErr w:type="spellEnd"/>
      <w:r w:rsidRPr="003C529C">
        <w:rPr>
          <w:rFonts w:ascii="Arial" w:hAnsi="Arial" w:cs="Arial"/>
          <w:sz w:val="22"/>
          <w:szCs w:val="22"/>
        </w:rPr>
        <w:t>, uses the same receptor angiotensin converting enzyme 2 (ACE2) on pulmonary epithelial cells for entry and the transmembrane serine protease 2 for S protein priming</w:t>
      </w:r>
      <w:r w:rsidR="00471195" w:rsidRPr="003C529C">
        <w:rPr>
          <w:rFonts w:ascii="Arial" w:hAnsi="Arial" w:cs="Arial"/>
          <w:sz w:val="22"/>
          <w:szCs w:val="22"/>
        </w:rPr>
        <w:t>.</w:t>
      </w:r>
      <w:hyperlink w:anchor="_ENREF_9" w:tooltip="Hoffmann, 2020 #19" w:history="1">
        <w:r w:rsidR="00415001" w:rsidRPr="003C529C">
          <w:rPr>
            <w:rFonts w:ascii="Arial" w:hAnsi="Arial" w:cs="Arial"/>
            <w:sz w:val="22"/>
            <w:szCs w:val="22"/>
          </w:rPr>
          <w:fldChar w:fldCharType="begin">
            <w:fldData xml:space="preserve">PEVuZE5vdGU+PENpdGU+PEF1dGhvcj5Ib2ZmbWFubjwvQXV0aG9yPjxZZWFyPjIwMjA8L1llYXI+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==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PEVuZE5vdGU+PENpdGU+PEF1dGhvcj5Ib2ZmbWFubjwvQXV0aG9yPjxZZWFyPjIwMjA8L1llYXI+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==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9</w:t>
        </w:r>
        <w:r w:rsidR="00415001" w:rsidRPr="003C529C">
          <w:rPr>
            <w:rFonts w:ascii="Arial" w:hAnsi="Arial" w:cs="Arial"/>
            <w:sz w:val="22"/>
            <w:szCs w:val="22"/>
          </w:rPr>
          <w:fldChar w:fldCharType="end"/>
        </w:r>
      </w:hyperlink>
      <w:r w:rsidR="00471195" w:rsidRPr="003C529C">
        <w:rPr>
          <w:rFonts w:ascii="Arial" w:hAnsi="Arial" w:cs="Arial"/>
          <w:sz w:val="22"/>
          <w:szCs w:val="22"/>
        </w:rPr>
        <w:t xml:space="preserve"> </w:t>
      </w:r>
      <w:r w:rsidRPr="003C529C">
        <w:rPr>
          <w:rFonts w:ascii="Arial" w:hAnsi="Arial" w:cs="Arial"/>
          <w:sz w:val="22"/>
          <w:szCs w:val="22"/>
        </w:rPr>
        <w:t xml:space="preserve">The receptor binding domain of lineage B </w:t>
      </w:r>
      <w:proofErr w:type="spellStart"/>
      <w:r w:rsidRPr="003C529C">
        <w:rPr>
          <w:rFonts w:ascii="Arial" w:hAnsi="Arial" w:cs="Arial"/>
          <w:sz w:val="22"/>
          <w:szCs w:val="22"/>
        </w:rPr>
        <w:t>betacoronaviruses</w:t>
      </w:r>
      <w:proofErr w:type="spellEnd"/>
      <w:r w:rsidRPr="003C529C">
        <w:rPr>
          <w:rFonts w:ascii="Arial" w:hAnsi="Arial" w:cs="Arial"/>
          <w:sz w:val="22"/>
          <w:szCs w:val="22"/>
        </w:rPr>
        <w:t xml:space="preserve"> is a single, continuous domain that contains all of the structural information necessary to interact with the host receptor. Fusion is mediated at the cell membrane, delivering the viral nucleocapsid inside the cell for subsequent replication. ACE2 expression is found in the lung epithelial cells, vascular endothelium, renal tubular epithelium, and epithelia of the small intestine. Viral shedding has been localized primarily to respiratory droplets and </w:t>
      </w:r>
      <w:proofErr w:type="spellStart"/>
      <w:r w:rsidRPr="003C529C">
        <w:rPr>
          <w:rFonts w:ascii="Arial" w:hAnsi="Arial" w:cs="Arial"/>
          <w:sz w:val="22"/>
          <w:szCs w:val="22"/>
        </w:rPr>
        <w:t>fecal</w:t>
      </w:r>
      <w:proofErr w:type="spellEnd"/>
      <w:r w:rsidRPr="003C529C">
        <w:rPr>
          <w:rFonts w:ascii="Arial" w:hAnsi="Arial" w:cs="Arial"/>
          <w:sz w:val="22"/>
          <w:szCs w:val="22"/>
        </w:rPr>
        <w:t xml:space="preserve"> samples</w:t>
      </w:r>
      <w:r w:rsidR="00471195" w:rsidRPr="003C529C">
        <w:rPr>
          <w:rFonts w:ascii="Arial" w:hAnsi="Arial" w:cs="Arial"/>
          <w:sz w:val="22"/>
          <w:szCs w:val="22"/>
        </w:rPr>
        <w:t>.</w:t>
      </w:r>
      <w:hyperlink w:anchor="_ENREF_2" w:tooltip="Zhu, 2020 #45" w:history="1">
        <w:r w:rsidR="00415001" w:rsidRPr="003C529C">
          <w:rPr>
            <w:rFonts w:ascii="Arial" w:hAnsi="Arial" w:cs="Arial"/>
            <w:sz w:val="22"/>
            <w:szCs w:val="22"/>
          </w:rPr>
          <w:fldChar w:fldCharType="begin">
            <w:fldData xml:space="preserve">PEVuZE5vdGU+PENpdGU+PEF1dGhvcj5aaHU8L0F1dGhvcj48WWVhcj4yMDIwPC9ZZWFyPjxSZWNO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PEVuZE5vdGU+PENpdGU+PEF1dGhvcj5aaHU8L0F1dGhvcj48WWVhcj4yMDIwPC9ZZWFyPjxSZWNO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2</w:t>
        </w:r>
        <w:r w:rsidR="00415001" w:rsidRPr="003C529C">
          <w:rPr>
            <w:rFonts w:ascii="Arial" w:hAnsi="Arial" w:cs="Arial"/>
            <w:sz w:val="22"/>
            <w:szCs w:val="22"/>
          </w:rPr>
          <w:fldChar w:fldCharType="end"/>
        </w:r>
      </w:hyperlink>
    </w:p>
    <w:p w14:paraId="4E94793B" w14:textId="268FB939" w:rsidR="00F554D1" w:rsidRPr="003C529C" w:rsidRDefault="00F554D1" w:rsidP="00FB2D39">
      <w:pPr>
        <w:jc w:val="both"/>
        <w:rPr>
          <w:rFonts w:ascii="Arial" w:hAnsi="Arial" w:cs="Arial"/>
          <w:sz w:val="22"/>
          <w:szCs w:val="22"/>
        </w:rPr>
      </w:pPr>
      <w:r w:rsidRPr="003C529C">
        <w:rPr>
          <w:rFonts w:ascii="Arial" w:hAnsi="Arial" w:cs="Arial"/>
          <w:sz w:val="22"/>
          <w:szCs w:val="22"/>
        </w:rPr>
        <w:t>Medications to treat and/or prevent SARS-CoV-2 need to inhibit aspects of the viral life cycle, ultimately blocking replication. Already-approved and available medications are ideal for immediate evaluation for SARS-CoV-2 infection treatment and prevention. Two potential targets for anti-SARS-CoV-2 medications are viral polymerases and proteases</w:t>
      </w:r>
      <w:r w:rsidR="00471195" w:rsidRPr="003C529C">
        <w:rPr>
          <w:rFonts w:ascii="Arial" w:hAnsi="Arial" w:cs="Arial"/>
          <w:sz w:val="22"/>
          <w:szCs w:val="22"/>
        </w:rPr>
        <w:t>.</w:t>
      </w:r>
      <w:hyperlink w:anchor="_ENREF_10" w:tooltip="Li, 2019 #24" w:history="1">
        <w:r w:rsidR="00415001" w:rsidRPr="003C529C">
          <w:rPr>
            <w:rFonts w:ascii="Arial" w:hAnsi="Arial" w:cs="Arial"/>
            <w:sz w:val="22"/>
            <w:szCs w:val="22"/>
          </w:rPr>
          <w:fldChar w:fldCharType="begin">
            <w:fldData xml:space="preserve">PEVuZE5vdGU+PENpdGU+PEF1dGhvcj5MaTwvQXV0aG9yPjxZZWFyPjIwMTk8L1llYXI+PFJlY051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PEVuZE5vdGU+PENpdGU+PEF1dGhvcj5MaTwvQXV0aG9yPjxZZWFyPjIwMTk8L1llYXI+PFJlY051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10</w:t>
        </w:r>
        <w:r w:rsidR="00415001" w:rsidRPr="003C529C">
          <w:rPr>
            <w:rFonts w:ascii="Arial" w:hAnsi="Arial" w:cs="Arial"/>
            <w:sz w:val="22"/>
            <w:szCs w:val="22"/>
          </w:rPr>
          <w:fldChar w:fldCharType="end"/>
        </w:r>
      </w:hyperlink>
      <w:r w:rsidR="00471195" w:rsidRPr="003C529C">
        <w:rPr>
          <w:rFonts w:ascii="Arial" w:hAnsi="Arial" w:cs="Arial"/>
          <w:sz w:val="22"/>
          <w:szCs w:val="22"/>
        </w:rPr>
        <w:t xml:space="preserve"> </w:t>
      </w:r>
      <w:r w:rsidRPr="003C529C">
        <w:rPr>
          <w:rFonts w:ascii="Arial" w:hAnsi="Arial" w:cs="Arial"/>
          <w:sz w:val="22"/>
          <w:szCs w:val="22"/>
        </w:rPr>
        <w:t>Pilot clinical studies are already ongoing for SARS-CoV-2 using various repurposed antiviral medicines (</w:t>
      </w:r>
      <w:hyperlink r:id="rId23" w:history="1">
        <w:r w:rsidRPr="003C529C">
          <w:rPr>
            <w:rStyle w:val="Hyperlink"/>
            <w:rFonts w:ascii="Arial" w:hAnsi="Arial" w:cs="Arial"/>
            <w:sz w:val="22"/>
            <w:szCs w:val="22"/>
          </w:rPr>
          <w:t>https://www.who.int/emergencies/diseases/novel-coronavirus-2019/global-research-on-novel-coronavirus-2019-ncov</w:t>
        </w:r>
      </w:hyperlink>
      <w:r w:rsidRPr="003C529C">
        <w:rPr>
          <w:rFonts w:ascii="Arial" w:hAnsi="Arial" w:cs="Arial"/>
          <w:sz w:val="22"/>
          <w:szCs w:val="22"/>
        </w:rPr>
        <w:t>). Similarities between SARS-CoV-2 with SARS-</w:t>
      </w:r>
      <w:proofErr w:type="spellStart"/>
      <w:r w:rsidRPr="003C529C">
        <w:rPr>
          <w:rFonts w:ascii="Arial" w:hAnsi="Arial" w:cs="Arial"/>
          <w:sz w:val="22"/>
          <w:szCs w:val="22"/>
        </w:rPr>
        <w:t>CoV</w:t>
      </w:r>
      <w:proofErr w:type="spellEnd"/>
      <w:r w:rsidRPr="003C529C">
        <w:rPr>
          <w:rFonts w:ascii="Arial" w:hAnsi="Arial" w:cs="Arial"/>
          <w:sz w:val="22"/>
          <w:szCs w:val="22"/>
        </w:rPr>
        <w:t xml:space="preserve"> and MERS suggest that antivirals with </w:t>
      </w:r>
      <w:r w:rsidRPr="003C529C">
        <w:rPr>
          <w:rFonts w:ascii="Arial" w:hAnsi="Arial" w:cs="Arial"/>
          <w:i/>
          <w:sz w:val="22"/>
          <w:szCs w:val="22"/>
        </w:rPr>
        <w:t>in vitro</w:t>
      </w:r>
      <w:r w:rsidRPr="003C529C">
        <w:rPr>
          <w:rFonts w:ascii="Arial" w:hAnsi="Arial" w:cs="Arial"/>
          <w:sz w:val="22"/>
          <w:szCs w:val="22"/>
        </w:rPr>
        <w:t xml:space="preserve"> efficacy against SARS-</w:t>
      </w:r>
      <w:proofErr w:type="spellStart"/>
      <w:r w:rsidRPr="003C529C">
        <w:rPr>
          <w:rFonts w:ascii="Arial" w:hAnsi="Arial" w:cs="Arial"/>
          <w:sz w:val="22"/>
          <w:szCs w:val="22"/>
        </w:rPr>
        <w:t>CoV</w:t>
      </w:r>
      <w:proofErr w:type="spellEnd"/>
      <w:r w:rsidRPr="003C529C">
        <w:rPr>
          <w:rFonts w:ascii="Arial" w:hAnsi="Arial" w:cs="Arial"/>
          <w:sz w:val="22"/>
          <w:szCs w:val="22"/>
        </w:rPr>
        <w:t xml:space="preserve"> and MERS may be promising agents as SARS-CoV-2 PEP</w:t>
      </w:r>
      <w:r w:rsidR="000730D6" w:rsidRPr="003C529C">
        <w:rPr>
          <w:rFonts w:ascii="Arial" w:hAnsi="Arial" w:cs="Arial"/>
          <w:sz w:val="22"/>
          <w:szCs w:val="22"/>
        </w:rPr>
        <w:t>.</w:t>
      </w:r>
      <w:hyperlink w:anchor="_ENREF_10" w:tooltip="Li, 2019 #24" w:history="1">
        <w:r w:rsidR="00415001" w:rsidRPr="003C529C">
          <w:rPr>
            <w:rFonts w:ascii="Arial" w:hAnsi="Arial" w:cs="Arial"/>
            <w:sz w:val="22"/>
            <w:szCs w:val="22"/>
          </w:rPr>
          <w:fldChar w:fldCharType="begin">
            <w:fldData xml:space="preserve">PEVuZE5vdGU+PENpdGU+PEF1dGhvcj5MaTwvQXV0aG9yPjxZZWFyPjIwMTk8L1llYXI+PFJlY051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PEVuZE5vdGU+PENpdGU+PEF1dGhvcj5MaTwvQXV0aG9yPjxZZWFyPjIwMTk8L1llYXI+PFJlY051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10</w:t>
        </w:r>
        <w:r w:rsidR="00415001" w:rsidRPr="003C529C">
          <w:rPr>
            <w:rFonts w:ascii="Arial" w:hAnsi="Arial" w:cs="Arial"/>
            <w:sz w:val="22"/>
            <w:szCs w:val="22"/>
          </w:rPr>
          <w:fldChar w:fldCharType="end"/>
        </w:r>
      </w:hyperlink>
    </w:p>
    <w:p w14:paraId="30FBBC27" w14:textId="43658E86" w:rsidR="00F554D1" w:rsidRPr="003C529C" w:rsidRDefault="00F554D1" w:rsidP="00FB2D39">
      <w:pPr>
        <w:pStyle w:val="Heading3"/>
        <w:jc w:val="both"/>
      </w:pPr>
      <w:bookmarkStart w:id="13" w:name="_Toc36029488"/>
      <w:bookmarkStart w:id="14" w:name="_Toc38818739"/>
      <w:r w:rsidRPr="003C529C">
        <w:lastRenderedPageBreak/>
        <w:t>Antiviral Effects of Chloroquine Analogues Against COVID-19</w:t>
      </w:r>
      <w:bookmarkEnd w:id="13"/>
      <w:bookmarkEnd w:id="14"/>
      <w:r w:rsidR="00590338" w:rsidRPr="003C529C">
        <w:t xml:space="preserve"> </w:t>
      </w:r>
      <w:r w:rsidR="00B16397" w:rsidRPr="00B16397">
        <w:rPr>
          <w:b w:val="0"/>
          <w:bCs w:val="0"/>
        </w:rPr>
        <w:t xml:space="preserve">(TOGETHER 1 </w:t>
      </w:r>
      <w:r w:rsidR="00B16397">
        <w:rPr>
          <w:b w:val="0"/>
          <w:bCs w:val="0"/>
        </w:rPr>
        <w:t>&amp; 2)</w:t>
      </w:r>
    </w:p>
    <w:p w14:paraId="446DF757" w14:textId="2426AE43" w:rsidR="00F554D1" w:rsidRPr="003C529C" w:rsidRDefault="00590338" w:rsidP="00FB2D39">
      <w:pPr>
        <w:jc w:val="both"/>
        <w:rPr>
          <w:rFonts w:ascii="Arial" w:hAnsi="Arial" w:cs="Arial"/>
          <w:sz w:val="22"/>
          <w:szCs w:val="22"/>
        </w:rPr>
      </w:pPr>
      <w:r w:rsidRPr="003C529C">
        <w:rPr>
          <w:rFonts w:ascii="Arial" w:hAnsi="Arial" w:cs="Arial"/>
          <w:sz w:val="22"/>
          <w:szCs w:val="22"/>
        </w:rPr>
        <w:t xml:space="preserve">TOGETHER 1 and TOGETHER 2 are studying hydroxychloroquine (HCQ). </w:t>
      </w:r>
      <w:r w:rsidR="00F554D1" w:rsidRPr="003C529C">
        <w:rPr>
          <w:rFonts w:ascii="Arial" w:hAnsi="Arial" w:cs="Arial"/>
          <w:sz w:val="22"/>
          <w:szCs w:val="22"/>
        </w:rPr>
        <w:t xml:space="preserve">Chloroquine (CQ) was discovered in 1934 by Bayer and was used in 1945 as an antimalarial to become one of the most prescribed drugs globally, prior to the emergence of widespread drug resistance in </w:t>
      </w:r>
      <w:r w:rsidR="00F554D1" w:rsidRPr="003C529C">
        <w:rPr>
          <w:rFonts w:ascii="Arial" w:hAnsi="Arial" w:cs="Arial"/>
          <w:i/>
          <w:iCs/>
          <w:sz w:val="22"/>
          <w:szCs w:val="22"/>
        </w:rPr>
        <w:t>Plasmodium falciparum</w:t>
      </w:r>
      <w:r w:rsidR="000730D6" w:rsidRPr="003C529C">
        <w:rPr>
          <w:rFonts w:ascii="Arial" w:hAnsi="Arial" w:cs="Arial"/>
          <w:sz w:val="22"/>
          <w:szCs w:val="22"/>
        </w:rPr>
        <w:t>.</w:t>
      </w:r>
      <w:hyperlink w:anchor="_ENREF_11" w:tooltip="Slater, 1993 #37"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&lt;EndNote&gt;&lt;Cite&gt;&lt;Author&gt;Slater&lt;/Author&gt;&lt;Year&gt;1993&lt;/Year&gt;&lt;RecNum&gt;37&lt;/RecNum&gt;&lt;DisplayText&gt;&lt;style face="superscript"&gt;11&lt;/style&gt;&lt;/DisplayText&gt;&lt;record&gt;&lt;rec-number&gt;37&lt;/rec-number&gt;&lt;foreign-keys&gt;&lt;key app="EN" db-id="052xftpepftv2eepd2b5dps10se2pte52pps" timestamp="1585773544"&gt;37&lt;/key&gt;&lt;/foreign-keys&gt;&lt;ref-type name="Journal Article"&gt;17&lt;/ref-type&gt;&lt;contributors&gt;&lt;authors&gt;&lt;author&gt;Slater, A. F.&lt;/author&gt;&lt;/authors&gt;&lt;/contributors&gt;&lt;auth-address&gt;Picower Institute for Medical Research, Manhasset, NY 11030.&lt;/auth-address&gt;&lt;titles&gt;&lt;title&gt;Chloroquine: mechanism of drug action and resistance in Plasmodium falciparum&lt;/title&gt;&lt;secondary-title&gt;Pharmacol Ther&lt;/secondary-title&gt;&lt;/titles&gt;&lt;periodical&gt;&lt;full-title&gt;Pharmacol Ther&lt;/full-title&gt;&lt;/periodical&gt;&lt;pages&gt;203-35&lt;/pages&gt;&lt;volume&gt;57&lt;/volume&gt;&lt;number&gt;2-3&lt;/number&gt;&lt;edition&gt;1993/02/01&lt;/edition&gt;&lt;keywords&gt;&lt;keyword&gt;Animals&lt;/keyword&gt;&lt;keyword&gt;Chloroquine/*pharmacology/therapeutic use&lt;/keyword&gt;&lt;keyword&gt;Drug Resistance, Microbial&lt;/keyword&gt;&lt;keyword&gt;Humans&lt;/keyword&gt;&lt;keyword&gt;Malaria, Falciparum/*drug therapy/parasitology&lt;/keyword&gt;&lt;keyword&gt;Plasmodium falciparum/*drug effects&lt;/keyword&gt;&lt;/keywords&gt;&lt;dates&gt;&lt;year&gt;1993&lt;/year&gt;&lt;pub-dates&gt;&lt;date&gt;Feb-Mar&lt;/date&gt;&lt;/pub-dates&gt;&lt;/dates&gt;&lt;isbn&gt;0163-7258 (Print)&amp;#xD;0163-7258 (Linking)&lt;/isbn&gt;&lt;accession-num&gt;8361993&lt;/accession-num&gt;&lt;urls&gt;&lt;related-urls&gt;&lt;url&gt;https://www.ncbi.nlm.nih.gov/pubmed/8361993&lt;/url&gt;&lt;/related-urls&gt;&lt;/urls&gt;&lt;electronic-resource-num&gt;10.1016/0163-7258(93)90056-j&lt;/electronic-resource-num&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11</w:t>
        </w:r>
        <w:r w:rsidR="00415001" w:rsidRPr="003C529C">
          <w:rPr>
            <w:rFonts w:ascii="Arial" w:hAnsi="Arial" w:cs="Arial"/>
            <w:sz w:val="22"/>
            <w:szCs w:val="22"/>
          </w:rPr>
          <w:fldChar w:fldCharType="end"/>
        </w:r>
      </w:hyperlink>
      <w:r w:rsidR="000730D6" w:rsidRPr="003C529C">
        <w:rPr>
          <w:rFonts w:ascii="Arial" w:hAnsi="Arial" w:cs="Arial"/>
          <w:sz w:val="22"/>
          <w:szCs w:val="22"/>
        </w:rPr>
        <w:t xml:space="preserve"> </w:t>
      </w:r>
      <w:r w:rsidR="00F554D1" w:rsidRPr="003C529C">
        <w:rPr>
          <w:rFonts w:ascii="Arial" w:hAnsi="Arial" w:cs="Arial"/>
          <w:sz w:val="22"/>
          <w:szCs w:val="22"/>
        </w:rPr>
        <w:t>CQ was found to be effective against rheumatoid tenosynovitis in 1951.</w:t>
      </w:r>
      <w:hyperlink w:anchor="_ENREF_12" w:tooltip="Mackenzie, 1970 #26"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&lt;EndNote&gt;&lt;Cite&gt;&lt;Author&gt;Mackenzie&lt;/Author&gt;&lt;Year&gt;1970&lt;/Year&gt;&lt;RecNum&gt;26&lt;/RecNum&gt;&lt;DisplayText&gt;&lt;style face="superscript"&gt;12&lt;/style&gt;&lt;/DisplayText&gt;&lt;record&gt;&lt;rec-number&gt;26&lt;/rec-number&gt;&lt;foreign-keys&gt;&lt;key app="EN" db-id="052xftpepftv2eepd2b5dps10se2pte52pps" timestamp="1585773544"&gt;26&lt;/key&gt;&lt;/foreign-keys&gt;&lt;ref-type name="Journal Article"&gt;17&lt;/ref-type&gt;&lt;contributors&gt;&lt;authors&gt;&lt;author&gt;Mackenzie, A. H.&lt;/author&gt;&lt;/authors&gt;&lt;/contributors&gt;&lt;titles&gt;&lt;title&gt;An appraisal of chloroquine&lt;/title&gt;&lt;secondary-title&gt;Arthritis Rheum&lt;/secondary-title&gt;&lt;/titles&gt;&lt;periodical&gt;&lt;full-title&gt;Arthritis Rheum&lt;/full-title&gt;&lt;/periodical&gt;&lt;pages&gt;280-91&lt;/pages&gt;&lt;volume&gt;13&lt;/volume&gt;&lt;number&gt;3&lt;/number&gt;&lt;edition&gt;1970/05/01&lt;/edition&gt;&lt;keywords&gt;&lt;keyword&gt;Arthritis, Rheumatoid/*drug therapy&lt;/keyword&gt;&lt;keyword&gt;Chloroquine/*administration &amp;amp; dosage/adverse effects/therapeutic use&lt;/keyword&gt;&lt;keyword&gt;Humans&lt;/keyword&gt;&lt;keyword&gt;Hydroxychloroquine/therapeutic use&lt;/keyword&gt;&lt;keyword&gt;Lysosomes/drug effects&lt;/keyword&gt;&lt;keyword&gt;Quinacrine/therapeutic use&lt;/keyword&gt;&lt;keyword&gt;Retinitis Pigmentosa/chemically induced&lt;/keyword&gt;&lt;/keywords&gt;&lt;dates&gt;&lt;year&gt;1970&lt;/year&gt;&lt;pub-dates&gt;&lt;date&gt;May-Jun&lt;/date&gt;&lt;/pub-dates&gt;&lt;/dates&gt;&lt;isbn&gt;0004-3591 (Print)&amp;#xD;0004-3591 (Linking)&lt;/isbn&gt;&lt;accession-num&gt;4912633&lt;/accession-num&gt;&lt;urls&gt;&lt;related-urls&gt;&lt;url&gt;https://www.ncbi.nlm.nih.gov/pubmed/4912633&lt;/url&gt;&lt;/related-urls&gt;&lt;/urls&gt;&lt;electronic-resource-num&gt;10.1002/art.1780130310&lt;/electronic-resource-num&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12</w:t>
        </w:r>
        <w:r w:rsidR="00415001" w:rsidRPr="003C529C">
          <w:rPr>
            <w:rFonts w:ascii="Arial" w:hAnsi="Arial" w:cs="Arial"/>
            <w:sz w:val="22"/>
            <w:szCs w:val="22"/>
          </w:rPr>
          <w:fldChar w:fldCharType="end"/>
        </w:r>
      </w:hyperlink>
      <w:r w:rsidR="00F554D1" w:rsidRPr="003C529C">
        <w:rPr>
          <w:rFonts w:ascii="Arial" w:hAnsi="Arial" w:cs="Arial"/>
          <w:sz w:val="22"/>
          <w:szCs w:val="22"/>
        </w:rPr>
        <w:t xml:space="preserve"> HCQ was licensed in the United States in 1955 as an antimalarial and as a drug for rheumatoid arthritis, and it was widely marketed for the latter due to a </w:t>
      </w:r>
      <w:proofErr w:type="spellStart"/>
      <w:r w:rsidR="00F554D1" w:rsidRPr="003C529C">
        <w:rPr>
          <w:rFonts w:ascii="Arial" w:hAnsi="Arial" w:cs="Arial"/>
          <w:sz w:val="22"/>
          <w:szCs w:val="22"/>
        </w:rPr>
        <w:t>favorable</w:t>
      </w:r>
      <w:proofErr w:type="spellEnd"/>
      <w:r w:rsidR="00F554D1" w:rsidRPr="003C529C">
        <w:rPr>
          <w:rFonts w:ascii="Arial" w:hAnsi="Arial" w:cs="Arial"/>
          <w:sz w:val="22"/>
          <w:szCs w:val="22"/>
        </w:rPr>
        <w:t xml:space="preserve"> safety profile with chronic use</w:t>
      </w:r>
      <w:r w:rsidR="000730D6" w:rsidRPr="003C529C">
        <w:rPr>
          <w:rFonts w:ascii="Arial" w:hAnsi="Arial" w:cs="Arial"/>
          <w:sz w:val="22"/>
          <w:szCs w:val="22"/>
        </w:rPr>
        <w:t>.</w:t>
      </w:r>
      <w:hyperlink w:anchor="_ENREF_13" w:tooltip="Shippey, 2018 #36"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&lt;EndNote&gt;&lt;Cite&gt;&lt;Author&gt;Shippey&lt;/Author&gt;&lt;Year&gt;2018&lt;/Year&gt;&lt;RecNum&gt;36&lt;/RecNum&gt;&lt;DisplayText&gt;&lt;style face="superscript"&gt;13&lt;/style&gt;&lt;/DisplayText&gt;&lt;record&gt;&lt;rec-number&gt;36&lt;/rec-number&gt;&lt;foreign-keys&gt;&lt;key app="EN" db-id="052xftpepftv2eepd2b5dps10se2pte52pps" timestamp="1585773544"&gt;36&lt;/key&gt;&lt;/foreign-keys&gt;&lt;ref-type name="Journal Article"&gt;17&lt;/ref-type&gt;&lt;contributors&gt;&lt;authors&gt;&lt;author&gt;Shippey, E. A.&lt;/author&gt;&lt;author&gt;Wagler, V. D.&lt;/author&gt;&lt;author&gt;Collamer, A. N.&lt;/author&gt;&lt;/authors&gt;&lt;/contributors&gt;&lt;auth-address&gt;Resident, Department of Internal Medicine, William Beaumont Army Medical Center, El Paso, TX, USA. eugen.shippey@gmail.com.&amp;#xD;Department of Rheumatology, William Beaumont Army Medical Center, El Paso, TX, USA.&amp;#xD;Chief, Department of Rheumatology, Walter Reed National Military Medical Center, Bethesda, MD, USA.&lt;/auth-address&gt;&lt;titles&gt;&lt;title&gt;Hydroxychloroquine: An old drug with new relevance&lt;/title&gt;&lt;secondary-title&gt;Cleve Clin J Med&lt;/secondary-title&gt;&lt;/titles&gt;&lt;periodical&gt;&lt;full-title&gt;Cleve Clin J Med&lt;/full-title&gt;&lt;/periodical&gt;&lt;pages&gt;459-467&lt;/pages&gt;&lt;volume&gt;85&lt;/volume&gt;&lt;number&gt;6&lt;/number&gt;&lt;edition&gt;2018/06/09&lt;/edition&gt;&lt;keywords&gt;&lt;keyword&gt;Adult&lt;/keyword&gt;&lt;keyword&gt;Antirheumatic Agents/*pharmacology&lt;/keyword&gt;&lt;keyword&gt;Female&lt;/keyword&gt;&lt;keyword&gt;Humans&lt;/keyword&gt;&lt;keyword&gt;Hydroxychloroquine/*pharmacology&lt;/keyword&gt;&lt;keyword&gt;Hyperpigmentation/chemically induced&lt;/keyword&gt;&lt;keyword&gt;Lupus Erythematosus, Systemic/*drug therapy&lt;/keyword&gt;&lt;keyword&gt;Muscular Diseases/chemically induced&lt;/keyword&gt;&lt;keyword&gt;Retinal Diseases/chemically induced&lt;/keyword&gt;&lt;/keywords&gt;&lt;dates&gt;&lt;year&gt;2018&lt;/year&gt;&lt;pub-dates&gt;&lt;date&gt;Jun&lt;/date&gt;&lt;/pub-dates&gt;&lt;/dates&gt;&lt;isbn&gt;1939-2869 (Electronic)&amp;#xD;0891-1150 (Linking)&lt;/isbn&gt;&lt;accession-num&gt;29883308&lt;/accession-num&gt;&lt;urls&gt;&lt;related-urls&gt;&lt;url&gt;https://www.ncbi.nlm.nih.gov/pubmed/29883308&lt;/url&gt;&lt;/related-urls&gt;&lt;/urls&gt;&lt;electronic-resource-num&gt;10.3949/ccjm.85a.17034&lt;/electronic-resource-num&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13</w:t>
        </w:r>
        <w:r w:rsidR="00415001" w:rsidRPr="003C529C">
          <w:rPr>
            <w:rFonts w:ascii="Arial" w:hAnsi="Arial" w:cs="Arial"/>
            <w:sz w:val="22"/>
            <w:szCs w:val="22"/>
          </w:rPr>
          <w:fldChar w:fldCharType="end"/>
        </w:r>
      </w:hyperlink>
      <w:r w:rsidR="000730D6" w:rsidRPr="003C529C">
        <w:rPr>
          <w:rFonts w:ascii="Arial" w:hAnsi="Arial" w:cs="Arial"/>
          <w:sz w:val="22"/>
          <w:szCs w:val="22"/>
        </w:rPr>
        <w:t xml:space="preserve"> </w:t>
      </w:r>
      <w:r w:rsidR="00F554D1" w:rsidRPr="003C529C">
        <w:rPr>
          <w:rFonts w:ascii="Arial" w:hAnsi="Arial" w:cs="Arial"/>
          <w:sz w:val="22"/>
          <w:szCs w:val="22"/>
        </w:rPr>
        <w:t>The mechanisms of action for HCQ for treatment of rheumatoid arthritis and other autoimmune diseases are still not fully understood despite widespread use over the past 60 years</w:t>
      </w:r>
      <w:r w:rsidR="000730D6" w:rsidRPr="003C529C">
        <w:rPr>
          <w:rFonts w:ascii="Arial" w:hAnsi="Arial" w:cs="Arial"/>
          <w:sz w:val="22"/>
          <w:szCs w:val="22"/>
        </w:rPr>
        <w:t>.</w:t>
      </w:r>
      <w:hyperlink w:anchor="_ENREF_14" w:tooltip="Schrezenmeier, 2020 #35"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&lt;EndNote&gt;&lt;Cite&gt;&lt;Author&gt;Schrezenmeier&lt;/Author&gt;&lt;Year&gt;2020&lt;/Year&gt;&lt;RecNum&gt;35&lt;/RecNum&gt;&lt;DisplayText&gt;&lt;style face="superscript"&gt;14&lt;/style&gt;&lt;/DisplayText&gt;&lt;record&gt;&lt;rec-number&gt;35&lt;/rec-number&gt;&lt;foreign-keys&gt;&lt;key app="EN" db-id="052xftpepftv2eepd2b5dps10se2pte52pps" timestamp="1585773544"&gt;35&lt;/key&gt;&lt;/foreign-keys&gt;&lt;ref-type name="Journal Article"&gt;17&lt;/ref-type&gt;&lt;contributors&gt;&lt;authors&gt;&lt;author&gt;Schrezenmeier, E.&lt;/author&gt;&lt;author&gt;Dorner, T.&lt;/author&gt;&lt;/authors&gt;&lt;/contributors&gt;&lt;auth-address&gt;Department of Nephrology and Intensive Medical Care, Charite-Universitatsmedizin Berlin, Berlin, Germany.&amp;#xD;Department of Rheumatology and Clinical Immunology, Charite-Universitatsmedizin Berlin, Berlin, Germany. thomas.doerner@charite.de.&amp;#xD;Deutsches Rheumaforschungszentrum (DRFZ), Berlin, Germany. thomas.doerner@charite.de.&lt;/auth-address&gt;&lt;titles&gt;&lt;title&gt;Mechanisms of action of hydroxychloroquine and chloroquine: implications for rheumatology&lt;/title&gt;&lt;secondary-title&gt;Nat Rev Rheumatol&lt;/secondary-title&gt;&lt;/titles&gt;&lt;periodical&gt;&lt;full-title&gt;Nat Rev Rheumatol&lt;/full-title&gt;&lt;/periodical&gt;&lt;pages&gt;155-166&lt;/pages&gt;&lt;volume&gt;16&lt;/volume&gt;&lt;number&gt;3&lt;/number&gt;&lt;edition&gt;2020/02/09&lt;/edition&gt;&lt;dates&gt;&lt;year&gt;2020&lt;/year&gt;&lt;pub-dates&gt;&lt;date&gt;Mar&lt;/date&gt;&lt;/pub-dates&gt;&lt;/dates&gt;&lt;isbn&gt;1759-4804 (Electronic)&amp;#xD;1759-4790 (Linking)&lt;/isbn&gt;&lt;accession-num&gt;32034323&lt;/accession-num&gt;&lt;urls&gt;&lt;related-urls&gt;&lt;url&gt;https://www.ncbi.nlm.nih.gov/pubmed/32034323&lt;/url&gt;&lt;/related-urls&gt;&lt;/urls&gt;&lt;electronic-resource-num&gt;10.1038/s41584-020-0372-x&lt;/electronic-resource-num&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14</w:t>
        </w:r>
        <w:r w:rsidR="00415001" w:rsidRPr="003C529C">
          <w:rPr>
            <w:rFonts w:ascii="Arial" w:hAnsi="Arial" w:cs="Arial"/>
            <w:sz w:val="22"/>
            <w:szCs w:val="22"/>
          </w:rPr>
          <w:fldChar w:fldCharType="end"/>
        </w:r>
      </w:hyperlink>
    </w:p>
    <w:p w14:paraId="49B68FE8" w14:textId="70EF7A78" w:rsidR="00F554D1" w:rsidRPr="003C529C" w:rsidRDefault="00F554D1" w:rsidP="00FB2D39">
      <w:pPr>
        <w:jc w:val="both"/>
        <w:rPr>
          <w:rFonts w:ascii="Arial" w:hAnsi="Arial" w:cs="Arial"/>
          <w:sz w:val="22"/>
          <w:szCs w:val="22"/>
        </w:rPr>
      </w:pPr>
      <w:r w:rsidRPr="003C529C">
        <w:rPr>
          <w:rFonts w:ascii="Arial" w:hAnsi="Arial" w:cs="Arial"/>
          <w:sz w:val="22"/>
          <w:szCs w:val="22"/>
        </w:rPr>
        <w:t>CQ and HCQ have been proposed as potential agents for treatment and prevention against other infectious agents beyond malari</w:t>
      </w:r>
      <w:r w:rsidR="000730D6" w:rsidRPr="003C529C">
        <w:rPr>
          <w:rFonts w:ascii="Arial" w:hAnsi="Arial" w:cs="Arial"/>
          <w:sz w:val="22"/>
          <w:szCs w:val="22"/>
        </w:rPr>
        <w:t>a.</w:t>
      </w:r>
      <w:r w:rsidR="000730D6" w:rsidRPr="003C529C">
        <w:rPr>
          <w:rFonts w:ascii="Arial" w:hAnsi="Arial" w:cs="Arial"/>
          <w:sz w:val="22"/>
          <w:szCs w:val="22"/>
        </w:rPr>
        <w:fldChar w:fldCharType="begin">
          <w:fldData xml:space="preserve">PEVuZE5vdGU+PENpdGU+PEF1dGhvcj5Sb2xhaW48L0F1dGhvcj48WWVhcj4yMDA3PC9ZZWFyPjxS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</w:fldData>
        </w:fldChar>
      </w:r>
      <w:r w:rsidR="000730D6" w:rsidRPr="003C529C">
        <w:rPr>
          <w:rFonts w:ascii="Arial" w:hAnsi="Arial" w:cs="Arial"/>
          <w:sz w:val="22"/>
          <w:szCs w:val="22"/>
        </w:rPr>
        <w:instrText xml:space="preserve"> ADDIN EN.CITE </w:instrText>
      </w:r>
      <w:r w:rsidR="000730D6" w:rsidRPr="003C529C">
        <w:rPr>
          <w:rFonts w:ascii="Arial" w:hAnsi="Arial" w:cs="Arial"/>
          <w:sz w:val="22"/>
          <w:szCs w:val="22"/>
        </w:rPr>
        <w:fldChar w:fldCharType="begin">
          <w:fldData xml:space="preserve">PEVuZE5vdGU+PENpdGU+PEF1dGhvcj5Sb2xhaW48L0F1dGhvcj48WWVhcj4yMDA3PC9ZZWFyPjxS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</w:fldData>
        </w:fldChar>
      </w:r>
      <w:r w:rsidR="000730D6" w:rsidRPr="003C529C">
        <w:rPr>
          <w:rFonts w:ascii="Arial" w:hAnsi="Arial" w:cs="Arial"/>
          <w:sz w:val="22"/>
          <w:szCs w:val="22"/>
        </w:rPr>
        <w:instrText xml:space="preserve"> ADDIN EN.CITE.DATA </w:instrText>
      </w:r>
      <w:r w:rsidR="000730D6" w:rsidRPr="003C529C">
        <w:rPr>
          <w:rFonts w:ascii="Arial" w:hAnsi="Arial" w:cs="Arial"/>
          <w:sz w:val="22"/>
          <w:szCs w:val="22"/>
        </w:rPr>
      </w:r>
      <w:r w:rsidR="000730D6" w:rsidRPr="003C529C">
        <w:rPr>
          <w:rFonts w:ascii="Arial" w:hAnsi="Arial" w:cs="Arial"/>
          <w:sz w:val="22"/>
          <w:szCs w:val="22"/>
        </w:rPr>
        <w:fldChar w:fldCharType="end"/>
      </w:r>
      <w:r w:rsidR="000730D6" w:rsidRPr="003C529C">
        <w:rPr>
          <w:rFonts w:ascii="Arial" w:hAnsi="Arial" w:cs="Arial"/>
          <w:sz w:val="22"/>
          <w:szCs w:val="22"/>
        </w:rPr>
      </w:r>
      <w:r w:rsidR="000730D6" w:rsidRPr="003C529C">
        <w:rPr>
          <w:rFonts w:ascii="Arial" w:hAnsi="Arial" w:cs="Arial"/>
          <w:sz w:val="22"/>
          <w:szCs w:val="22"/>
        </w:rPr>
        <w:fldChar w:fldCharType="separate"/>
      </w:r>
      <w:hyperlink w:anchor="_ENREF_15" w:tooltip="Rolain, 2007 #32" w:history="1">
        <w:r w:rsidR="00415001" w:rsidRPr="003C529C">
          <w:rPr>
            <w:rFonts w:ascii="Arial" w:hAnsi="Arial" w:cs="Arial"/>
            <w:noProof/>
            <w:sz w:val="22"/>
            <w:szCs w:val="22"/>
            <w:vertAlign w:val="superscript"/>
          </w:rPr>
          <w:t>15</w:t>
        </w:r>
      </w:hyperlink>
      <w:r w:rsidR="000730D6" w:rsidRPr="003C529C">
        <w:rPr>
          <w:rFonts w:ascii="Arial" w:hAnsi="Arial" w:cs="Arial"/>
          <w:noProof/>
          <w:sz w:val="22"/>
          <w:szCs w:val="22"/>
          <w:vertAlign w:val="superscript"/>
        </w:rPr>
        <w:t>,</w:t>
      </w:r>
      <w:hyperlink w:anchor="_ENREF_16" w:tooltip="Savarino, 2015 #33" w:history="1">
        <w:r w:rsidR="00415001" w:rsidRPr="003C529C">
          <w:rPr>
            <w:rFonts w:ascii="Arial" w:hAnsi="Arial" w:cs="Arial"/>
            <w:noProof/>
            <w:sz w:val="22"/>
            <w:szCs w:val="22"/>
            <w:vertAlign w:val="superscript"/>
          </w:rPr>
          <w:t>16</w:t>
        </w:r>
      </w:hyperlink>
      <w:r w:rsidR="000730D6" w:rsidRPr="003C529C">
        <w:rPr>
          <w:rFonts w:ascii="Arial" w:hAnsi="Arial" w:cs="Arial"/>
          <w:sz w:val="22"/>
          <w:szCs w:val="22"/>
        </w:rPr>
        <w:fldChar w:fldCharType="end"/>
      </w:r>
      <w:r w:rsidR="000730D6" w:rsidRPr="003C529C">
        <w:rPr>
          <w:rFonts w:ascii="Arial" w:hAnsi="Arial" w:cs="Arial"/>
          <w:sz w:val="22"/>
          <w:szCs w:val="22"/>
        </w:rPr>
        <w:t xml:space="preserve"> </w:t>
      </w:r>
      <w:r w:rsidRPr="003C529C">
        <w:rPr>
          <w:rFonts w:ascii="Arial" w:hAnsi="Arial" w:cs="Arial"/>
          <w:sz w:val="22"/>
          <w:szCs w:val="22"/>
        </w:rPr>
        <w:t>The mechanism of action differs according to the pathogen: against intracellular bacteria and fungi by alkalinizing vacuoles containing the microorganisms, restoring the activity of other antibiotics, and against viral replication through alkalization of acidic organelles, namely endosomes, lysosomes, and Golgi vesicles.</w:t>
      </w:r>
    </w:p>
    <w:p w14:paraId="7BBBA62C" w14:textId="0BC00276" w:rsidR="00F554D1" w:rsidRPr="003C529C" w:rsidRDefault="00F554D1" w:rsidP="00FB2D39">
      <w:pPr>
        <w:jc w:val="both"/>
        <w:rPr>
          <w:rFonts w:ascii="Arial" w:hAnsi="Arial" w:cs="Arial"/>
          <w:sz w:val="22"/>
          <w:szCs w:val="22"/>
        </w:rPr>
      </w:pPr>
      <w:r w:rsidRPr="003C529C">
        <w:rPr>
          <w:rFonts w:ascii="Arial" w:hAnsi="Arial" w:cs="Arial"/>
          <w:sz w:val="22"/>
          <w:szCs w:val="22"/>
        </w:rPr>
        <w:t xml:space="preserve">CQ is effective </w:t>
      </w:r>
      <w:r w:rsidRPr="003C529C">
        <w:rPr>
          <w:rFonts w:ascii="Arial" w:hAnsi="Arial" w:cs="Arial"/>
          <w:i/>
          <w:sz w:val="22"/>
          <w:szCs w:val="22"/>
        </w:rPr>
        <w:t>in vitro</w:t>
      </w:r>
      <w:r w:rsidRPr="003C529C">
        <w:rPr>
          <w:rFonts w:ascii="Arial" w:hAnsi="Arial" w:cs="Arial"/>
          <w:sz w:val="22"/>
          <w:szCs w:val="22"/>
        </w:rPr>
        <w:t xml:space="preserve"> against SARS-</w:t>
      </w:r>
      <w:proofErr w:type="spellStart"/>
      <w:r w:rsidRPr="003C529C">
        <w:rPr>
          <w:rFonts w:ascii="Arial" w:hAnsi="Arial" w:cs="Arial"/>
          <w:sz w:val="22"/>
          <w:szCs w:val="22"/>
        </w:rPr>
        <w:t>CoV</w:t>
      </w:r>
      <w:proofErr w:type="spellEnd"/>
      <w:r w:rsidRPr="003C529C">
        <w:rPr>
          <w:rFonts w:ascii="Arial" w:hAnsi="Arial" w:cs="Arial"/>
          <w:sz w:val="22"/>
          <w:szCs w:val="22"/>
        </w:rPr>
        <w:t xml:space="preserve"> coronavirus in Vero E6 cells with the EC</w:t>
      </w:r>
      <w:r w:rsidRPr="003C529C">
        <w:rPr>
          <w:rFonts w:ascii="Arial" w:hAnsi="Arial" w:cs="Arial"/>
          <w:sz w:val="22"/>
          <w:szCs w:val="22"/>
          <w:vertAlign w:val="subscript"/>
        </w:rPr>
        <w:t>50</w:t>
      </w:r>
      <w:r w:rsidRPr="003C529C">
        <w:rPr>
          <w:rFonts w:ascii="Arial" w:hAnsi="Arial" w:cs="Arial"/>
          <w:sz w:val="22"/>
          <w:szCs w:val="22"/>
        </w:rPr>
        <w:t xml:space="preserve"> ~8</w:t>
      </w:r>
      <w:r w:rsidR="0037583F" w:rsidRPr="003C529C">
        <w:rPr>
          <w:rFonts w:ascii="Arial" w:hAnsi="Arial" w:cs="Arial"/>
          <w:sz w:val="22"/>
          <w:szCs w:val="22"/>
        </w:rPr>
        <w:t>µ</w:t>
      </w:r>
      <w:r w:rsidRPr="003C529C">
        <w:rPr>
          <w:rFonts w:ascii="Arial" w:hAnsi="Arial" w:cs="Arial"/>
          <w:sz w:val="22"/>
          <w:szCs w:val="22"/>
        </w:rPr>
        <w:t>M</w:t>
      </w:r>
      <w:hyperlink w:anchor="_ENREF_17" w:tooltip="Keyaerts, 2004 #22" w:history="1">
        <w:r w:rsidR="00415001" w:rsidRPr="003C529C">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&lt;EndNote&gt;&lt;Cite&gt;&lt;Author&gt;Keyaerts&lt;/Author&gt;&lt;Year&gt;2004&lt;/Year&gt;&lt;RecNum&gt;22&lt;/RecNum&gt;&lt;DisplayText&gt;&lt;style face="superscript"&gt;17&lt;/style&gt;&lt;/DisplayText&gt;&lt;record&gt;&lt;rec-number&gt;22&lt;/rec-number&gt;&lt;foreign-keys&gt;&lt;key app="EN" db-id="052xftpepftv2eepd2b5dps10se2pte52pps" timestamp="1585773544"&gt;22&lt;/key&gt;&lt;/foreign-keys&gt;&lt;ref-type name="Journal Article"&gt;17&lt;/ref-type&gt;&lt;contributors&gt;&lt;authors&gt;&lt;author&gt;Keyaerts, E.&lt;/author&gt;&lt;author&gt;Vijgen, L.&lt;/author&gt;&lt;author&gt;Maes, P.&lt;/author&gt;&lt;author&gt;Neyts, J.&lt;/author&gt;&lt;author&gt;Van Ranst, M.&lt;/author&gt;&lt;/authors&gt;&lt;/contributors&gt;&lt;auth-address&gt;Rega Institute for Medical Research, University of Leuven, 3000 Leuven, Belgium.&lt;/auth-address&gt;&lt;titles&gt;&lt;title&gt;In vitro inhibition of severe acute respiratory syndrome coronavirus by chloroquine&lt;/title&gt;&lt;secondary-title&gt;Biochem Biophys Res Commun&lt;/secondary-title&gt;&lt;/titles&gt;&lt;periodical&gt;&lt;full-title&gt;Biochem Biophys Res Commun&lt;/full-title&gt;&lt;/periodical&gt;&lt;pages&gt;264-8&lt;/pages&gt;&lt;volume&gt;323&lt;/volume&gt;&lt;number&gt;1&lt;/number&gt;&lt;edition&gt;2004/09/08&lt;/edition&gt;&lt;keywords&gt;&lt;keyword&gt;Animals&lt;/keyword&gt;&lt;keyword&gt;Antimalarials/pharmacology&lt;/keyword&gt;&lt;keyword&gt;Antiviral Agents/pharmacology&lt;/keyword&gt;&lt;keyword&gt;Chlorocebus aethiops&lt;/keyword&gt;&lt;keyword&gt;Chloroquine/*pharmacology&lt;/keyword&gt;&lt;keyword&gt;Dose-Response Relationship, Drug&lt;/keyword&gt;&lt;keyword&gt;Humans&lt;/keyword&gt;&lt;keyword&gt;Inhibitory Concentration 50&lt;/keyword&gt;&lt;keyword&gt;RNA, Complementary/metabolism&lt;/keyword&gt;&lt;keyword&gt;Reverse Transcriptase Polymerase Chain Reaction&lt;/keyword&gt;&lt;keyword&gt;SARS Virus/*metabolism&lt;/keyword&gt;&lt;keyword&gt;Severe Acute Respiratory Syndrome/*drug therapy&lt;/keyword&gt;&lt;keyword&gt;Time Factors&lt;/keyword&gt;&lt;keyword&gt;Vero Cells&lt;/keyword&gt;&lt;keyword&gt;Virus Replication&lt;/keyword&gt;&lt;/keywords&gt;&lt;dates&gt;&lt;year&gt;2004&lt;/year&gt;&lt;pub-dates&gt;&lt;date&gt;Oct 8&lt;/date&gt;&lt;/pub-dates&gt;&lt;/dates&gt;&lt;isbn&gt;0006-291X (Print)&amp;#xD;0006-291X (Linking)&lt;/isbn&gt;&lt;accession-num&gt;15351731&lt;/accession-num&gt;&lt;urls&gt;&lt;related-urls&gt;&lt;url&gt;https://www.ncbi.nlm.nih.gov/pubmed/15351731&lt;/url&gt;&lt;/related-urls&gt;&lt;/urls&gt;&lt;custom2&gt;PMC7092815&lt;/custom2&gt;&lt;electronic-resource-num&gt;10.1016/j.bbrc.2004.08.085&lt;/electronic-resource-num&gt;&lt;/record&gt;&lt;/Cite&gt;&lt;/EndNote&gt;</w:instrText>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17</w:t>
        </w:r>
        <w:r w:rsidR="00415001" w:rsidRPr="003C529C">
          <w:rPr>
            <w:rFonts w:ascii="Arial" w:hAnsi="Arial" w:cs="Arial"/>
            <w:sz w:val="22"/>
            <w:szCs w:val="22"/>
          </w:rPr>
          <w:fldChar w:fldCharType="end"/>
        </w:r>
      </w:hyperlink>
      <w:r w:rsidR="000730D6" w:rsidRPr="003C529C">
        <w:rPr>
          <w:rFonts w:ascii="Arial" w:hAnsi="Arial" w:cs="Arial"/>
          <w:sz w:val="22"/>
          <w:szCs w:val="22"/>
        </w:rPr>
        <w:t xml:space="preserve"> </w:t>
      </w:r>
      <w:r w:rsidRPr="003C529C">
        <w:rPr>
          <w:rFonts w:ascii="Arial" w:hAnsi="Arial" w:cs="Arial"/>
          <w:sz w:val="22"/>
          <w:szCs w:val="22"/>
        </w:rPr>
        <w:t>and had shown evidence of prevention activity in vivo.</w:t>
      </w:r>
      <w:hyperlink w:anchor="_ENREF_18" w:tooltip="Vincent, 2005 #40" w:history="1">
        <w:r w:rsidR="00415001" w:rsidRPr="003C529C">
          <w:rPr>
            <w:rFonts w:ascii="Arial" w:hAnsi="Arial" w:cs="Arial"/>
            <w:sz w:val="22"/>
            <w:szCs w:val="22"/>
          </w:rPr>
          <w:fldChar w:fldCharType="begin">
            <w:fldData xml:space="preserve">PEVuZE5vdGU+PENpdGU+PEF1dGhvcj5WaW5jZW50PC9BdXRob3I+PFllYXI+MjAwNTwvWWVhcj48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PEVuZE5vdGU+PENpdGU+PEF1dGhvcj5WaW5jZW50PC9BdXRob3I+PFllYXI+MjAwNTwvWWVhcj48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18</w:t>
        </w:r>
        <w:r w:rsidR="00415001" w:rsidRPr="003C529C">
          <w:rPr>
            <w:rFonts w:ascii="Arial" w:hAnsi="Arial" w:cs="Arial"/>
            <w:sz w:val="22"/>
            <w:szCs w:val="22"/>
          </w:rPr>
          <w:fldChar w:fldCharType="end"/>
        </w:r>
      </w:hyperlink>
      <w:r w:rsidRPr="003C529C">
        <w:rPr>
          <w:rFonts w:ascii="Arial" w:hAnsi="Arial" w:cs="Arial"/>
          <w:sz w:val="22"/>
          <w:szCs w:val="22"/>
        </w:rPr>
        <w:t xml:space="preserve"> Hence, these re-purposed drugs were obvious hits for testing against SARS</w:t>
      </w:r>
      <w:r w:rsidRPr="003C529C">
        <w:rPr>
          <w:rFonts w:ascii="Arial" w:hAnsi="Arial" w:cs="Arial"/>
          <w:sz w:val="22"/>
          <w:szCs w:val="22"/>
        </w:rPr>
        <w:noBreakHyphen/>
        <w:t xml:space="preserve">CoV-2. </w:t>
      </w:r>
      <w:r w:rsidRPr="003C529C">
        <w:rPr>
          <w:rFonts w:ascii="Arial" w:hAnsi="Arial" w:cs="Arial"/>
          <w:i/>
          <w:sz w:val="22"/>
          <w:szCs w:val="22"/>
        </w:rPr>
        <w:t>In vitro</w:t>
      </w:r>
      <w:r w:rsidRPr="003C529C">
        <w:rPr>
          <w:rFonts w:ascii="Arial" w:hAnsi="Arial" w:cs="Arial"/>
          <w:sz w:val="22"/>
          <w:szCs w:val="22"/>
        </w:rPr>
        <w:t xml:space="preserve"> inhibition in Vero E6 cells against the novel coronavirus, SARS-CoV-2, has been published in recent weeks. Wang et al (2020) showed that the EC</w:t>
      </w:r>
      <w:r w:rsidRPr="003C529C">
        <w:rPr>
          <w:rFonts w:ascii="Arial" w:hAnsi="Arial" w:cs="Arial"/>
          <w:sz w:val="22"/>
          <w:szCs w:val="22"/>
          <w:vertAlign w:val="subscript"/>
        </w:rPr>
        <w:t>50</w:t>
      </w:r>
      <w:r w:rsidRPr="003C529C">
        <w:rPr>
          <w:rFonts w:ascii="Arial" w:hAnsi="Arial" w:cs="Arial"/>
          <w:sz w:val="22"/>
          <w:szCs w:val="22"/>
        </w:rPr>
        <w:t xml:space="preserve"> and EC</w:t>
      </w:r>
      <w:r w:rsidRPr="003C529C">
        <w:rPr>
          <w:rFonts w:ascii="Arial" w:hAnsi="Arial" w:cs="Arial"/>
          <w:sz w:val="22"/>
          <w:szCs w:val="22"/>
          <w:vertAlign w:val="subscript"/>
        </w:rPr>
        <w:t>90</w:t>
      </w:r>
      <w:r w:rsidRPr="003C529C">
        <w:rPr>
          <w:rFonts w:ascii="Arial" w:hAnsi="Arial" w:cs="Arial"/>
          <w:sz w:val="22"/>
          <w:szCs w:val="22"/>
        </w:rPr>
        <w:t xml:space="preserve"> for CQ in Vero E6 cells is 1.13 </w:t>
      </w:r>
      <w:r w:rsidR="00AC246A" w:rsidRPr="003C529C">
        <w:rPr>
          <w:rFonts w:ascii="Arial" w:hAnsi="Arial" w:cs="Arial"/>
          <w:sz w:val="22"/>
          <w:szCs w:val="22"/>
        </w:rPr>
        <w:t>µ</w:t>
      </w:r>
      <w:r w:rsidRPr="003C529C">
        <w:rPr>
          <w:rFonts w:ascii="Arial" w:hAnsi="Arial" w:cs="Arial"/>
          <w:sz w:val="22"/>
          <w:szCs w:val="22"/>
        </w:rPr>
        <w:t>M and 6.90 </w:t>
      </w:r>
      <w:r w:rsidR="00AC246A" w:rsidRPr="003C529C">
        <w:rPr>
          <w:rFonts w:ascii="Arial" w:hAnsi="Arial" w:cs="Arial"/>
          <w:sz w:val="22"/>
          <w:szCs w:val="22"/>
        </w:rPr>
        <w:t>µ</w:t>
      </w:r>
      <w:r w:rsidRPr="003C529C">
        <w:rPr>
          <w:rFonts w:ascii="Arial" w:hAnsi="Arial" w:cs="Arial"/>
          <w:sz w:val="22"/>
          <w:szCs w:val="22"/>
        </w:rPr>
        <w:t>M, respectively</w:t>
      </w:r>
      <w:r w:rsidR="000730D6" w:rsidRPr="003C529C">
        <w:rPr>
          <w:rFonts w:ascii="Arial" w:hAnsi="Arial" w:cs="Arial"/>
          <w:sz w:val="22"/>
          <w:szCs w:val="22"/>
        </w:rPr>
        <w:t>.</w:t>
      </w:r>
      <w:hyperlink w:anchor="_ENREF_19" w:tooltip="Wang, 2020 #41" w:history="1">
        <w:r w:rsidR="00415001" w:rsidRPr="003C529C">
          <w:rPr>
            <w:rFonts w:ascii="Arial" w:hAnsi="Arial" w:cs="Arial"/>
            <w:sz w:val="22"/>
            <w:szCs w:val="22"/>
          </w:rPr>
          <w:fldChar w:fldCharType="begin">
            <w:fldData xml:space="preserve">PEVuZE5vdGU+PENpdGU+PEF1dGhvcj5XYW5nPC9BdXRob3I+PFllYXI+MjAyMDwvWWVhcj48UmVj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PEVuZE5vdGU+PENpdGU+PEF1dGhvcj5XYW5nPC9BdXRob3I+PFllYXI+MjAyMDwvWWVhcj48UmVj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19</w:t>
        </w:r>
        <w:r w:rsidR="00415001" w:rsidRPr="003C529C">
          <w:rPr>
            <w:rFonts w:ascii="Arial" w:hAnsi="Arial" w:cs="Arial"/>
            <w:sz w:val="22"/>
            <w:szCs w:val="22"/>
          </w:rPr>
          <w:fldChar w:fldCharType="end"/>
        </w:r>
      </w:hyperlink>
      <w:r w:rsidR="000730D6" w:rsidRPr="003C529C">
        <w:rPr>
          <w:rFonts w:ascii="Arial" w:hAnsi="Arial" w:cs="Arial"/>
          <w:sz w:val="22"/>
          <w:szCs w:val="22"/>
        </w:rPr>
        <w:t xml:space="preserve"> </w:t>
      </w:r>
      <w:r w:rsidRPr="003C529C">
        <w:rPr>
          <w:rFonts w:ascii="Arial" w:hAnsi="Arial" w:cs="Arial"/>
          <w:sz w:val="22"/>
          <w:szCs w:val="22"/>
        </w:rPr>
        <w:t>Yao et al (2020) showed that the EC</w:t>
      </w:r>
      <w:r w:rsidRPr="003C529C">
        <w:rPr>
          <w:rFonts w:ascii="Arial" w:hAnsi="Arial" w:cs="Arial"/>
          <w:sz w:val="22"/>
          <w:szCs w:val="22"/>
          <w:vertAlign w:val="subscript"/>
        </w:rPr>
        <w:t>50</w:t>
      </w:r>
      <w:r w:rsidRPr="003C529C">
        <w:rPr>
          <w:rFonts w:ascii="Arial" w:hAnsi="Arial" w:cs="Arial"/>
          <w:sz w:val="22"/>
          <w:szCs w:val="22"/>
        </w:rPr>
        <w:t xml:space="preserve"> for CQ treatment of infected cells at 48 hours was </w:t>
      </w:r>
      <w:bookmarkStart w:id="15" w:name="_Hlk34559227"/>
      <w:r w:rsidRPr="003C529C">
        <w:rPr>
          <w:rFonts w:ascii="Arial" w:hAnsi="Arial" w:cs="Arial"/>
          <w:sz w:val="22"/>
          <w:szCs w:val="22"/>
        </w:rPr>
        <w:t>5.47 </w:t>
      </w:r>
      <w:r w:rsidR="00AC246A" w:rsidRPr="003C529C">
        <w:rPr>
          <w:rFonts w:ascii="Arial" w:hAnsi="Arial" w:cs="Arial"/>
          <w:sz w:val="22"/>
          <w:szCs w:val="22"/>
        </w:rPr>
        <w:t>µ</w:t>
      </w:r>
      <w:r w:rsidRPr="003C529C">
        <w:rPr>
          <w:rFonts w:ascii="Arial" w:hAnsi="Arial" w:cs="Arial"/>
          <w:sz w:val="22"/>
          <w:szCs w:val="22"/>
        </w:rPr>
        <w:t>M</w:t>
      </w:r>
      <w:bookmarkEnd w:id="15"/>
      <w:r w:rsidRPr="003C529C">
        <w:rPr>
          <w:rFonts w:ascii="Arial" w:hAnsi="Arial" w:cs="Arial"/>
          <w:sz w:val="22"/>
          <w:szCs w:val="22"/>
        </w:rPr>
        <w:t>, whereas HCQ appeared slightly more potent, with EC</w:t>
      </w:r>
      <w:r w:rsidRPr="003C529C">
        <w:rPr>
          <w:rFonts w:ascii="Arial" w:hAnsi="Arial" w:cs="Arial"/>
          <w:sz w:val="22"/>
          <w:szCs w:val="22"/>
          <w:vertAlign w:val="subscript"/>
        </w:rPr>
        <w:t>50</w:t>
      </w:r>
      <w:r w:rsidRPr="003C529C">
        <w:rPr>
          <w:rFonts w:ascii="Arial" w:hAnsi="Arial" w:cs="Arial"/>
          <w:sz w:val="22"/>
          <w:szCs w:val="22"/>
        </w:rPr>
        <w:t xml:space="preserve"> of 0.72 </w:t>
      </w:r>
      <w:r w:rsidR="00AC246A" w:rsidRPr="003C529C">
        <w:rPr>
          <w:rFonts w:ascii="Arial" w:hAnsi="Arial" w:cs="Arial"/>
          <w:sz w:val="22"/>
          <w:szCs w:val="22"/>
        </w:rPr>
        <w:t>µ</w:t>
      </w:r>
      <w:r w:rsidRPr="003C529C">
        <w:rPr>
          <w:rFonts w:ascii="Arial" w:hAnsi="Arial" w:cs="Arial"/>
          <w:sz w:val="22"/>
          <w:szCs w:val="22"/>
        </w:rPr>
        <w:t>M at 48 hours</w:t>
      </w:r>
      <w:r w:rsidR="000730D6" w:rsidRPr="003C529C">
        <w:rPr>
          <w:rFonts w:ascii="Arial" w:hAnsi="Arial" w:cs="Arial"/>
          <w:sz w:val="22"/>
          <w:szCs w:val="22"/>
        </w:rPr>
        <w:t>.</w:t>
      </w:r>
      <w:hyperlink w:anchor="_ENREF_20" w:tooltip="Yao, 2020 #44" w:history="1">
        <w:r w:rsidR="00415001" w:rsidRPr="003C529C">
          <w:rPr>
            <w:rFonts w:ascii="Arial" w:hAnsi="Arial" w:cs="Arial"/>
            <w:sz w:val="22"/>
            <w:szCs w:val="22"/>
          </w:rPr>
          <w:fldChar w:fldCharType="begin">
            <w:fldData xml:space="preserve">PEVuZE5vdGU+PENpdGU+PEF1dGhvcj5ZYW88L0F1dGhvcj48WWVhcj4yMDIwPC9ZZWFyPjxSZWNO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PEVuZE5vdGU+PENpdGU+PEF1dGhvcj5ZYW88L0F1dGhvcj48WWVhcj4yMDIwPC9ZZWFyPjxSZWNO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20</w:t>
        </w:r>
        <w:r w:rsidR="00415001" w:rsidRPr="003C529C">
          <w:rPr>
            <w:rFonts w:ascii="Arial" w:hAnsi="Arial" w:cs="Arial"/>
            <w:sz w:val="22"/>
            <w:szCs w:val="22"/>
          </w:rPr>
          <w:fldChar w:fldCharType="end"/>
        </w:r>
      </w:hyperlink>
      <w:r w:rsidR="000730D6" w:rsidRPr="003C529C">
        <w:rPr>
          <w:rFonts w:ascii="Arial" w:hAnsi="Arial" w:cs="Arial"/>
          <w:sz w:val="22"/>
          <w:szCs w:val="22"/>
        </w:rPr>
        <w:t xml:space="preserve"> </w:t>
      </w:r>
      <w:r w:rsidRPr="003C529C">
        <w:rPr>
          <w:rFonts w:ascii="Arial" w:hAnsi="Arial" w:cs="Arial"/>
          <w:sz w:val="22"/>
          <w:szCs w:val="22"/>
        </w:rPr>
        <w:t>These levels appear to be within the range of exposures that could be achieved with standard HCQ treatment, and likely prophylaxis, due to concentrations of the drug achieved in the lung tissue</w:t>
      </w:r>
      <w:r w:rsidR="000730D6" w:rsidRPr="003C529C">
        <w:rPr>
          <w:rFonts w:ascii="Arial" w:hAnsi="Arial" w:cs="Arial"/>
          <w:sz w:val="22"/>
          <w:szCs w:val="22"/>
        </w:rPr>
        <w:t>.</w:t>
      </w:r>
      <w:hyperlink w:anchor="_ENREF_20" w:tooltip="Yao, 2020 #44" w:history="1">
        <w:r w:rsidR="00415001" w:rsidRPr="003C529C">
          <w:rPr>
            <w:rFonts w:ascii="Arial" w:hAnsi="Arial" w:cs="Arial"/>
            <w:sz w:val="22"/>
            <w:szCs w:val="22"/>
          </w:rPr>
          <w:fldChar w:fldCharType="begin">
            <w:fldData xml:space="preserve">PEVuZE5vdGU+PENpdGU+PEF1dGhvcj5ZYW88L0F1dGhvcj48WWVhcj4yMDIwPC9ZZWFyPjxSZWNO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</w:fldData>
          </w:fldChar>
        </w:r>
        <w:r w:rsidR="00415001" w:rsidRPr="003C529C">
          <w:rPr>
            <w:rFonts w:ascii="Arial" w:hAnsi="Arial" w:cs="Arial"/>
            <w:sz w:val="22"/>
            <w:szCs w:val="22"/>
          </w:rPr>
          <w:instrText xml:space="preserve"> ADDIN EN.CITE </w:instrText>
        </w:r>
        <w:r w:rsidR="00415001" w:rsidRPr="003C529C">
          <w:rPr>
            <w:rFonts w:ascii="Arial" w:hAnsi="Arial" w:cs="Arial"/>
            <w:sz w:val="22"/>
            <w:szCs w:val="22"/>
          </w:rPr>
          <w:fldChar w:fldCharType="begin">
            <w:fldData xml:space="preserve">PEVuZE5vdGU+PENpdGU+PEF1dGhvcj5ZYW88L0F1dGhvcj48WWVhcj4yMDIwPC9ZZWFyPjxSZWNO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</w:fldData>
          </w:fldChar>
        </w:r>
        <w:r w:rsidR="00415001" w:rsidRPr="003C529C">
          <w:rPr>
            <w:rFonts w:ascii="Arial" w:hAnsi="Arial" w:cs="Arial"/>
            <w:sz w:val="22"/>
            <w:szCs w:val="22"/>
          </w:rPr>
          <w:instrText xml:space="preserve"> ADDIN EN.CITE.DATA </w:instrText>
        </w:r>
        <w:r w:rsidR="00415001" w:rsidRPr="003C529C">
          <w:rPr>
            <w:rFonts w:ascii="Arial" w:hAnsi="Arial" w:cs="Arial"/>
            <w:sz w:val="22"/>
            <w:szCs w:val="22"/>
          </w:rPr>
        </w:r>
        <w:r w:rsidR="00415001" w:rsidRPr="003C529C">
          <w:rPr>
            <w:rFonts w:ascii="Arial" w:hAnsi="Arial" w:cs="Arial"/>
            <w:sz w:val="22"/>
            <w:szCs w:val="22"/>
          </w:rPr>
          <w:fldChar w:fldCharType="end"/>
        </w:r>
        <w:r w:rsidR="00415001" w:rsidRPr="003C529C">
          <w:rPr>
            <w:rFonts w:ascii="Arial" w:hAnsi="Arial" w:cs="Arial"/>
            <w:sz w:val="22"/>
            <w:szCs w:val="22"/>
          </w:rPr>
        </w:r>
        <w:r w:rsidR="00415001" w:rsidRPr="003C529C">
          <w:rPr>
            <w:rFonts w:ascii="Arial" w:hAnsi="Arial" w:cs="Arial"/>
            <w:sz w:val="22"/>
            <w:szCs w:val="22"/>
          </w:rPr>
          <w:fldChar w:fldCharType="separate"/>
        </w:r>
        <w:r w:rsidR="00415001" w:rsidRPr="003C529C">
          <w:rPr>
            <w:rFonts w:ascii="Arial" w:hAnsi="Arial" w:cs="Arial"/>
            <w:noProof/>
            <w:sz w:val="22"/>
            <w:szCs w:val="22"/>
            <w:vertAlign w:val="superscript"/>
          </w:rPr>
          <w:t>20</w:t>
        </w:r>
        <w:r w:rsidR="00415001" w:rsidRPr="003C529C">
          <w:rPr>
            <w:rFonts w:ascii="Arial" w:hAnsi="Arial" w:cs="Arial"/>
            <w:sz w:val="22"/>
            <w:szCs w:val="22"/>
          </w:rPr>
          <w:fldChar w:fldCharType="end"/>
        </w:r>
      </w:hyperlink>
      <w:r w:rsidR="000730D6" w:rsidRPr="003C529C">
        <w:rPr>
          <w:rFonts w:ascii="Arial" w:hAnsi="Arial" w:cs="Arial"/>
          <w:sz w:val="22"/>
          <w:szCs w:val="22"/>
        </w:rPr>
        <w:t xml:space="preserve"> </w:t>
      </w:r>
      <w:r w:rsidRPr="003C529C">
        <w:rPr>
          <w:rFonts w:ascii="Arial" w:hAnsi="Arial" w:cs="Arial"/>
          <w:sz w:val="22"/>
          <w:szCs w:val="22"/>
        </w:rPr>
        <w:t xml:space="preserve">No </w:t>
      </w:r>
      <w:r w:rsidRPr="003C529C">
        <w:rPr>
          <w:rFonts w:ascii="Arial" w:hAnsi="Arial" w:cs="Arial"/>
          <w:i/>
          <w:sz w:val="22"/>
          <w:szCs w:val="22"/>
        </w:rPr>
        <w:t>in vitro</w:t>
      </w:r>
      <w:r w:rsidRPr="003C529C">
        <w:rPr>
          <w:rFonts w:ascii="Arial" w:hAnsi="Arial" w:cs="Arial"/>
          <w:sz w:val="22"/>
          <w:szCs w:val="22"/>
        </w:rPr>
        <w:t xml:space="preserve"> data in the lung epithelial cells are available nor are any animal model data.</w:t>
      </w:r>
    </w:p>
    <w:p w14:paraId="68E2DF97" w14:textId="13A28120" w:rsidR="00F554D1" w:rsidRPr="003C529C" w:rsidRDefault="00F554D1" w:rsidP="00FB2D39">
      <w:pPr>
        <w:jc w:val="both"/>
        <w:rPr>
          <w:rFonts w:ascii="Arial" w:hAnsi="Arial" w:cs="Arial"/>
          <w:sz w:val="22"/>
          <w:szCs w:val="22"/>
        </w:rPr>
      </w:pPr>
      <w:r w:rsidRPr="003C529C">
        <w:rPr>
          <w:rFonts w:ascii="Arial" w:hAnsi="Arial" w:cs="Arial"/>
          <w:sz w:val="22"/>
          <w:szCs w:val="22"/>
        </w:rPr>
        <w:t>Multiple observational and small Investigator-initiated COVID-19 pneumonia treatment trials using CQ, HCQ, and variety of other medications are ongoing in China (</w:t>
      </w:r>
      <w:hyperlink r:id="rId24" w:history="1">
        <w:r w:rsidRPr="003C529C">
          <w:rPr>
            <w:rStyle w:val="Hyperlink"/>
            <w:rFonts w:ascii="Arial" w:hAnsi="Arial" w:cs="Arial"/>
            <w:sz w:val="22"/>
            <w:szCs w:val="22"/>
          </w:rPr>
          <w:t>https://www.who.int/emergencies/diseases/novel-coronavirus-2019/global-research-on-novel-coronavirus-2019-ncov</w:t>
        </w:r>
      </w:hyperlink>
      <w:r w:rsidRPr="003C529C">
        <w:rPr>
          <w:rFonts w:ascii="Arial" w:hAnsi="Arial" w:cs="Arial"/>
          <w:sz w:val="22"/>
          <w:szCs w:val="22"/>
        </w:rPr>
        <w:t>). Gao et al reported anecdotal efficacy of CQ as treatment for COVID</w:t>
      </w:r>
      <w:r w:rsidRPr="003C529C">
        <w:rPr>
          <w:rFonts w:ascii="Arial" w:hAnsi="Arial" w:cs="Arial"/>
          <w:sz w:val="22"/>
          <w:szCs w:val="22"/>
        </w:rPr>
        <w:noBreakHyphen/>
        <w:t>19–associated pneumonia.</w:t>
      </w:r>
      <w:hyperlink w:anchor="_ENREF_21" w:tooltip="Gao, 2020 #16" w:history="1">
        <w:r w:rsidR="00415001" w:rsidRPr="006C4819">
          <w:rPr>
            <w:rFonts w:ascii="Arial" w:hAnsi="Arial" w:cs="Arial"/>
            <w:sz w:val="22"/>
            <w:szCs w:val="22"/>
          </w:rPr>
          <w:fldChar w:fldCharType="begin"/>
        </w:r>
        <w:r w:rsidR="00415001" w:rsidRPr="003C529C">
          <w:rPr>
            <w:rFonts w:ascii="Arial" w:hAnsi="Arial" w:cs="Arial"/>
            <w:sz w:val="22"/>
            <w:szCs w:val="22"/>
          </w:rPr>
          <w:instrText xml:space="preserve"> ADDIN EN.CITE &lt;EndNote&gt;&lt;Cite&gt;&lt;Author&gt;Gao&lt;/Author&gt;&lt;Year&gt;2020&lt;/Year&gt;&lt;RecNum&gt;16&lt;/RecNum&gt;&lt;DisplayText&gt;&lt;style face="superscript"&gt;21&lt;/style&gt;&lt;/DisplayText&gt;&lt;record&gt;&lt;rec-number&gt;16&lt;/rec-number&gt;&lt;foreign-keys&gt;&lt;key app="EN" db-id="052xftpepftv2eepd2b5dps10se2pte52pps" timestamp="1585773544"&gt;16&lt;/key&gt;&lt;/foreign-keys&gt;&lt;ref-type name="Journal Article"&gt;17&lt;/ref-type&gt;&lt;contributors&gt;&lt;authors&gt;&lt;author&gt;Gao, J.&lt;/author&gt;&lt;author&gt;Tian, Z.&lt;/author&gt;&lt;author&gt;Yang, X.&lt;/author&gt;&lt;/authors&gt;&lt;/contributors&gt;&lt;auth-address&gt;Department of Pharmacology, School of Pharmacy, Qingdao University, Qingdao, China.&amp;#xD;Department of Pharmacy, Qingdao Municipal Hospital, Qingdao, China.&lt;/auth-address&gt;&lt;titles&gt;&lt;title&gt;Breakthrough: Chloroquine phosphate has shown apparent efficacy in treatment of COVID-19 associated pneumonia in clinical studies&lt;/title&gt;&lt;secondary-title&gt;Biosci Trends&lt;/secondary-title&gt;&lt;/titles&gt;&lt;periodical&gt;&lt;full-title&gt;Biosci Trends&lt;/full-title&gt;&lt;/periodical&gt;&lt;pages&gt;72-73&lt;/pages&gt;&lt;volume&gt;14&lt;/volume&gt;&lt;number&gt;1&lt;/number&gt;&lt;edition&gt;2020/02/20&lt;/edition&gt;&lt;keywords&gt;&lt;keyword&gt;*Betacoronavirus&lt;/keyword&gt;&lt;keyword&gt;China&lt;/keyword&gt;&lt;keyword&gt;Chloroquine/*analogs &amp;amp; derivatives/therapeutic use&lt;/keyword&gt;&lt;keyword&gt;Clinical Trials as Topic&lt;/keyword&gt;&lt;keyword&gt;Coronavirus Infections/*drug therapy&lt;/keyword&gt;&lt;keyword&gt;Drug Repositioning&lt;/keyword&gt;&lt;keyword&gt;Humans&lt;/keyword&gt;&lt;keyword&gt;Multicenter Studies as Topic&lt;/keyword&gt;&lt;keyword&gt;Pneumonia, Viral/*drug therapy&lt;/keyword&gt;&lt;keyword&gt;2019-nCoV&lt;/keyword&gt;&lt;keyword&gt;Covid-19&lt;/keyword&gt;&lt;keyword&gt;SARS-CoV-2&lt;/keyword&gt;&lt;keyword&gt;chloroquine&lt;/keyword&gt;&lt;keyword&gt;pneumonia&lt;/keyword&gt;&lt;/keywords&gt;&lt;dates&gt;&lt;year&gt;2020&lt;/year&gt;&lt;pub-dates&gt;&lt;date&gt;Mar 16&lt;/date&gt;&lt;/pub-dates&gt;&lt;/dates&gt;&lt;isbn&gt;1881-7823 (Electronic)&amp;#xD;1881-7815 (Linking)&lt;/isbn&gt;&lt;accession-num&gt;32074550&lt;/accession-num&gt;&lt;urls&gt;&lt;related-urls&gt;&lt;url&gt;https://www.ncbi.nlm.nih.gov/pubmed/32074550&lt;/url&gt;&lt;/related-urls&gt;&lt;/urls&gt;&lt;electronic-resource-num&gt;10.5582/bst.2020.01047&lt;/electronic-resource-num&gt;&lt;/record&gt;&lt;/Cite&gt;&lt;/EndNote&gt;</w:instrText>
        </w:r>
        <w:r w:rsidR="00415001" w:rsidRPr="006C4819">
          <w:rPr>
            <w:rFonts w:ascii="Arial" w:hAnsi="Arial" w:cs="Arial"/>
            <w:sz w:val="22"/>
            <w:szCs w:val="22"/>
          </w:rPr>
          <w:fldChar w:fldCharType="separate"/>
        </w:r>
        <w:r w:rsidR="00415001" w:rsidRPr="003C529C">
          <w:rPr>
            <w:rFonts w:ascii="Arial" w:hAnsi="Arial" w:cs="Arial"/>
            <w:noProof/>
            <w:sz w:val="22"/>
            <w:szCs w:val="22"/>
            <w:vertAlign w:val="superscript"/>
          </w:rPr>
          <w:t>21</w:t>
        </w:r>
        <w:r w:rsidR="00415001" w:rsidRPr="006C4819">
          <w:rPr>
            <w:rFonts w:ascii="Arial" w:hAnsi="Arial" w:cs="Arial"/>
            <w:sz w:val="22"/>
            <w:szCs w:val="22"/>
          </w:rPr>
          <w:fldChar w:fldCharType="end"/>
        </w:r>
      </w:hyperlink>
      <w:r w:rsidR="000A1A1E" w:rsidRPr="003C529C">
        <w:rPr>
          <w:rFonts w:ascii="Arial" w:hAnsi="Arial" w:cs="Arial"/>
          <w:sz w:val="22"/>
          <w:szCs w:val="22"/>
        </w:rPr>
        <w:t xml:space="preserve"> </w:t>
      </w:r>
    </w:p>
    <w:p w14:paraId="5C406D2F" w14:textId="2581B147" w:rsidR="00400CF1" w:rsidRPr="003C529C" w:rsidRDefault="00400CF1" w:rsidP="00FB2D39">
      <w:pPr>
        <w:jc w:val="both"/>
        <w:rPr>
          <w:rFonts w:ascii="Arial" w:hAnsi="Arial" w:cs="Arial"/>
          <w:sz w:val="22"/>
          <w:szCs w:val="22"/>
        </w:rPr>
      </w:pPr>
      <w:r w:rsidRPr="003C529C">
        <w:rPr>
          <w:rFonts w:ascii="Arial" w:hAnsi="Arial" w:cs="Arial"/>
          <w:sz w:val="22"/>
          <w:szCs w:val="22"/>
        </w:rPr>
        <w:t>Antivirals of relevance to TOGETHER 3:</w:t>
      </w:r>
    </w:p>
    <w:p w14:paraId="01ED1006" w14:textId="77777777" w:rsidR="00415001" w:rsidRPr="003C529C" w:rsidRDefault="00415001" w:rsidP="00FB2D39">
      <w:pPr>
        <w:pStyle w:val="Heading3"/>
        <w:jc w:val="both"/>
      </w:pPr>
      <w:bookmarkStart w:id="16" w:name="_Toc37576877"/>
      <w:bookmarkStart w:id="17" w:name="_Toc38818740"/>
      <w:r w:rsidRPr="003C529C">
        <w:t>Antiviral Effects of Azithromycin Against COVID-19</w:t>
      </w:r>
      <w:bookmarkEnd w:id="16"/>
      <w:bookmarkEnd w:id="17"/>
    </w:p>
    <w:p w14:paraId="6BFB88D6" w14:textId="7CCA4527" w:rsidR="00415001" w:rsidRPr="003C529C" w:rsidRDefault="00415001" w:rsidP="00FB2D39">
      <w:pPr>
        <w:jc w:val="both"/>
        <w:rPr>
          <w:rFonts w:ascii="Arial" w:hAnsi="Arial" w:cs="Arial"/>
          <w:sz w:val="22"/>
          <w:szCs w:val="22"/>
        </w:rPr>
      </w:pPr>
      <w:r w:rsidRPr="003C529C">
        <w:rPr>
          <w:rFonts w:ascii="Arial" w:hAnsi="Arial" w:cs="Arial"/>
          <w:sz w:val="22"/>
          <w:szCs w:val="22"/>
        </w:rPr>
        <w:t>Azithromycin is a broad</w:t>
      </w:r>
      <w:r w:rsidRPr="003C529C">
        <w:rPr>
          <w:rFonts w:ascii="Arial" w:hAnsi="Arial" w:cs="Arial"/>
          <w:sz w:val="22"/>
          <w:szCs w:val="22"/>
        </w:rPr>
        <w:noBreakHyphen/>
        <w:t xml:space="preserve">spectrum azalide antibiotic used to treat a number of bacterial infections, including pneumonia. Azithromycin has shown antiviral activity </w:t>
      </w:r>
      <w:r w:rsidRPr="003C529C">
        <w:rPr>
          <w:rFonts w:ascii="Arial" w:hAnsi="Arial" w:cs="Arial"/>
          <w:i/>
          <w:sz w:val="22"/>
          <w:szCs w:val="22"/>
        </w:rPr>
        <w:t>in vitro</w:t>
      </w:r>
      <w:r w:rsidRPr="003C529C">
        <w:rPr>
          <w:rFonts w:ascii="Arial" w:hAnsi="Arial" w:cs="Arial"/>
          <w:sz w:val="22"/>
          <w:szCs w:val="22"/>
        </w:rPr>
        <w:t xml:space="preserve"> against Zika, Ebola, rhinoviruses, and other respiratory viruses.</w:t>
      </w:r>
      <w:r w:rsidRPr="006C4819">
        <w:rPr>
          <w:rFonts w:ascii="Arial" w:hAnsi="Arial" w:cs="Arial"/>
          <w:sz w:val="22"/>
          <w:szCs w:val="22"/>
        </w:rPr>
        <w:fldChar w:fldCharType="begin">
          <w:fldData xml:space="preserve">PEVuZE5vdGU+PENpdGU+PEF1dGhvcj5HYXV0cmV0PC9BdXRob3I+PFllYXI+MjAyMDwvWWVhcj48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</w:fldData>
        </w:fldChar>
      </w:r>
      <w:r w:rsidRPr="00C261DD">
        <w:rPr>
          <w:rFonts w:ascii="Arial" w:hAnsi="Arial" w:cs="Arial"/>
          <w:sz w:val="22"/>
          <w:szCs w:val="22"/>
        </w:rPr>
        <w:instrText xml:space="preserve"> ADDIN EN.CITE </w:instrText>
      </w:r>
      <w:r w:rsidRPr="00C261DD">
        <w:rPr>
          <w:rFonts w:ascii="Arial" w:hAnsi="Arial" w:cs="Arial"/>
          <w:sz w:val="22"/>
          <w:szCs w:val="22"/>
        </w:rPr>
        <w:fldChar w:fldCharType="begin">
          <w:fldData xml:space="preserve">PEVuZE5vdGU+PENpdGU+PEF1dGhvcj5HYXV0cmV0PC9BdXRob3I+PFllYXI+MjAyMDwvWWVhcj48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</w:fldData>
        </w:fldChar>
      </w:r>
      <w:r w:rsidRPr="00C261DD">
        <w:rPr>
          <w:rFonts w:ascii="Arial" w:hAnsi="Arial" w:cs="Arial"/>
          <w:sz w:val="22"/>
          <w:szCs w:val="22"/>
        </w:rPr>
        <w:instrText xml:space="preserve"> ADDIN EN.CITE.DATA </w:instrText>
      </w:r>
      <w:r w:rsidRPr="00C261DD">
        <w:rPr>
          <w:rFonts w:ascii="Arial" w:hAnsi="Arial" w:cs="Arial"/>
          <w:sz w:val="22"/>
          <w:szCs w:val="22"/>
        </w:rPr>
      </w:r>
      <w:r w:rsidRPr="00C261DD">
        <w:rPr>
          <w:rFonts w:ascii="Arial" w:hAnsi="Arial" w:cs="Arial"/>
          <w:sz w:val="22"/>
          <w:szCs w:val="22"/>
        </w:rPr>
        <w:fldChar w:fldCharType="end"/>
      </w:r>
      <w:r w:rsidRPr="006C4819">
        <w:rPr>
          <w:rFonts w:ascii="Arial" w:hAnsi="Arial" w:cs="Arial"/>
          <w:sz w:val="22"/>
          <w:szCs w:val="22"/>
        </w:rPr>
      </w:r>
      <w:r w:rsidRPr="006C4819">
        <w:rPr>
          <w:rFonts w:ascii="Arial" w:hAnsi="Arial" w:cs="Arial"/>
          <w:sz w:val="22"/>
          <w:szCs w:val="22"/>
        </w:rPr>
        <w:fldChar w:fldCharType="separate"/>
      </w:r>
      <w:hyperlink w:anchor="_ENREF_22" w:tooltip="Gautret, 2020 #17" w:history="1">
        <w:r w:rsidRPr="003C529C">
          <w:rPr>
            <w:rFonts w:ascii="Arial" w:hAnsi="Arial" w:cs="Arial"/>
            <w:noProof/>
            <w:sz w:val="22"/>
            <w:szCs w:val="22"/>
            <w:vertAlign w:val="superscript"/>
          </w:rPr>
          <w:t>22</w:t>
        </w:r>
      </w:hyperlink>
      <w:r w:rsidRPr="003C529C">
        <w:rPr>
          <w:rFonts w:ascii="Arial" w:hAnsi="Arial" w:cs="Arial"/>
          <w:noProof/>
          <w:sz w:val="22"/>
          <w:szCs w:val="22"/>
          <w:vertAlign w:val="superscript"/>
        </w:rPr>
        <w:t>,</w:t>
      </w:r>
      <w:hyperlink w:anchor="_ENREF_23" w:tooltip="Menzel, 2016 #46" w:history="1">
        <w:r w:rsidRPr="003C529C">
          <w:rPr>
            <w:rFonts w:ascii="Arial" w:hAnsi="Arial" w:cs="Arial"/>
            <w:noProof/>
            <w:sz w:val="22"/>
            <w:szCs w:val="22"/>
            <w:vertAlign w:val="superscript"/>
          </w:rPr>
          <w:t>23</w:t>
        </w:r>
      </w:hyperlink>
      <w:r w:rsidRPr="006C4819">
        <w:rPr>
          <w:rFonts w:ascii="Arial" w:hAnsi="Arial" w:cs="Arial"/>
          <w:sz w:val="22"/>
          <w:szCs w:val="22"/>
        </w:rPr>
        <w:fldChar w:fldCharType="end"/>
      </w:r>
      <w:r w:rsidRPr="003C529C">
        <w:rPr>
          <w:rFonts w:ascii="Arial" w:hAnsi="Arial" w:cs="Arial"/>
          <w:sz w:val="22"/>
          <w:szCs w:val="22"/>
        </w:rPr>
        <w:t xml:space="preserve"> Although the mechanism of its antiviral activity is not clear, some findings suggest it may be associated with augmentation of interferon response.</w:t>
      </w:r>
      <w:hyperlink w:anchor="_ENREF_23" w:tooltip="Menzel, 2016 #46" w:history="1">
        <w:r w:rsidRPr="006C4819">
          <w:rPr>
            <w:rFonts w:ascii="Arial" w:hAnsi="Arial" w:cs="Arial"/>
            <w:sz w:val="22"/>
            <w:szCs w:val="22"/>
          </w:rPr>
          <w:fldChar w:fldCharType="begin"/>
        </w:r>
        <w:r w:rsidRPr="003C529C">
          <w:rPr>
            <w:rFonts w:ascii="Arial" w:hAnsi="Arial" w:cs="Arial"/>
            <w:sz w:val="22"/>
            <w:szCs w:val="22"/>
          </w:rPr>
          <w:instrText xml:space="preserve"> ADDIN EN.CITE &lt;EndNote&gt;&lt;Cite&gt;&lt;Author&gt;Menzel&lt;/Author&gt;&lt;Year&gt;2016&lt;/Year&gt;&lt;RecNum&gt;46&lt;/RecNum&gt;&lt;DisplayText&gt;&lt;style face="superscript"&gt;23&lt;/style&gt;&lt;/DisplayText&gt;&lt;record&gt;&lt;rec-number&gt;46&lt;/rec-number&gt;&lt;foreign-keys&gt;&lt;key app="EN" db-id="052xftpepftv2eepd2b5dps10se2pte52pps" timestamp="1587946684"&gt;46&lt;/key&gt;&lt;/foreign-keys&gt;&lt;ref-type name="Journal Article"&gt;17&lt;/ref-type&gt;&lt;contributors&gt;&lt;authors&gt;&lt;author&gt;Menzel, M.&lt;/author&gt;&lt;author&gt;Akbarshahi, H.&lt;/author&gt;&lt;author&gt;Bjermer, L.&lt;/author&gt;&lt;author&gt;Uller, L.&lt;/author&gt;&lt;/authors&gt;&lt;/contributors&gt;&lt;auth-address&gt;Respiratory Immunopharmacology, Department of Experimental Medical Science, Lund University, Sweden.&amp;#xD;Lung medicine and Allergology, Department of Clinical Sciences, Lund University, Sweden.&lt;/auth-address&gt;&lt;titles&gt;&lt;title&gt;Azithromycin induces anti-viral effects in cultured bronchial epithelial cells from COPD patients&lt;/title&gt;&lt;secondary-title&gt;Sci Rep&lt;/secondary-title&gt;&lt;/titles&gt;&lt;periodical&gt;&lt;full-title&gt;Sci Rep&lt;/full-title&gt;&lt;/periodical&gt;&lt;pages&gt;28698&lt;/pages&gt;&lt;volume&gt;6&lt;/volume&gt;&lt;edition&gt;2016/06/29&lt;/edition&gt;&lt;keywords&gt;&lt;keyword&gt;Aged&lt;/keyword&gt;&lt;keyword&gt;Azithromycin/*pharmacology&lt;/keyword&gt;&lt;keyword&gt;Bronchi/*immunology/virology&lt;/keyword&gt;&lt;keyword&gt;Epithelial Cells/*immunology/virology&lt;/keyword&gt;&lt;keyword&gt;Female&lt;/keyword&gt;&lt;keyword&gt;Humans&lt;/keyword&gt;&lt;keyword&gt;Immunity, Innate/*drug effects&lt;/keyword&gt;&lt;keyword&gt;Interferon-beta/immunology&lt;/keyword&gt;&lt;keyword&gt;Male&lt;/keyword&gt;&lt;keyword&gt;Middle Aged&lt;/keyword&gt;&lt;keyword&gt;Picornaviridae Infections/*immunology&lt;/keyword&gt;&lt;keyword&gt;Pulmonary Disease, Chronic Obstructive/*immunology/virology&lt;/keyword&gt;&lt;keyword&gt;Respiratory Mucosa/*immunology/virology&lt;/keyword&gt;&lt;keyword&gt;Rhinovirus/*immunology&lt;/keyword&gt;&lt;/keywords&gt;&lt;dates&gt;&lt;year&gt;2016&lt;/year&gt;&lt;pub-dates&gt;&lt;date&gt;Jun 28&lt;/date&gt;&lt;/pub-dates&gt;&lt;/dates&gt;&lt;isbn&gt;2045-2322 (Electronic)&amp;#xD;2045-2322 (Linking)&lt;/isbn&gt;&lt;accession-num&gt;27350308&lt;/accession-num&gt;&lt;urls&gt;&lt;related-urls&gt;&lt;url&gt;https://www.ncbi.nlm.nih.gov/pubmed/27350308&lt;/url&gt;&lt;/related-urls&gt;&lt;/urls&gt;&lt;custom2&gt;PMC4923851&lt;/custom2&gt;&lt;electronic-resource-num&gt;10.1038/srep28698&lt;/electronic-resource-num&gt;&lt;/record&gt;&lt;/Cite&gt;&lt;/EndNote&gt;</w:instrText>
        </w:r>
        <w:r w:rsidRPr="006C4819">
          <w:rPr>
            <w:rFonts w:ascii="Arial" w:hAnsi="Arial" w:cs="Arial"/>
            <w:sz w:val="22"/>
            <w:szCs w:val="22"/>
          </w:rPr>
          <w:fldChar w:fldCharType="separate"/>
        </w:r>
        <w:r w:rsidRPr="003C529C">
          <w:rPr>
            <w:rFonts w:ascii="Arial" w:hAnsi="Arial" w:cs="Arial"/>
            <w:noProof/>
            <w:sz w:val="22"/>
            <w:szCs w:val="22"/>
            <w:vertAlign w:val="superscript"/>
          </w:rPr>
          <w:t>23</w:t>
        </w:r>
        <w:r w:rsidRPr="006C4819">
          <w:rPr>
            <w:rFonts w:ascii="Arial" w:hAnsi="Arial" w:cs="Arial"/>
            <w:sz w:val="22"/>
            <w:szCs w:val="22"/>
          </w:rPr>
          <w:fldChar w:fldCharType="end"/>
        </w:r>
      </w:hyperlink>
      <w:r w:rsidRPr="003C529C">
        <w:rPr>
          <w:rFonts w:ascii="Arial" w:hAnsi="Arial" w:cs="Arial"/>
          <w:sz w:val="22"/>
          <w:szCs w:val="22"/>
        </w:rPr>
        <w:t xml:space="preserve"> Alternatively, azithromycin may convey antiviral activity by increasing the pH of cell organelles such as endosomes and the </w:t>
      </w:r>
      <w:r w:rsidRPr="003C529C">
        <w:rPr>
          <w:rFonts w:ascii="Arial" w:hAnsi="Arial" w:cs="Arial"/>
          <w:i/>
          <w:sz w:val="22"/>
          <w:szCs w:val="22"/>
        </w:rPr>
        <w:t>trans</w:t>
      </w:r>
      <w:r w:rsidRPr="003C529C">
        <w:rPr>
          <w:rFonts w:ascii="Arial" w:hAnsi="Arial" w:cs="Arial"/>
          <w:sz w:val="22"/>
          <w:szCs w:val="22"/>
        </w:rPr>
        <w:t>-Golgi network.</w:t>
      </w:r>
      <w:hyperlink w:anchor="_ENREF_24" w:tooltip=",  #51" w:history="1">
        <w:r w:rsidRPr="006C4819">
          <w:rPr>
            <w:rFonts w:ascii="Arial" w:hAnsi="Arial" w:cs="Arial"/>
            <w:sz w:val="22"/>
            <w:szCs w:val="22"/>
          </w:rPr>
          <w:fldChar w:fldCharType="begin"/>
        </w:r>
        <w:r w:rsidRPr="003C529C">
          <w:rPr>
            <w:rFonts w:ascii="Arial" w:hAnsi="Arial" w:cs="Arial"/>
            <w:sz w:val="22"/>
            <w:szCs w:val="22"/>
          </w:rPr>
          <w:instrText xml:space="preserve"> ADDIN EN.CITE &lt;EndNote&gt;&lt;Cite ExcludeAuth="1" ExcludeYear="1"&gt;&lt;RecNum&gt;51&lt;/RecNum&gt;&lt;DisplayText&gt;&lt;style face="superscript"&gt;24&lt;/style&gt;&lt;/DisplayText&gt;&lt;record&gt;&lt;rec-number&gt;51&lt;/rec-number&gt;&lt;foreign-keys&gt;&lt;key app="EN" db-id="052xftpepftv2eepd2b5dps10se2pte52pps" timestamp="1587946768"&gt;51&lt;/key&gt;&lt;/foreign-keys&gt;&lt;ref-type name="Journal Article"&gt;17&lt;/ref-type&gt;&lt;contributors&gt;&lt;/contributors&gt;&lt;titles&gt;&lt;title&gt;Poschet JF, Perkett EA, Timmins GS, et al. Azithromycin and ciprofloxacin have a chloroquine-like effect on respiratory epithelial cells. 2020. bioRxiv preprint. doi: https://doi.org/10.1101/2020.03.29.008631.&lt;/title&gt;&lt;/titles&gt;&lt;dates&gt;&lt;/dates&gt;&lt;urls&gt;&lt;/urls&gt;&lt;/record&gt;&lt;/Cite&gt;&lt;/EndNote&gt;</w:instrText>
        </w:r>
        <w:r w:rsidRPr="006C4819">
          <w:rPr>
            <w:rFonts w:ascii="Arial" w:hAnsi="Arial" w:cs="Arial"/>
            <w:sz w:val="22"/>
            <w:szCs w:val="22"/>
          </w:rPr>
          <w:fldChar w:fldCharType="separate"/>
        </w:r>
        <w:r w:rsidRPr="003C529C">
          <w:rPr>
            <w:rFonts w:ascii="Arial" w:hAnsi="Arial" w:cs="Arial"/>
            <w:noProof/>
            <w:sz w:val="22"/>
            <w:szCs w:val="22"/>
            <w:vertAlign w:val="superscript"/>
          </w:rPr>
          <w:t>24</w:t>
        </w:r>
        <w:r w:rsidRPr="006C4819">
          <w:rPr>
            <w:rFonts w:ascii="Arial" w:hAnsi="Arial" w:cs="Arial"/>
            <w:sz w:val="22"/>
            <w:szCs w:val="22"/>
          </w:rPr>
          <w:fldChar w:fldCharType="end"/>
        </w:r>
      </w:hyperlink>
      <w:r w:rsidRPr="003C529C">
        <w:rPr>
          <w:rFonts w:ascii="Arial" w:hAnsi="Arial" w:cs="Arial"/>
          <w:sz w:val="22"/>
          <w:szCs w:val="22"/>
        </w:rPr>
        <w:t xml:space="preserve"> Changing the pH of intracellular vesicles may alter </w:t>
      </w:r>
      <w:r w:rsidRPr="00F85213">
        <w:rPr>
          <w:rFonts w:ascii="Arial" w:hAnsi="Arial" w:cs="Arial"/>
          <w:sz w:val="22"/>
          <w:szCs w:val="22"/>
        </w:rPr>
        <w:t>the glycosylation of ACE2, a key receptor for cell entry for SARS</w:t>
      </w:r>
      <w:r w:rsidRPr="00F85213">
        <w:rPr>
          <w:rFonts w:ascii="Arial" w:hAnsi="Arial" w:cs="Arial"/>
          <w:sz w:val="22"/>
          <w:szCs w:val="22"/>
        </w:rPr>
        <w:noBreakHyphen/>
        <w:t>CoV-2.</w:t>
      </w:r>
      <w:r w:rsidRPr="00F85213">
        <w:rPr>
          <w:rFonts w:ascii="Arial" w:hAnsi="Arial" w:cs="Arial"/>
          <w:sz w:val="22"/>
          <w:szCs w:val="22"/>
        </w:rPr>
        <w:fldChar w:fldCharType="begin">
          <w:fldData xml:space="preserve">PEVuZE5vdGU+PENpdGU+PEF1dGhvcj5CZWxvdXphcmQ8L0F1dGhvcj48WWVhcj4yMDEyPC9ZZWFy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</w:fldData>
        </w:fldChar>
      </w:r>
      <w:r w:rsidRPr="00F85213">
        <w:rPr>
          <w:rFonts w:ascii="Arial" w:hAnsi="Arial" w:cs="Arial"/>
          <w:sz w:val="22"/>
          <w:szCs w:val="22"/>
        </w:rPr>
        <w:instrText xml:space="preserve"> ADDIN EN.CITE </w:instrText>
      </w:r>
      <w:r w:rsidRPr="00F85213">
        <w:rPr>
          <w:rFonts w:ascii="Arial" w:hAnsi="Arial" w:cs="Arial"/>
          <w:sz w:val="22"/>
          <w:szCs w:val="22"/>
        </w:rPr>
        <w:fldChar w:fldCharType="begin">
          <w:fldData xml:space="preserve">PEVuZE5vdGU+PENpdGU+PEF1dGhvcj5CZWxvdXphcmQ8L0F1dGhvcj48WWVhcj4yMDEyPC9ZZWFy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</w:fldData>
        </w:fldChar>
      </w:r>
      <w:r w:rsidRPr="00F85213">
        <w:rPr>
          <w:rFonts w:ascii="Arial" w:hAnsi="Arial" w:cs="Arial"/>
          <w:sz w:val="22"/>
          <w:szCs w:val="22"/>
        </w:rPr>
        <w:instrText xml:space="preserve"> ADDIN EN.CITE.DATA </w:instrText>
      </w:r>
      <w:r w:rsidRPr="00F85213">
        <w:rPr>
          <w:rFonts w:ascii="Arial" w:hAnsi="Arial" w:cs="Arial"/>
          <w:sz w:val="22"/>
          <w:szCs w:val="22"/>
        </w:rPr>
      </w:r>
      <w:r w:rsidRPr="00F85213">
        <w:rPr>
          <w:rFonts w:ascii="Arial" w:hAnsi="Arial" w:cs="Arial"/>
          <w:sz w:val="22"/>
          <w:szCs w:val="22"/>
        </w:rPr>
        <w:fldChar w:fldCharType="end"/>
      </w:r>
      <w:r w:rsidRPr="00F85213">
        <w:rPr>
          <w:rFonts w:ascii="Arial" w:hAnsi="Arial" w:cs="Arial"/>
          <w:sz w:val="22"/>
          <w:szCs w:val="22"/>
        </w:rPr>
      </w:r>
      <w:r w:rsidRPr="00F85213">
        <w:rPr>
          <w:rFonts w:ascii="Arial" w:hAnsi="Arial" w:cs="Arial"/>
          <w:sz w:val="22"/>
          <w:szCs w:val="22"/>
        </w:rPr>
        <w:fldChar w:fldCharType="separate"/>
      </w:r>
      <w:hyperlink w:anchor="_ENREF_25" w:tooltip="Belouzard, 2012 #52" w:history="1">
        <w:r w:rsidRPr="00F85213">
          <w:rPr>
            <w:rFonts w:ascii="Arial" w:hAnsi="Arial" w:cs="Arial"/>
            <w:noProof/>
            <w:sz w:val="22"/>
            <w:szCs w:val="22"/>
            <w:vertAlign w:val="superscript"/>
          </w:rPr>
          <w:t>25</w:t>
        </w:r>
      </w:hyperlink>
      <w:r w:rsidRPr="00F85213">
        <w:rPr>
          <w:rFonts w:ascii="Arial" w:hAnsi="Arial" w:cs="Arial"/>
          <w:noProof/>
          <w:sz w:val="22"/>
          <w:szCs w:val="22"/>
          <w:vertAlign w:val="superscript"/>
        </w:rPr>
        <w:t>,</w:t>
      </w:r>
      <w:hyperlink w:anchor="_ENREF_26" w:tooltip="Wrapp, 2020 #53" w:history="1">
        <w:r w:rsidRPr="00F85213">
          <w:rPr>
            <w:rFonts w:ascii="Arial" w:hAnsi="Arial" w:cs="Arial"/>
            <w:noProof/>
            <w:sz w:val="22"/>
            <w:szCs w:val="22"/>
            <w:vertAlign w:val="superscript"/>
          </w:rPr>
          <w:t>26</w:t>
        </w:r>
      </w:hyperlink>
      <w:r w:rsidRPr="00F85213">
        <w:rPr>
          <w:rFonts w:ascii="Arial" w:hAnsi="Arial" w:cs="Arial"/>
          <w:sz w:val="22"/>
          <w:szCs w:val="22"/>
        </w:rPr>
        <w:fldChar w:fldCharType="end"/>
      </w:r>
      <w:r w:rsidRPr="00F85213">
        <w:rPr>
          <w:rFonts w:ascii="Arial" w:hAnsi="Arial" w:cs="Arial"/>
          <w:sz w:val="22"/>
          <w:szCs w:val="22"/>
        </w:rPr>
        <w:t xml:space="preserve"> </w:t>
      </w:r>
      <w:r w:rsidR="007D14C2" w:rsidRPr="00F85213">
        <w:rPr>
          <w:rFonts w:ascii="Arial" w:hAnsi="Arial" w:cs="Arial"/>
          <w:sz w:val="22"/>
          <w:szCs w:val="22"/>
        </w:rPr>
        <w:t>PK modelling supports the azithromycin regimen will include an additional loading dose on day 1 to allow earlier achievement of azithromycin concentrations in lung that consistently achieve the EC</w:t>
      </w:r>
      <w:r w:rsidR="007D14C2" w:rsidRPr="00F85213">
        <w:rPr>
          <w:rFonts w:ascii="Arial" w:hAnsi="Arial" w:cs="Arial"/>
          <w:sz w:val="22"/>
          <w:szCs w:val="22"/>
          <w:vertAlign w:val="subscript"/>
        </w:rPr>
        <w:t>50</w:t>
      </w:r>
      <w:r w:rsidR="007D14C2" w:rsidRPr="00F85213">
        <w:rPr>
          <w:rFonts w:ascii="Arial" w:hAnsi="Arial" w:cs="Arial"/>
          <w:sz w:val="22"/>
          <w:szCs w:val="22"/>
        </w:rPr>
        <w:t xml:space="preserve"> determined for SARS-CoV-2.</w:t>
      </w:r>
      <w:r w:rsidR="007D14C2" w:rsidRPr="003C529C">
        <w:rPr>
          <w:rFonts w:ascii="Arial" w:hAnsi="Arial" w:cs="Arial"/>
          <w:sz w:val="22"/>
          <w:szCs w:val="22"/>
        </w:rPr>
        <w:t xml:space="preserve"> </w:t>
      </w:r>
    </w:p>
    <w:p w14:paraId="6F8DBBD5" w14:textId="77777777" w:rsidR="00795E16" w:rsidRPr="003C529C" w:rsidRDefault="00795E16" w:rsidP="00FB2D39">
      <w:pPr>
        <w:jc w:val="both"/>
        <w:rPr>
          <w:rFonts w:ascii="Arial" w:hAnsi="Arial" w:cs="Arial"/>
          <w:sz w:val="22"/>
          <w:szCs w:val="22"/>
        </w:rPr>
      </w:pPr>
    </w:p>
    <w:p w14:paraId="5F45F693" w14:textId="7588F582" w:rsidR="0075550B" w:rsidRPr="003C529C" w:rsidRDefault="00F40182" w:rsidP="00FB2D39">
      <w:pPr>
        <w:pStyle w:val="Heading3"/>
        <w:jc w:val="both"/>
      </w:pPr>
      <w:bookmarkStart w:id="18" w:name="_Toc38818741"/>
      <w:r w:rsidRPr="003C529C">
        <w:t>Antiviral Effects of Lopinavir and Ritonavir Analogues Against COVID-19</w:t>
      </w:r>
      <w:bookmarkEnd w:id="18"/>
    </w:p>
    <w:p w14:paraId="14857EEE" w14:textId="09562F54" w:rsidR="00415001" w:rsidRPr="006C4819" w:rsidRDefault="00F40182" w:rsidP="00FB2D39">
      <w:pPr>
        <w:tabs>
          <w:tab w:val="left" w:pos="4858"/>
        </w:tabs>
        <w:jc w:val="both"/>
        <w:rPr>
          <w:rFonts w:ascii="Arial" w:hAnsi="Arial" w:cs="Arial"/>
          <w:sz w:val="22"/>
          <w:szCs w:val="22"/>
        </w:rPr>
      </w:pPr>
      <w:r w:rsidRPr="003C529C">
        <w:rPr>
          <w:rFonts w:ascii="Arial" w:hAnsi="Arial" w:cs="Arial"/>
          <w:sz w:val="22"/>
          <w:szCs w:val="22"/>
        </w:rPr>
        <w:t xml:space="preserve">Lopinavir-ritonavir (LPV/r), </w:t>
      </w:r>
      <w:r w:rsidRPr="006C4819">
        <w:rPr>
          <w:rFonts w:ascii="Arial" w:hAnsi="Arial" w:cs="Arial"/>
          <w:sz w:val="22"/>
          <w:szCs w:val="22"/>
        </w:rPr>
        <w:t>is a combination medication that has been used to treat HIV/AIDS. Lopinavir is a HIV type 1 aspartate protease inhibitor that is usually “boosted” with ritonavir to increase the plasma half-life of lopinavir through the inhibition of cytochrome P450. Lopinavir has been shown to have in-vitro inhibitory activity against SARS</w:t>
      </w:r>
      <w:r w:rsidRPr="006C4819">
        <w:rPr>
          <w:rFonts w:ascii="Arial" w:hAnsi="Arial" w:cs="Arial"/>
          <w:sz w:val="22"/>
          <w:szCs w:val="22"/>
        </w:rPr>
        <w:noBreakHyphen/>
      </w:r>
      <w:proofErr w:type="spellStart"/>
      <w:r w:rsidRPr="006C4819">
        <w:rPr>
          <w:rFonts w:ascii="Arial" w:hAnsi="Arial" w:cs="Arial"/>
          <w:sz w:val="22"/>
          <w:szCs w:val="22"/>
        </w:rPr>
        <w:t>CoV</w:t>
      </w:r>
      <w:proofErr w:type="spellEnd"/>
      <w:r w:rsidRPr="006C4819">
        <w:rPr>
          <w:rFonts w:ascii="Arial" w:hAnsi="Arial" w:cs="Arial"/>
          <w:sz w:val="22"/>
          <w:szCs w:val="22"/>
        </w:rPr>
        <w:t xml:space="preserve"> [</w:t>
      </w:r>
      <w:r w:rsidRPr="006C4819">
        <w:rPr>
          <w:rFonts w:ascii="Arial" w:hAnsi="Arial" w:cs="Arial"/>
          <w:sz w:val="22"/>
          <w:szCs w:val="22"/>
        </w:rPr>
        <w:fldChar w:fldCharType="begin"/>
      </w:r>
      <w:r w:rsidRPr="006C4819">
        <w:rPr>
          <w:rFonts w:ascii="Arial" w:hAnsi="Arial" w:cs="Arial"/>
          <w:sz w:val="22"/>
          <w:szCs w:val="22"/>
        </w:rPr>
        <w:instrText xml:space="preserve"> REF _Ref36455503 \n \h  \* MERGEFORMAT </w:instrText>
      </w:r>
      <w:r w:rsidRPr="006C4819">
        <w:rPr>
          <w:rFonts w:ascii="Arial" w:hAnsi="Arial" w:cs="Arial"/>
          <w:sz w:val="22"/>
          <w:szCs w:val="22"/>
        </w:rPr>
      </w:r>
      <w:r w:rsidRPr="006C4819">
        <w:rPr>
          <w:rFonts w:ascii="Arial" w:hAnsi="Arial" w:cs="Arial"/>
          <w:sz w:val="22"/>
          <w:szCs w:val="22"/>
        </w:rPr>
        <w:fldChar w:fldCharType="separate"/>
      </w:r>
      <w:r w:rsidRPr="006C4819">
        <w:rPr>
          <w:rFonts w:ascii="Arial" w:hAnsi="Arial" w:cs="Arial"/>
          <w:sz w:val="22"/>
          <w:szCs w:val="22"/>
        </w:rPr>
        <w:t>28</w:t>
      </w:r>
      <w:r w:rsidRPr="006C4819">
        <w:rPr>
          <w:rFonts w:ascii="Arial" w:hAnsi="Arial" w:cs="Arial"/>
          <w:sz w:val="22"/>
          <w:szCs w:val="22"/>
        </w:rPr>
        <w:fldChar w:fldCharType="end"/>
      </w:r>
      <w:r w:rsidRPr="006C4819">
        <w:rPr>
          <w:rFonts w:ascii="Arial" w:hAnsi="Arial" w:cs="Arial"/>
          <w:sz w:val="22"/>
          <w:szCs w:val="22"/>
        </w:rPr>
        <w:t xml:space="preserve">, </w:t>
      </w:r>
      <w:r w:rsidRPr="006C4819">
        <w:rPr>
          <w:rFonts w:ascii="Arial" w:hAnsi="Arial" w:cs="Arial"/>
          <w:sz w:val="22"/>
          <w:szCs w:val="22"/>
        </w:rPr>
        <w:fldChar w:fldCharType="begin"/>
      </w:r>
      <w:r w:rsidRPr="006C4819">
        <w:rPr>
          <w:rFonts w:ascii="Arial" w:hAnsi="Arial" w:cs="Arial"/>
          <w:sz w:val="22"/>
          <w:szCs w:val="22"/>
        </w:rPr>
        <w:instrText xml:space="preserve"> REF _Ref36455511 \n \h  \* MERGEFORMAT </w:instrText>
      </w:r>
      <w:r w:rsidRPr="006C4819">
        <w:rPr>
          <w:rFonts w:ascii="Arial" w:hAnsi="Arial" w:cs="Arial"/>
          <w:sz w:val="22"/>
          <w:szCs w:val="22"/>
        </w:rPr>
      </w:r>
      <w:r w:rsidRPr="006C4819">
        <w:rPr>
          <w:rFonts w:ascii="Arial" w:hAnsi="Arial" w:cs="Arial"/>
          <w:sz w:val="22"/>
          <w:szCs w:val="22"/>
        </w:rPr>
        <w:fldChar w:fldCharType="separate"/>
      </w:r>
      <w:r w:rsidRPr="006C4819">
        <w:rPr>
          <w:rFonts w:ascii="Arial" w:hAnsi="Arial" w:cs="Arial"/>
          <w:sz w:val="22"/>
          <w:szCs w:val="22"/>
        </w:rPr>
        <w:t>29</w:t>
      </w:r>
      <w:r w:rsidRPr="006C4819">
        <w:rPr>
          <w:rFonts w:ascii="Arial" w:hAnsi="Arial" w:cs="Arial"/>
          <w:sz w:val="22"/>
          <w:szCs w:val="22"/>
        </w:rPr>
        <w:fldChar w:fldCharType="end"/>
      </w:r>
      <w:r w:rsidRPr="006C4819">
        <w:rPr>
          <w:rFonts w:ascii="Arial" w:hAnsi="Arial" w:cs="Arial"/>
          <w:sz w:val="22"/>
          <w:szCs w:val="22"/>
        </w:rPr>
        <w:t xml:space="preserve">, </w:t>
      </w:r>
      <w:r w:rsidRPr="006C4819">
        <w:rPr>
          <w:rFonts w:ascii="Arial" w:hAnsi="Arial" w:cs="Arial"/>
          <w:sz w:val="22"/>
          <w:szCs w:val="22"/>
        </w:rPr>
        <w:fldChar w:fldCharType="begin"/>
      </w:r>
      <w:r w:rsidRPr="006C4819">
        <w:rPr>
          <w:rFonts w:ascii="Arial" w:hAnsi="Arial" w:cs="Arial"/>
          <w:sz w:val="22"/>
          <w:szCs w:val="22"/>
        </w:rPr>
        <w:instrText xml:space="preserve"> REF _Ref36455517 \n \h  \* MERGEFORMAT </w:instrText>
      </w:r>
      <w:r w:rsidRPr="006C4819">
        <w:rPr>
          <w:rFonts w:ascii="Arial" w:hAnsi="Arial" w:cs="Arial"/>
          <w:sz w:val="22"/>
          <w:szCs w:val="22"/>
        </w:rPr>
      </w:r>
      <w:r w:rsidRPr="006C4819">
        <w:rPr>
          <w:rFonts w:ascii="Arial" w:hAnsi="Arial" w:cs="Arial"/>
          <w:sz w:val="22"/>
          <w:szCs w:val="22"/>
        </w:rPr>
        <w:fldChar w:fldCharType="separate"/>
      </w:r>
      <w:r w:rsidRPr="006C4819">
        <w:rPr>
          <w:rFonts w:ascii="Arial" w:hAnsi="Arial" w:cs="Arial"/>
          <w:sz w:val="22"/>
          <w:szCs w:val="22"/>
        </w:rPr>
        <w:t>30</w:t>
      </w:r>
      <w:r w:rsidRPr="006C4819">
        <w:rPr>
          <w:rFonts w:ascii="Arial" w:hAnsi="Arial" w:cs="Arial"/>
          <w:sz w:val="22"/>
          <w:szCs w:val="22"/>
        </w:rPr>
        <w:fldChar w:fldCharType="end"/>
      </w:r>
      <w:r w:rsidRPr="006C4819">
        <w:rPr>
          <w:rFonts w:ascii="Arial" w:hAnsi="Arial" w:cs="Arial"/>
          <w:sz w:val="22"/>
          <w:szCs w:val="22"/>
        </w:rPr>
        <w:t xml:space="preserve">]. Compared to </w:t>
      </w:r>
      <w:r w:rsidRPr="006C4819">
        <w:rPr>
          <w:rFonts w:ascii="Arial" w:hAnsi="Arial" w:cs="Arial"/>
          <w:sz w:val="22"/>
          <w:szCs w:val="22"/>
        </w:rPr>
        <w:lastRenderedPageBreak/>
        <w:t>ribavirin as a historical control group, it has been previously shown that lopinavir–ritonavir (400 mg and 100 mg, respectively) can reduce the risks of adverse clinical outcomes such as acute respiratory distress syndrome and death as well as viral load among patients with SARS. [</w:t>
      </w:r>
      <w:r w:rsidRPr="006C4819">
        <w:rPr>
          <w:rFonts w:ascii="Arial" w:hAnsi="Arial" w:cs="Arial"/>
          <w:sz w:val="22"/>
          <w:szCs w:val="22"/>
        </w:rPr>
        <w:fldChar w:fldCharType="begin"/>
      </w:r>
      <w:r w:rsidRPr="006C4819">
        <w:rPr>
          <w:rFonts w:ascii="Arial" w:hAnsi="Arial" w:cs="Arial"/>
          <w:sz w:val="22"/>
          <w:szCs w:val="22"/>
        </w:rPr>
        <w:instrText xml:space="preserve"> REF _Ref36455511 \n \h  \* MERGEFORMAT </w:instrText>
      </w:r>
      <w:r w:rsidRPr="006C4819">
        <w:rPr>
          <w:rFonts w:ascii="Arial" w:hAnsi="Arial" w:cs="Arial"/>
          <w:sz w:val="22"/>
          <w:szCs w:val="22"/>
        </w:rPr>
      </w:r>
      <w:r w:rsidRPr="006C4819">
        <w:rPr>
          <w:rFonts w:ascii="Arial" w:hAnsi="Arial" w:cs="Arial"/>
          <w:sz w:val="22"/>
          <w:szCs w:val="22"/>
        </w:rPr>
        <w:fldChar w:fldCharType="separate"/>
      </w:r>
      <w:r w:rsidRPr="006C4819">
        <w:rPr>
          <w:rFonts w:ascii="Arial" w:hAnsi="Arial" w:cs="Arial"/>
          <w:sz w:val="22"/>
          <w:szCs w:val="22"/>
        </w:rPr>
        <w:t>29</w:t>
      </w:r>
      <w:r w:rsidRPr="006C4819">
        <w:rPr>
          <w:rFonts w:ascii="Arial" w:hAnsi="Arial" w:cs="Arial"/>
          <w:sz w:val="22"/>
          <w:szCs w:val="22"/>
        </w:rPr>
        <w:fldChar w:fldCharType="end"/>
      </w:r>
      <w:r w:rsidRPr="006C4819">
        <w:rPr>
          <w:rFonts w:ascii="Arial" w:hAnsi="Arial" w:cs="Arial"/>
          <w:sz w:val="22"/>
          <w:szCs w:val="22"/>
        </w:rPr>
        <w:t xml:space="preserve">, </w:t>
      </w:r>
      <w:r w:rsidRPr="006C4819">
        <w:rPr>
          <w:rFonts w:ascii="Arial" w:hAnsi="Arial" w:cs="Arial"/>
          <w:sz w:val="22"/>
          <w:szCs w:val="22"/>
        </w:rPr>
        <w:fldChar w:fldCharType="begin"/>
      </w:r>
      <w:r w:rsidRPr="006C4819">
        <w:rPr>
          <w:rFonts w:ascii="Arial" w:hAnsi="Arial" w:cs="Arial"/>
          <w:sz w:val="22"/>
          <w:szCs w:val="22"/>
        </w:rPr>
        <w:instrText xml:space="preserve"> REF _Ref36455545 \n \h  \* MERGEFORMAT </w:instrText>
      </w:r>
      <w:r w:rsidRPr="006C4819">
        <w:rPr>
          <w:rFonts w:ascii="Arial" w:hAnsi="Arial" w:cs="Arial"/>
          <w:sz w:val="22"/>
          <w:szCs w:val="22"/>
        </w:rPr>
      </w:r>
      <w:r w:rsidRPr="006C4819">
        <w:rPr>
          <w:rFonts w:ascii="Arial" w:hAnsi="Arial" w:cs="Arial"/>
          <w:sz w:val="22"/>
          <w:szCs w:val="22"/>
        </w:rPr>
        <w:fldChar w:fldCharType="separate"/>
      </w:r>
      <w:r w:rsidRPr="006C4819">
        <w:rPr>
          <w:rFonts w:ascii="Arial" w:hAnsi="Arial" w:cs="Arial"/>
          <w:sz w:val="22"/>
          <w:szCs w:val="22"/>
        </w:rPr>
        <w:t>31</w:t>
      </w:r>
      <w:r w:rsidRPr="006C4819">
        <w:rPr>
          <w:rFonts w:ascii="Arial" w:hAnsi="Arial" w:cs="Arial"/>
          <w:sz w:val="22"/>
          <w:szCs w:val="22"/>
        </w:rPr>
        <w:fldChar w:fldCharType="end"/>
      </w:r>
      <w:r w:rsidRPr="006C4819">
        <w:rPr>
          <w:rFonts w:ascii="Arial" w:hAnsi="Arial" w:cs="Arial"/>
          <w:sz w:val="22"/>
          <w:szCs w:val="22"/>
        </w:rPr>
        <w:t xml:space="preserve">, </w:t>
      </w:r>
      <w:r w:rsidRPr="006C4819">
        <w:rPr>
          <w:rFonts w:ascii="Arial" w:hAnsi="Arial" w:cs="Arial"/>
          <w:sz w:val="22"/>
          <w:szCs w:val="22"/>
        </w:rPr>
        <w:fldChar w:fldCharType="begin"/>
      </w:r>
      <w:r w:rsidRPr="006C4819">
        <w:rPr>
          <w:rFonts w:ascii="Arial" w:hAnsi="Arial" w:cs="Arial"/>
          <w:sz w:val="22"/>
          <w:szCs w:val="22"/>
        </w:rPr>
        <w:instrText xml:space="preserve"> REF _Ref36455550 \n \h  \* MERGEFORMAT </w:instrText>
      </w:r>
      <w:r w:rsidRPr="006C4819">
        <w:rPr>
          <w:rFonts w:ascii="Arial" w:hAnsi="Arial" w:cs="Arial"/>
          <w:sz w:val="22"/>
          <w:szCs w:val="22"/>
        </w:rPr>
      </w:r>
      <w:r w:rsidRPr="006C4819">
        <w:rPr>
          <w:rFonts w:ascii="Arial" w:hAnsi="Arial" w:cs="Arial"/>
          <w:sz w:val="22"/>
          <w:szCs w:val="22"/>
        </w:rPr>
        <w:fldChar w:fldCharType="separate"/>
      </w:r>
      <w:r w:rsidRPr="006C4819">
        <w:rPr>
          <w:rFonts w:ascii="Arial" w:hAnsi="Arial" w:cs="Arial"/>
          <w:sz w:val="22"/>
          <w:szCs w:val="22"/>
        </w:rPr>
        <w:t>32</w:t>
      </w:r>
      <w:r w:rsidRPr="006C4819">
        <w:rPr>
          <w:rFonts w:ascii="Arial" w:hAnsi="Arial" w:cs="Arial"/>
          <w:sz w:val="22"/>
          <w:szCs w:val="22"/>
        </w:rPr>
        <w:fldChar w:fldCharType="end"/>
      </w:r>
      <w:r w:rsidRPr="006C4819">
        <w:rPr>
          <w:rFonts w:ascii="Arial" w:hAnsi="Arial" w:cs="Arial"/>
          <w:sz w:val="22"/>
          <w:szCs w:val="22"/>
        </w:rPr>
        <w:t xml:space="preserve">] Based on </w:t>
      </w:r>
      <w:r w:rsidRPr="006C4819">
        <w:rPr>
          <w:rFonts w:ascii="Arial" w:hAnsi="Arial" w:cs="Arial"/>
          <w:i/>
          <w:sz w:val="22"/>
          <w:szCs w:val="22"/>
        </w:rPr>
        <w:t>in vitro</w:t>
      </w:r>
      <w:r w:rsidRPr="006C4819">
        <w:rPr>
          <w:rFonts w:ascii="Arial" w:hAnsi="Arial" w:cs="Arial"/>
          <w:sz w:val="22"/>
          <w:szCs w:val="22"/>
        </w:rPr>
        <w:t xml:space="preserve"> testing and previous clinical evaluation, LPV/r is an important treatment regimen that should be tested for SARS</w:t>
      </w:r>
      <w:r w:rsidRPr="006C4819">
        <w:rPr>
          <w:rFonts w:ascii="Arial" w:hAnsi="Arial" w:cs="Arial"/>
          <w:sz w:val="22"/>
          <w:szCs w:val="22"/>
        </w:rPr>
        <w:noBreakHyphen/>
        <w:t xml:space="preserve">CoV-2. Although a recent open-label clinical trial did not show efficacy </w:t>
      </w:r>
      <w:r w:rsidRPr="00721B0D">
        <w:rPr>
          <w:rFonts w:ascii="Arial" w:hAnsi="Arial" w:cs="Arial"/>
          <w:sz w:val="22"/>
          <w:szCs w:val="22"/>
        </w:rPr>
        <w:t>of LPV/r to decrease days of hospitalization or viral shedding, this trial focused on patients who were already hospitalized, likely due to LRTI and used a suboptimal dosing strategy. The proposed trial will treat participants earlier in the illness, and</w:t>
      </w:r>
      <w:r w:rsidR="007D14C2" w:rsidRPr="00721B0D">
        <w:rPr>
          <w:rFonts w:ascii="Arial" w:hAnsi="Arial" w:cs="Arial"/>
          <w:sz w:val="22"/>
          <w:szCs w:val="22"/>
        </w:rPr>
        <w:t xml:space="preserve"> supported by PK modelling, </w:t>
      </w:r>
      <w:r w:rsidRPr="00721B0D">
        <w:rPr>
          <w:rFonts w:ascii="Arial" w:hAnsi="Arial" w:cs="Arial"/>
          <w:sz w:val="22"/>
          <w:szCs w:val="22"/>
        </w:rPr>
        <w:t xml:space="preserve">will use a higher </w:t>
      </w:r>
      <w:r w:rsidR="007D14C2" w:rsidRPr="00721B0D">
        <w:rPr>
          <w:rFonts w:ascii="Arial" w:hAnsi="Arial" w:cs="Arial"/>
          <w:sz w:val="22"/>
          <w:szCs w:val="22"/>
        </w:rPr>
        <w:t xml:space="preserve">loading </w:t>
      </w:r>
      <w:r w:rsidRPr="00721B0D">
        <w:rPr>
          <w:rFonts w:ascii="Arial" w:hAnsi="Arial" w:cs="Arial"/>
          <w:sz w:val="22"/>
          <w:szCs w:val="22"/>
        </w:rPr>
        <w:t>dose</w:t>
      </w:r>
      <w:r w:rsidR="007D14C2" w:rsidRPr="00721B0D">
        <w:rPr>
          <w:rFonts w:ascii="Arial" w:hAnsi="Arial" w:cs="Arial"/>
          <w:sz w:val="22"/>
          <w:szCs w:val="22"/>
        </w:rPr>
        <w:t>s on day 1</w:t>
      </w:r>
      <w:r w:rsidRPr="00721B0D">
        <w:rPr>
          <w:rFonts w:ascii="Arial" w:hAnsi="Arial" w:cs="Arial"/>
          <w:sz w:val="22"/>
          <w:szCs w:val="22"/>
        </w:rPr>
        <w:t xml:space="preserve">, which </w:t>
      </w:r>
      <w:r w:rsidR="007D14C2" w:rsidRPr="00721B0D">
        <w:rPr>
          <w:rFonts w:ascii="Arial" w:hAnsi="Arial" w:cs="Arial"/>
          <w:sz w:val="22"/>
          <w:szCs w:val="22"/>
        </w:rPr>
        <w:t xml:space="preserve">will allow </w:t>
      </w:r>
      <w:r w:rsidR="00C52989" w:rsidRPr="00721B0D">
        <w:rPr>
          <w:rFonts w:ascii="Arial" w:hAnsi="Arial" w:cs="Arial"/>
          <w:sz w:val="22"/>
          <w:szCs w:val="22"/>
        </w:rPr>
        <w:t xml:space="preserve">earlier </w:t>
      </w:r>
      <w:r w:rsidR="007D14C2" w:rsidRPr="00721B0D">
        <w:rPr>
          <w:rFonts w:ascii="Arial" w:hAnsi="Arial" w:cs="Arial"/>
          <w:sz w:val="22"/>
          <w:szCs w:val="22"/>
        </w:rPr>
        <w:t xml:space="preserve">achievement of LPV </w:t>
      </w:r>
      <w:r w:rsidRPr="00721B0D">
        <w:rPr>
          <w:rFonts w:ascii="Arial" w:hAnsi="Arial" w:cs="Arial"/>
          <w:sz w:val="22"/>
          <w:szCs w:val="22"/>
        </w:rPr>
        <w:t>concentration</w:t>
      </w:r>
      <w:r w:rsidR="007D14C2" w:rsidRPr="00721B0D">
        <w:rPr>
          <w:rFonts w:ascii="Arial" w:hAnsi="Arial" w:cs="Arial"/>
          <w:sz w:val="22"/>
          <w:szCs w:val="22"/>
        </w:rPr>
        <w:t>s</w:t>
      </w:r>
      <w:r w:rsidRPr="00721B0D">
        <w:rPr>
          <w:rFonts w:ascii="Arial" w:hAnsi="Arial" w:cs="Arial"/>
          <w:sz w:val="22"/>
          <w:szCs w:val="22"/>
        </w:rPr>
        <w:t xml:space="preserve"> exceed</w:t>
      </w:r>
      <w:r w:rsidR="007D14C2" w:rsidRPr="00721B0D">
        <w:rPr>
          <w:rFonts w:ascii="Arial" w:hAnsi="Arial" w:cs="Arial"/>
          <w:sz w:val="22"/>
          <w:szCs w:val="22"/>
        </w:rPr>
        <w:t>ing</w:t>
      </w:r>
      <w:r w:rsidRPr="00721B0D">
        <w:rPr>
          <w:rFonts w:ascii="Arial" w:hAnsi="Arial" w:cs="Arial"/>
          <w:sz w:val="22"/>
          <w:szCs w:val="22"/>
        </w:rPr>
        <w:t xml:space="preserve"> SARS-CoV-2</w:t>
      </w:r>
      <w:r w:rsidR="007D14C2" w:rsidRPr="00721B0D">
        <w:rPr>
          <w:rFonts w:ascii="Arial" w:hAnsi="Arial" w:cs="Arial"/>
          <w:sz w:val="22"/>
          <w:szCs w:val="22"/>
        </w:rPr>
        <w:t xml:space="preserve"> EC</w:t>
      </w:r>
      <w:r w:rsidR="007D14C2" w:rsidRPr="00721B0D">
        <w:rPr>
          <w:rFonts w:ascii="Arial" w:hAnsi="Arial" w:cs="Arial"/>
          <w:sz w:val="22"/>
          <w:szCs w:val="22"/>
          <w:vertAlign w:val="subscript"/>
        </w:rPr>
        <w:t>50</w:t>
      </w:r>
      <w:r w:rsidR="007D14C2" w:rsidRPr="00721B0D">
        <w:rPr>
          <w:rFonts w:ascii="Arial" w:hAnsi="Arial" w:cs="Arial"/>
          <w:sz w:val="22"/>
          <w:szCs w:val="22"/>
        </w:rPr>
        <w:t xml:space="preserve"> values in </w:t>
      </w:r>
      <w:r w:rsidR="00DB1B4C" w:rsidRPr="00721B0D">
        <w:rPr>
          <w:rFonts w:ascii="Arial" w:hAnsi="Arial" w:cs="Arial"/>
          <w:sz w:val="22"/>
          <w:szCs w:val="22"/>
        </w:rPr>
        <w:t xml:space="preserve">the </w:t>
      </w:r>
      <w:r w:rsidR="007D14C2" w:rsidRPr="00721B0D">
        <w:rPr>
          <w:rFonts w:ascii="Arial" w:hAnsi="Arial" w:cs="Arial"/>
          <w:sz w:val="22"/>
          <w:szCs w:val="22"/>
        </w:rPr>
        <w:t>lung</w:t>
      </w:r>
      <w:r w:rsidRPr="00721B0D">
        <w:rPr>
          <w:rFonts w:ascii="Arial" w:hAnsi="Arial" w:cs="Arial"/>
          <w:sz w:val="22"/>
          <w:szCs w:val="22"/>
        </w:rPr>
        <w:t>.</w:t>
      </w:r>
      <w:r w:rsidRPr="006C4819">
        <w:rPr>
          <w:rFonts w:ascii="Arial" w:hAnsi="Arial" w:cs="Arial"/>
          <w:sz w:val="22"/>
          <w:szCs w:val="22"/>
        </w:rPr>
        <w:t xml:space="preserve"> </w:t>
      </w:r>
    </w:p>
    <w:p w14:paraId="1C9F75F8" w14:textId="77777777" w:rsidR="00415001" w:rsidRPr="006C4819" w:rsidRDefault="00415001" w:rsidP="00FB2D39">
      <w:pPr>
        <w:tabs>
          <w:tab w:val="left" w:pos="4858"/>
        </w:tabs>
        <w:jc w:val="both"/>
        <w:rPr>
          <w:rFonts w:ascii="Arial" w:hAnsi="Arial" w:cs="Arial"/>
          <w:sz w:val="22"/>
          <w:szCs w:val="22"/>
        </w:rPr>
      </w:pPr>
    </w:p>
    <w:p w14:paraId="3EE2DEAF" w14:textId="77777777" w:rsidR="00544003" w:rsidRPr="006C4819" w:rsidRDefault="00544003" w:rsidP="00FB2D39">
      <w:pPr>
        <w:pStyle w:val="Heading3"/>
        <w:jc w:val="both"/>
      </w:pPr>
      <w:bookmarkStart w:id="19" w:name="_Toc36029491"/>
      <w:bookmarkStart w:id="20" w:name="_Toc38818743"/>
      <w:bookmarkStart w:id="21" w:name="_Toc36029489"/>
      <w:r w:rsidRPr="006C4819">
        <w:t>Rationale for Ascorbic Acid Control as a Comparator</w:t>
      </w:r>
      <w:bookmarkEnd w:id="19"/>
      <w:bookmarkEnd w:id="20"/>
    </w:p>
    <w:p w14:paraId="2085B6DE" w14:textId="3C89CE06" w:rsidR="00544003" w:rsidRPr="006C4819" w:rsidRDefault="00544003" w:rsidP="00FB2D39">
      <w:pPr>
        <w:jc w:val="both"/>
        <w:rPr>
          <w:rFonts w:ascii="Arial" w:hAnsi="Arial" w:cs="Arial"/>
          <w:sz w:val="22"/>
          <w:szCs w:val="22"/>
        </w:rPr>
      </w:pPr>
      <w:r w:rsidRPr="006C4819">
        <w:rPr>
          <w:rFonts w:ascii="Arial" w:hAnsi="Arial" w:cs="Arial"/>
          <w:sz w:val="22"/>
          <w:szCs w:val="22"/>
        </w:rPr>
        <w:t>In healthy adults, COVID-19 disease is likely to present as an upper respiratory viral infection, characterized by a febrile disease with cough and fatigue.</w:t>
      </w:r>
      <w:hyperlink w:anchor="_ENREF_30" w:tooltip="Graat, 2002 #18" w:history="1">
        <w:r w:rsidRPr="006C4819">
          <w:rPr>
            <w:rFonts w:ascii="Arial" w:hAnsi="Arial" w:cs="Arial"/>
            <w:sz w:val="22"/>
            <w:szCs w:val="22"/>
          </w:rPr>
          <w:fldChar w:fldCharType="begin"/>
        </w:r>
        <w:r w:rsidRPr="006C4819">
          <w:rPr>
            <w:rFonts w:ascii="Arial" w:hAnsi="Arial" w:cs="Arial"/>
            <w:sz w:val="22"/>
            <w:szCs w:val="22"/>
          </w:rPr>
          <w:instrText xml:space="preserve"> ADDIN EN.CITE &lt;EndNote&gt;&lt;Cite&gt;&lt;Author&gt;Graat&lt;/Author&gt;&lt;Year&gt;2002&lt;/Year&gt;&lt;RecNum&gt;18&lt;/RecNum&gt;&lt;DisplayText&gt;&lt;style face="superscript"&gt;30&lt;/style&gt;&lt;/DisplayText&gt;&lt;record&gt;&lt;rec-number&gt;18&lt;/rec-number&gt;&lt;foreign-keys&gt;&lt;key app="EN" db-id="052xftpepftv2eepd2b5dps10se2pte52pps" timestamp="1585773544"&gt;18&lt;/key&gt;&lt;/foreign-keys&gt;&lt;ref-type name="Journal Article"&gt;17&lt;/ref-type&gt;&lt;contributors&gt;&lt;authors&gt;&lt;author&gt;Graat, J. M.&lt;/author&gt;&lt;author&gt;Schouten, E. G.&lt;/author&gt;&lt;author&gt;Kok, F. J.&lt;/author&gt;&lt;/authors&gt;&lt;/contributors&gt;&lt;auth-address&gt;Division of Human Nutrition and Epidemiology, Wageningen University, PO Box 8129, 6700 EV Wageningen, The Netherlands. Judith.Graat@staff.nutepi.wau.nl&lt;/auth-address&gt;&lt;titles&gt;&lt;title&gt;Effect of daily vitamin E and multivitamin-mineral supplementation on acute respiratory tract infections in elderly persons: a randomized controlled trial&lt;/title&gt;&lt;secondary-title&gt;JAMA&lt;/secondary-title&gt;&lt;/titles&gt;&lt;periodical&gt;&lt;full-title&gt;JAMA&lt;/full-title&gt;&lt;/periodical&gt;&lt;pages&gt;715-21&lt;/pages&gt;&lt;volume&gt;288&lt;/volume&gt;&lt;number&gt;6&lt;/number&gt;&lt;edition&gt;2002/08/10&lt;/edition&gt;&lt;keywords&gt;&lt;keyword&gt;Acute Disease&lt;/keyword&gt;&lt;keyword&gt;Aged&lt;/keyword&gt;&lt;keyword&gt;Dietary Supplements&lt;/keyword&gt;&lt;keyword&gt;Double-Blind Method&lt;/keyword&gt;&lt;keyword&gt;Female&lt;/keyword&gt;&lt;keyword&gt;Humans&lt;/keyword&gt;&lt;keyword&gt;Incidence&lt;/keyword&gt;&lt;keyword&gt;Male&lt;/keyword&gt;&lt;keyword&gt;Middle Aged&lt;/keyword&gt;&lt;keyword&gt;Minerals/*therapeutic use&lt;/keyword&gt;&lt;keyword&gt;Respiratory Tract Infections/classification/epidemiology/*prevention &amp;amp; control&lt;/keyword&gt;&lt;keyword&gt;Severity of Illness Index&lt;/keyword&gt;&lt;keyword&gt;Treatment Failure&lt;/keyword&gt;&lt;keyword&gt;Vitamin E/*therapeutic use&lt;/keyword&gt;&lt;keyword&gt;Vitamins/*therapeutic use&lt;/keyword&gt;&lt;/keywords&gt;&lt;dates&gt;&lt;year&gt;2002&lt;/year&gt;&lt;pub-dates&gt;&lt;date&gt;Aug 14&lt;/date&gt;&lt;/pub-dates&gt;&lt;/dates&gt;&lt;isbn&gt;0098-7484 (Print)&amp;#xD;0098-7484 (Linking)&lt;/isbn&gt;&lt;accession-num&gt;12169075&lt;/accession-num&gt;&lt;urls&gt;&lt;related-urls&gt;&lt;url&gt;https://www.ncbi.nlm.nih.gov/pubmed/12169075&lt;/url&gt;&lt;/related-urls&gt;&lt;/urls&gt;&lt;electronic-resource-num&gt;10.1001/jama.288.6.715&lt;/electronic-resource-num&gt;&lt;/record&gt;&lt;/Cite&gt;&lt;/EndNote&gt;</w:instrText>
        </w:r>
        <w:r w:rsidRPr="006C4819">
          <w:rPr>
            <w:rFonts w:ascii="Arial" w:hAnsi="Arial" w:cs="Arial"/>
            <w:sz w:val="22"/>
            <w:szCs w:val="22"/>
          </w:rPr>
          <w:fldChar w:fldCharType="separate"/>
        </w:r>
        <w:r w:rsidRPr="006C4819">
          <w:rPr>
            <w:rFonts w:ascii="Arial" w:hAnsi="Arial" w:cs="Arial"/>
            <w:noProof/>
            <w:sz w:val="22"/>
            <w:szCs w:val="22"/>
            <w:vertAlign w:val="superscript"/>
          </w:rPr>
          <w:t>30</w:t>
        </w:r>
        <w:r w:rsidRPr="006C4819">
          <w:rPr>
            <w:rFonts w:ascii="Arial" w:hAnsi="Arial" w:cs="Arial"/>
            <w:sz w:val="22"/>
            <w:szCs w:val="22"/>
          </w:rPr>
          <w:fldChar w:fldCharType="end"/>
        </w:r>
      </w:hyperlink>
      <w:r w:rsidRPr="006C4819">
        <w:rPr>
          <w:rFonts w:ascii="Arial" w:hAnsi="Arial" w:cs="Arial"/>
          <w:sz w:val="22"/>
          <w:szCs w:val="22"/>
        </w:rPr>
        <w:t xml:space="preserve"> Symptom reporting may vary based on participants’ perception as to whether they are taking </w:t>
      </w:r>
      <w:r w:rsidR="00400CF1" w:rsidRPr="006C4819">
        <w:rPr>
          <w:rFonts w:ascii="Arial" w:hAnsi="Arial" w:cs="Arial"/>
          <w:sz w:val="22"/>
          <w:szCs w:val="22"/>
        </w:rPr>
        <w:t xml:space="preserve">investigational antivirals </w:t>
      </w:r>
      <w:r w:rsidRPr="006C4819">
        <w:rPr>
          <w:rFonts w:ascii="Arial" w:hAnsi="Arial" w:cs="Arial"/>
          <w:sz w:val="22"/>
          <w:szCs w:val="22"/>
        </w:rPr>
        <w:t>or ascorbic acid, but the primary study endpoints of LRTI and viral shedding are not affected. There is no rigorously</w:t>
      </w:r>
      <w:r w:rsidRPr="006C4819">
        <w:rPr>
          <w:rFonts w:ascii="Arial" w:hAnsi="Arial" w:cs="Arial"/>
          <w:sz w:val="22"/>
          <w:szCs w:val="22"/>
        </w:rPr>
        <w:noBreakHyphen/>
        <w:t xml:space="preserve">proven therapy for individuals with outpatient COVID-19 disease, although multiple therapies are under investigation. </w:t>
      </w:r>
    </w:p>
    <w:p w14:paraId="44C52D94" w14:textId="3C2CEAD6" w:rsidR="00544003" w:rsidRPr="006C4819" w:rsidRDefault="00544003" w:rsidP="00FB2D39">
      <w:pPr>
        <w:jc w:val="both"/>
        <w:rPr>
          <w:rFonts w:ascii="Arial" w:hAnsi="Arial" w:cs="Arial"/>
          <w:sz w:val="22"/>
          <w:szCs w:val="22"/>
        </w:rPr>
      </w:pPr>
      <w:r w:rsidRPr="006C4819">
        <w:rPr>
          <w:rFonts w:ascii="Arial" w:hAnsi="Arial" w:cs="Arial"/>
          <w:sz w:val="22"/>
          <w:szCs w:val="22"/>
        </w:rPr>
        <w:t xml:space="preserve">Because there is not established therapy, use of a control is acceptable and ethical both for participants’ health and safety as well as ensuring the most rigorous trial design to evaluate an intervention for COVID-19 disease caused by SARS-CoV-2. As there are multiple intervention regimens with different dosing schedule and route, full blinding for patients and clinicians will not be feasible. Participants will be blinded to their allocation to the extent possible. If &gt;1 individual from the same household is enrolled, all will be assigned to the same randomized group. </w:t>
      </w:r>
    </w:p>
    <w:p w14:paraId="2522B0BC" w14:textId="596AA081" w:rsidR="00544003" w:rsidRPr="006C4819" w:rsidRDefault="00544003" w:rsidP="00FB2D39">
      <w:pPr>
        <w:jc w:val="both"/>
        <w:rPr>
          <w:rFonts w:ascii="Arial" w:hAnsi="Arial" w:cs="Arial"/>
          <w:sz w:val="22"/>
          <w:szCs w:val="22"/>
        </w:rPr>
      </w:pPr>
      <w:r w:rsidRPr="006C4819">
        <w:rPr>
          <w:rFonts w:ascii="Arial" w:hAnsi="Arial" w:cs="Arial"/>
          <w:sz w:val="22"/>
          <w:szCs w:val="22"/>
        </w:rPr>
        <w:t xml:space="preserve">The dose of ascorbic acid chosen for this protocol is </w:t>
      </w:r>
      <w:r w:rsidR="00926EA1">
        <w:rPr>
          <w:rFonts w:ascii="Arial" w:hAnsi="Arial" w:cs="Arial"/>
          <w:sz w:val="22"/>
          <w:szCs w:val="22"/>
        </w:rPr>
        <w:t xml:space="preserve">considered to be </w:t>
      </w:r>
      <w:r w:rsidRPr="006C4819">
        <w:rPr>
          <w:rFonts w:ascii="Arial" w:hAnsi="Arial" w:cs="Arial"/>
          <w:sz w:val="22"/>
          <w:szCs w:val="22"/>
        </w:rPr>
        <w:t>safe</w:t>
      </w:r>
      <w:r w:rsidR="00926EA1">
        <w:rPr>
          <w:rFonts w:ascii="Arial" w:hAnsi="Arial" w:cs="Arial"/>
          <w:sz w:val="22"/>
          <w:szCs w:val="22"/>
        </w:rPr>
        <w:t xml:space="preserve"> and well tolerated</w:t>
      </w:r>
      <w:r w:rsidRPr="006C4819">
        <w:rPr>
          <w:rFonts w:ascii="Arial" w:hAnsi="Arial" w:cs="Arial"/>
          <w:sz w:val="22"/>
          <w:szCs w:val="22"/>
        </w:rPr>
        <w:t>. All participants, regardless of assigned group, will be able to take additional ascorbic acid (e.g., over the counter vitamins, or through food) should they choose, as there is no known maximum daily safe dose of ascorbic acid. Clinical trial evidence has demonstrated that ascorbic acid, alone or in combination with other micronutrients, does not substantially reduce the risk of upper respiratory infections or severe consequences of infectious processes; thus, ascorbic acid is not expected to have a prevention effect for SARS-CoV-19 and is considered a placebo-equivalent product for this study.</w:t>
      </w:r>
    </w:p>
    <w:p w14:paraId="62A89C90" w14:textId="3D0141B4" w:rsidR="00F554D1" w:rsidRPr="006C4819" w:rsidRDefault="00F554D1" w:rsidP="00FB2D39">
      <w:pPr>
        <w:pStyle w:val="Heading3"/>
        <w:jc w:val="both"/>
      </w:pPr>
      <w:bookmarkStart w:id="22" w:name="_Toc38818744"/>
      <w:r w:rsidRPr="006C4819">
        <w:t xml:space="preserve">Rationale for </w:t>
      </w:r>
      <w:r w:rsidR="00544003" w:rsidRPr="006C4819">
        <w:t>Dosing</w:t>
      </w:r>
      <w:r w:rsidRPr="006C4819">
        <w:t xml:space="preserve"> Selection</w:t>
      </w:r>
      <w:bookmarkEnd w:id="21"/>
      <w:r w:rsidRPr="006C4819">
        <w:t xml:space="preserve"> of </w:t>
      </w:r>
      <w:r w:rsidR="00544003" w:rsidRPr="006C4819">
        <w:t>Experimental Interventions</w:t>
      </w:r>
      <w:bookmarkEnd w:id="22"/>
    </w:p>
    <w:p w14:paraId="5C62DE37" w14:textId="120D439E" w:rsidR="00544003" w:rsidRPr="006C4819" w:rsidRDefault="00544003" w:rsidP="00FB2D39">
      <w:pPr>
        <w:jc w:val="both"/>
        <w:rPr>
          <w:rFonts w:ascii="Arial" w:hAnsi="Arial" w:cs="Arial"/>
          <w:sz w:val="22"/>
          <w:szCs w:val="22"/>
        </w:rPr>
      </w:pPr>
      <w:r w:rsidRPr="006C4819">
        <w:rPr>
          <w:rFonts w:ascii="Arial" w:hAnsi="Arial" w:cs="Arial"/>
          <w:sz w:val="22"/>
          <w:szCs w:val="22"/>
        </w:rPr>
        <w:t xml:space="preserve">As the COVID-19 epidemic remains very fluid and new data are emerging from observational and clinical trials daily, this protocol is written to allow adaptation to incorporate additional medications throughout the trial. The rationale for dosing selection of each experimental interventions will be provided in each of the corresponding appendix. This modular structure of protocol is used for this platform trial that may end up adding new experimental interventions during the trial.  </w:t>
      </w:r>
    </w:p>
    <w:p w14:paraId="13323A1D" w14:textId="77777777" w:rsidR="00F554D1" w:rsidRPr="006C4819" w:rsidRDefault="00F554D1" w:rsidP="00FB2D39">
      <w:pPr>
        <w:pStyle w:val="Heading2"/>
        <w:jc w:val="both"/>
      </w:pPr>
      <w:bookmarkStart w:id="23" w:name="_Toc36029492"/>
      <w:bookmarkStart w:id="24" w:name="_Toc38818745"/>
      <w:r w:rsidRPr="006C4819">
        <w:t>Benefit/Risk Assessment</w:t>
      </w:r>
      <w:bookmarkEnd w:id="23"/>
      <w:bookmarkEnd w:id="24"/>
    </w:p>
    <w:p w14:paraId="022C99A4" w14:textId="77777777" w:rsidR="00711A99" w:rsidRDefault="00711A99" w:rsidP="00FB2D39">
      <w:pPr>
        <w:jc w:val="both"/>
        <w:rPr>
          <w:rFonts w:ascii="Arial" w:hAnsi="Arial" w:cs="Arial"/>
          <w:sz w:val="22"/>
          <w:szCs w:val="22"/>
        </w:rPr>
      </w:pPr>
      <w:r w:rsidRPr="00711A99">
        <w:rPr>
          <w:rFonts w:ascii="Arial" w:hAnsi="Arial" w:cs="Arial"/>
          <w:b/>
          <w:bCs/>
          <w:sz w:val="22"/>
          <w:szCs w:val="22"/>
        </w:rPr>
        <w:t xml:space="preserve">There is equipoise as to whether the </w:t>
      </w:r>
      <w:r w:rsidRPr="00711A99">
        <w:rPr>
          <w:rFonts w:ascii="Arial" w:hAnsi="Arial" w:cs="Arial"/>
          <w:b/>
          <w:bCs/>
          <w:i/>
          <w:iCs/>
          <w:sz w:val="22"/>
          <w:szCs w:val="22"/>
        </w:rPr>
        <w:t>in vitro</w:t>
      </w:r>
      <w:r w:rsidRPr="00711A99">
        <w:rPr>
          <w:rFonts w:ascii="Arial" w:hAnsi="Arial" w:cs="Arial"/>
          <w:b/>
          <w:bCs/>
          <w:sz w:val="22"/>
          <w:szCs w:val="22"/>
        </w:rPr>
        <w:t xml:space="preserve"> efficacy of any drug will translate into efficacy to prevent LRTI.</w:t>
      </w:r>
      <w:r w:rsidRPr="006C4819">
        <w:rPr>
          <w:rFonts w:ascii="Arial" w:hAnsi="Arial" w:cs="Arial"/>
          <w:sz w:val="22"/>
          <w:szCs w:val="22"/>
        </w:rPr>
        <w:t xml:space="preserve"> </w:t>
      </w:r>
      <w:r w:rsidR="00F554D1" w:rsidRPr="006C4819">
        <w:rPr>
          <w:rFonts w:ascii="Arial" w:hAnsi="Arial" w:cs="Arial"/>
          <w:sz w:val="22"/>
          <w:szCs w:val="22"/>
        </w:rPr>
        <w:t>COVID-19 disease can be unpredictable in its severity, but a 3.4% mortality rate has been observed among clinical pneumonia cases. The elderly (&gt;60 years) and those with medical comorbidities are at highest risk of poor outcomes</w:t>
      </w:r>
      <w:r w:rsidR="00471195" w:rsidRPr="006C4819">
        <w:rPr>
          <w:rFonts w:ascii="Arial" w:hAnsi="Arial" w:cs="Arial"/>
          <w:sz w:val="22"/>
          <w:szCs w:val="22"/>
        </w:rPr>
        <w:t>.</w:t>
      </w:r>
      <w:hyperlink w:anchor="_ENREF_1" w:tooltip="Huang, 2020 #21" w:history="1">
        <w:r w:rsidR="00415001" w:rsidRPr="006C4819">
          <w:rPr>
            <w:rFonts w:ascii="Arial" w:hAnsi="Arial" w:cs="Arial"/>
            <w:sz w:val="22"/>
            <w:szCs w:val="22"/>
          </w:rPr>
          <w:fldChar w:fldCharType="begin">
            <w:fldData xml:space="preserve">PEVuZE5vdGU+PENpdGU+PEF1dGhvcj5IdWFuZzwvQXV0aG9yPjxZZWFyPjIwMjA8L1llYXI+PFJl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</w:fldData>
          </w:fldChar>
        </w:r>
        <w:r w:rsidR="00415001" w:rsidRPr="006C4819">
          <w:rPr>
            <w:rFonts w:ascii="Arial" w:hAnsi="Arial" w:cs="Arial"/>
            <w:sz w:val="22"/>
            <w:szCs w:val="22"/>
          </w:rPr>
          <w:instrText xml:space="preserve"> ADDIN EN.CITE </w:instrText>
        </w:r>
        <w:r w:rsidR="00415001" w:rsidRPr="006C4819">
          <w:rPr>
            <w:rFonts w:ascii="Arial" w:hAnsi="Arial" w:cs="Arial"/>
            <w:sz w:val="22"/>
            <w:szCs w:val="22"/>
          </w:rPr>
          <w:fldChar w:fldCharType="begin">
            <w:fldData xml:space="preserve">PEVuZE5vdGU+PENpdGU+PEF1dGhvcj5IdWFuZzwvQXV0aG9yPjxZZWFyPjIwMjA8L1llYXI+PFJl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</w:fldData>
          </w:fldChar>
        </w:r>
        <w:r w:rsidR="00415001" w:rsidRPr="006C4819">
          <w:rPr>
            <w:rFonts w:ascii="Arial" w:hAnsi="Arial" w:cs="Arial"/>
            <w:sz w:val="22"/>
            <w:szCs w:val="22"/>
          </w:rPr>
          <w:instrText xml:space="preserve"> ADDIN EN.CITE.DATA </w:instrText>
        </w:r>
        <w:r w:rsidR="00415001" w:rsidRPr="006C4819">
          <w:rPr>
            <w:rFonts w:ascii="Arial" w:hAnsi="Arial" w:cs="Arial"/>
            <w:sz w:val="22"/>
            <w:szCs w:val="22"/>
          </w:rPr>
        </w:r>
        <w:r w:rsidR="00415001" w:rsidRPr="006C4819">
          <w:rPr>
            <w:rFonts w:ascii="Arial" w:hAnsi="Arial" w:cs="Arial"/>
            <w:sz w:val="22"/>
            <w:szCs w:val="22"/>
          </w:rPr>
          <w:fldChar w:fldCharType="end"/>
        </w:r>
        <w:r w:rsidR="00415001" w:rsidRPr="006C4819">
          <w:rPr>
            <w:rFonts w:ascii="Arial" w:hAnsi="Arial" w:cs="Arial"/>
            <w:sz w:val="22"/>
            <w:szCs w:val="22"/>
          </w:rPr>
        </w:r>
        <w:r w:rsidR="00415001" w:rsidRPr="006C4819">
          <w:rPr>
            <w:rFonts w:ascii="Arial" w:hAnsi="Arial" w:cs="Arial"/>
            <w:sz w:val="22"/>
            <w:szCs w:val="22"/>
          </w:rPr>
          <w:fldChar w:fldCharType="separate"/>
        </w:r>
        <w:r w:rsidR="00415001" w:rsidRPr="006C4819">
          <w:rPr>
            <w:rFonts w:ascii="Arial" w:hAnsi="Arial" w:cs="Arial"/>
            <w:noProof/>
            <w:sz w:val="22"/>
            <w:szCs w:val="22"/>
            <w:vertAlign w:val="superscript"/>
          </w:rPr>
          <w:t>1-3</w:t>
        </w:r>
        <w:r w:rsidR="00415001" w:rsidRPr="006C4819">
          <w:rPr>
            <w:rFonts w:ascii="Arial" w:hAnsi="Arial" w:cs="Arial"/>
            <w:sz w:val="22"/>
            <w:szCs w:val="22"/>
          </w:rPr>
          <w:fldChar w:fldCharType="end"/>
        </w:r>
      </w:hyperlink>
      <w:r w:rsidR="00471195" w:rsidRPr="006C4819">
        <w:rPr>
          <w:rFonts w:ascii="Arial" w:hAnsi="Arial" w:cs="Arial"/>
          <w:sz w:val="22"/>
          <w:szCs w:val="22"/>
        </w:rPr>
        <w:t xml:space="preserve"> </w:t>
      </w:r>
      <w:r w:rsidR="00F554D1" w:rsidRPr="006C4819">
        <w:rPr>
          <w:rFonts w:ascii="Arial" w:hAnsi="Arial" w:cs="Arial"/>
          <w:sz w:val="22"/>
          <w:szCs w:val="22"/>
        </w:rPr>
        <w:t xml:space="preserve">Moreover, transmission in younger persons amplifies infection in communities, putting susceptible persons at risk. There is no proven drug for treatment of those with COVID-19 disease. </w:t>
      </w:r>
    </w:p>
    <w:p w14:paraId="0668B8D9" w14:textId="77777777" w:rsidR="00711A99" w:rsidRDefault="00711A99" w:rsidP="00FB2D39">
      <w:pPr>
        <w:jc w:val="both"/>
        <w:rPr>
          <w:rFonts w:ascii="Arial" w:hAnsi="Arial" w:cs="Arial"/>
          <w:sz w:val="22"/>
          <w:szCs w:val="22"/>
        </w:rPr>
      </w:pPr>
    </w:p>
    <w:p w14:paraId="679A8EF4" w14:textId="0E46A264" w:rsidR="004969D9" w:rsidRPr="004969D9" w:rsidRDefault="00711A99" w:rsidP="00FB2D39">
      <w:pPr>
        <w:jc w:val="both"/>
        <w:rPr>
          <w:rFonts w:ascii="Arial" w:hAnsi="Arial" w:cs="Arial"/>
          <w:color w:val="000000"/>
          <w:sz w:val="22"/>
          <w:szCs w:val="22"/>
        </w:rPr>
      </w:pPr>
      <w:r w:rsidRPr="00711A99">
        <w:rPr>
          <w:rFonts w:ascii="Arial" w:hAnsi="Arial" w:cs="Arial"/>
          <w:b/>
          <w:bCs/>
          <w:color w:val="000000"/>
          <w:sz w:val="22"/>
          <w:szCs w:val="22"/>
        </w:rPr>
        <w:lastRenderedPageBreak/>
        <w:t>QT prolongation:</w:t>
      </w:r>
      <w:r w:rsidRPr="00711A99">
        <w:rPr>
          <w:rStyle w:val="apple-converted-space"/>
          <w:rFonts w:ascii="Arial" w:eastAsia="MS Gothic" w:hAnsi="Arial" w:cs="Arial"/>
          <w:sz w:val="22"/>
          <w:szCs w:val="22"/>
        </w:rPr>
        <w:t> </w:t>
      </w:r>
      <w:r w:rsidR="004969D9" w:rsidRPr="00711A99">
        <w:rPr>
          <w:rFonts w:ascii="Arial" w:hAnsi="Arial" w:cs="Arial"/>
          <w:color w:val="000000"/>
          <w:sz w:val="22"/>
          <w:szCs w:val="22"/>
        </w:rPr>
        <w:t>Azithromycin and LPV</w:t>
      </w:r>
      <w:r w:rsidR="004969D9">
        <w:rPr>
          <w:rFonts w:ascii="Arial" w:hAnsi="Arial" w:cs="Arial"/>
          <w:color w:val="000000"/>
          <w:sz w:val="22"/>
          <w:szCs w:val="22"/>
        </w:rPr>
        <w:t>/</w:t>
      </w:r>
      <w:r w:rsidR="004969D9" w:rsidRPr="00711A99">
        <w:rPr>
          <w:rFonts w:ascii="Arial" w:hAnsi="Arial" w:cs="Arial"/>
          <w:color w:val="000000"/>
          <w:sz w:val="22"/>
          <w:szCs w:val="22"/>
        </w:rPr>
        <w:t>r are widely used throughout S</w:t>
      </w:r>
      <w:r w:rsidR="004969D9">
        <w:rPr>
          <w:rFonts w:ascii="Arial" w:hAnsi="Arial" w:cs="Arial"/>
          <w:color w:val="000000"/>
          <w:sz w:val="22"/>
          <w:szCs w:val="22"/>
        </w:rPr>
        <w:t>outh Africa</w:t>
      </w:r>
      <w:r w:rsidR="004969D9" w:rsidRPr="00711A99">
        <w:rPr>
          <w:rFonts w:ascii="Arial" w:hAnsi="Arial" w:cs="Arial"/>
          <w:color w:val="000000"/>
          <w:sz w:val="22"/>
          <w:szCs w:val="22"/>
        </w:rPr>
        <w:t xml:space="preserve"> without </w:t>
      </w:r>
      <w:r w:rsidR="004969D9">
        <w:rPr>
          <w:rFonts w:ascii="Arial" w:hAnsi="Arial" w:cs="Arial"/>
          <w:color w:val="000000"/>
          <w:sz w:val="22"/>
          <w:szCs w:val="22"/>
        </w:rPr>
        <w:t xml:space="preserve">the requirement of </w:t>
      </w:r>
      <w:r w:rsidR="004969D9" w:rsidRPr="00711A99">
        <w:rPr>
          <w:rFonts w:ascii="Arial" w:hAnsi="Arial" w:cs="Arial"/>
          <w:color w:val="000000"/>
          <w:sz w:val="22"/>
          <w:szCs w:val="22"/>
        </w:rPr>
        <w:t>QT measurements</w:t>
      </w:r>
      <w:r w:rsidR="004969D9">
        <w:rPr>
          <w:rFonts w:ascii="Arial" w:hAnsi="Arial" w:cs="Arial"/>
          <w:color w:val="000000"/>
          <w:sz w:val="22"/>
          <w:szCs w:val="22"/>
        </w:rPr>
        <w:t xml:space="preserve"> prior to initiation</w:t>
      </w:r>
      <w:r w:rsidR="004969D9" w:rsidRPr="00711A99">
        <w:rPr>
          <w:rFonts w:ascii="Arial" w:hAnsi="Arial" w:cs="Arial"/>
          <w:color w:val="000000"/>
          <w:sz w:val="22"/>
          <w:szCs w:val="22"/>
        </w:rPr>
        <w:t xml:space="preserve">. </w:t>
      </w:r>
      <w:r w:rsidR="009142F0">
        <w:rPr>
          <w:rFonts w:ascii="Arial" w:hAnsi="Arial" w:cs="Arial"/>
          <w:color w:val="000000"/>
          <w:sz w:val="22"/>
          <w:szCs w:val="22"/>
        </w:rPr>
        <w:t>LPV/r</w:t>
      </w:r>
      <w:r w:rsidR="009142F0" w:rsidRPr="009142F0">
        <w:rPr>
          <w:rFonts w:ascii="Arial" w:hAnsi="Arial" w:cs="Arial"/>
          <w:color w:val="000000"/>
          <w:sz w:val="22"/>
          <w:szCs w:val="22"/>
        </w:rPr>
        <w:t xml:space="preserve"> has been reviewed by </w:t>
      </w:r>
      <w:proofErr w:type="spellStart"/>
      <w:r w:rsidR="009142F0" w:rsidRPr="009142F0">
        <w:rPr>
          <w:rFonts w:ascii="Arial" w:hAnsi="Arial" w:cs="Arial"/>
          <w:color w:val="000000"/>
          <w:sz w:val="22"/>
          <w:szCs w:val="22"/>
        </w:rPr>
        <w:t>CredibleMeds</w:t>
      </w:r>
      <w:proofErr w:type="spellEnd"/>
      <w:r w:rsidR="009142F0">
        <w:rPr>
          <w:rFonts w:ascii="Arial" w:hAnsi="Arial" w:cs="Arial"/>
          <w:color w:val="000000"/>
          <w:sz w:val="22"/>
          <w:szCs w:val="22"/>
        </w:rPr>
        <w:t xml:space="preserve"> (crediblemeds.org)</w:t>
      </w:r>
      <w:r w:rsidR="009142F0" w:rsidRPr="009142F0">
        <w:rPr>
          <w:rFonts w:ascii="Arial" w:hAnsi="Arial" w:cs="Arial"/>
          <w:color w:val="000000"/>
          <w:sz w:val="22"/>
          <w:szCs w:val="22"/>
        </w:rPr>
        <w:t xml:space="preserve"> but the evidence available at this time did not result in a decision for it to be placed </w:t>
      </w:r>
      <w:r w:rsidR="009142F0">
        <w:rPr>
          <w:rFonts w:ascii="Arial" w:hAnsi="Arial" w:cs="Arial"/>
          <w:color w:val="000000"/>
          <w:sz w:val="22"/>
          <w:szCs w:val="22"/>
        </w:rPr>
        <w:t xml:space="preserve">as a risk medicine for QT prolongation and </w:t>
      </w:r>
      <w:proofErr w:type="spellStart"/>
      <w:r w:rsidR="009142F0">
        <w:rPr>
          <w:rFonts w:ascii="Arial" w:hAnsi="Arial" w:cs="Arial"/>
          <w:color w:val="000000"/>
          <w:sz w:val="22"/>
          <w:szCs w:val="22"/>
        </w:rPr>
        <w:t>Torsades</w:t>
      </w:r>
      <w:proofErr w:type="spellEnd"/>
      <w:r w:rsidR="009142F0">
        <w:rPr>
          <w:rFonts w:ascii="Arial" w:hAnsi="Arial" w:cs="Arial"/>
          <w:color w:val="000000"/>
          <w:sz w:val="22"/>
          <w:szCs w:val="22"/>
        </w:rPr>
        <w:t xml:space="preserve"> de Pointes. Azithromycin has been associated with </w:t>
      </w:r>
      <w:r w:rsidR="009142F0" w:rsidRPr="009142F0">
        <w:rPr>
          <w:rFonts w:ascii="Arial" w:hAnsi="Arial" w:cs="Arial"/>
          <w:color w:val="000000"/>
          <w:sz w:val="22"/>
          <w:szCs w:val="22"/>
        </w:rPr>
        <w:t xml:space="preserve">QT </w:t>
      </w:r>
      <w:r w:rsidR="009142F0">
        <w:rPr>
          <w:rFonts w:ascii="Arial" w:hAnsi="Arial" w:cs="Arial"/>
          <w:color w:val="000000"/>
          <w:sz w:val="22"/>
          <w:szCs w:val="22"/>
        </w:rPr>
        <w:t>prolongation.</w:t>
      </w:r>
      <w:r w:rsidR="009142F0" w:rsidRPr="009142F0">
        <w:rPr>
          <w:rFonts w:ascii="Arial" w:hAnsi="Arial" w:cs="Arial"/>
          <w:color w:val="000000"/>
          <w:sz w:val="22"/>
          <w:szCs w:val="22"/>
        </w:rPr>
        <w:t> </w:t>
      </w:r>
      <w:r w:rsidRPr="00711A99">
        <w:rPr>
          <w:rFonts w:ascii="Arial" w:hAnsi="Arial" w:cs="Arial"/>
          <w:color w:val="000000"/>
          <w:sz w:val="22"/>
          <w:szCs w:val="22"/>
        </w:rPr>
        <w:t xml:space="preserve"> However we will </w:t>
      </w:r>
      <w:r w:rsidR="004969D9">
        <w:rPr>
          <w:rFonts w:ascii="Arial" w:hAnsi="Arial" w:cs="Arial"/>
          <w:color w:val="000000"/>
          <w:sz w:val="22"/>
          <w:szCs w:val="22"/>
        </w:rPr>
        <w:t>exclude patients with a b</w:t>
      </w:r>
      <w:r w:rsidR="004969D9" w:rsidRPr="004969D9">
        <w:rPr>
          <w:rFonts w:ascii="Arial" w:hAnsi="Arial" w:cs="Arial"/>
          <w:sz w:val="22"/>
          <w:szCs w:val="22"/>
        </w:rPr>
        <w:t xml:space="preserve">aseline QTc interval of &gt; 470 </w:t>
      </w:r>
      <w:proofErr w:type="spellStart"/>
      <w:r w:rsidR="004969D9" w:rsidRPr="004969D9">
        <w:rPr>
          <w:rFonts w:ascii="Arial" w:hAnsi="Arial" w:cs="Arial"/>
          <w:sz w:val="22"/>
          <w:szCs w:val="22"/>
        </w:rPr>
        <w:t>ms</w:t>
      </w:r>
      <w:proofErr w:type="spellEnd"/>
      <w:r w:rsidR="004969D9" w:rsidRPr="004969D9">
        <w:rPr>
          <w:rFonts w:ascii="Arial" w:hAnsi="Arial" w:cs="Arial"/>
          <w:sz w:val="22"/>
          <w:szCs w:val="22"/>
        </w:rPr>
        <w:t xml:space="preserve"> in males, and &gt; 480 </w:t>
      </w:r>
      <w:proofErr w:type="spellStart"/>
      <w:r w:rsidR="004969D9" w:rsidRPr="004969D9">
        <w:rPr>
          <w:rFonts w:ascii="Arial" w:hAnsi="Arial" w:cs="Arial"/>
          <w:sz w:val="22"/>
          <w:szCs w:val="22"/>
        </w:rPr>
        <w:t>ms</w:t>
      </w:r>
      <w:proofErr w:type="spellEnd"/>
      <w:r w:rsidR="004969D9" w:rsidRPr="004969D9">
        <w:rPr>
          <w:rFonts w:ascii="Arial" w:hAnsi="Arial" w:cs="Arial"/>
          <w:sz w:val="22"/>
          <w:szCs w:val="22"/>
        </w:rPr>
        <w:t xml:space="preserve"> in females</w:t>
      </w:r>
      <w:r w:rsidR="004969D9">
        <w:rPr>
          <w:rFonts w:ascii="Arial" w:hAnsi="Arial" w:cs="Arial"/>
          <w:sz w:val="22"/>
          <w:szCs w:val="22"/>
        </w:rPr>
        <w:t>.</w:t>
      </w:r>
    </w:p>
    <w:p w14:paraId="73B8E667" w14:textId="77777777" w:rsidR="009142F0" w:rsidRPr="00711A99" w:rsidRDefault="009142F0" w:rsidP="00FB2D39">
      <w:pPr>
        <w:jc w:val="both"/>
        <w:rPr>
          <w:rFonts w:ascii="Arial" w:hAnsi="Arial" w:cs="Arial"/>
          <w:color w:val="000000"/>
        </w:rPr>
      </w:pPr>
    </w:p>
    <w:p w14:paraId="4F94C941" w14:textId="22169902" w:rsidR="00711A99" w:rsidRPr="00711A99" w:rsidRDefault="00711A99" w:rsidP="00FB2D39">
      <w:pPr>
        <w:jc w:val="both"/>
        <w:rPr>
          <w:rFonts w:ascii="Arial" w:hAnsi="Arial" w:cs="Arial"/>
          <w:color w:val="000000"/>
        </w:rPr>
      </w:pPr>
      <w:proofErr w:type="spellStart"/>
      <w:r w:rsidRPr="00711A99">
        <w:rPr>
          <w:rFonts w:ascii="Arial" w:hAnsi="Arial" w:cs="Arial"/>
          <w:b/>
          <w:bCs/>
          <w:color w:val="000000"/>
          <w:sz w:val="22"/>
          <w:szCs w:val="22"/>
        </w:rPr>
        <w:t>LPVr</w:t>
      </w:r>
      <w:proofErr w:type="spellEnd"/>
      <w:r w:rsidRPr="00711A99">
        <w:rPr>
          <w:rFonts w:ascii="Arial" w:hAnsi="Arial" w:cs="Arial"/>
          <w:b/>
          <w:bCs/>
          <w:color w:val="000000"/>
          <w:sz w:val="22"/>
          <w:szCs w:val="22"/>
        </w:rPr>
        <w:t xml:space="preserve"> use in undiagnosed HIV</w:t>
      </w:r>
      <w:r w:rsidR="000E20D1">
        <w:rPr>
          <w:rFonts w:ascii="Arial" w:hAnsi="Arial" w:cs="Arial"/>
          <w:b/>
          <w:bCs/>
          <w:color w:val="000000"/>
          <w:sz w:val="22"/>
          <w:szCs w:val="22"/>
        </w:rPr>
        <w:t>-positive</w:t>
      </w:r>
      <w:r w:rsidRPr="00711A99">
        <w:rPr>
          <w:rFonts w:ascii="Arial" w:hAnsi="Arial" w:cs="Arial"/>
          <w:b/>
          <w:bCs/>
          <w:color w:val="000000"/>
          <w:sz w:val="22"/>
          <w:szCs w:val="22"/>
        </w:rPr>
        <w:t xml:space="preserve"> patients:</w:t>
      </w:r>
      <w:r w:rsidRPr="00711A99">
        <w:rPr>
          <w:rStyle w:val="apple-converted-space"/>
          <w:rFonts w:ascii="Arial" w:eastAsia="MS Gothic" w:hAnsi="Arial" w:cs="Arial"/>
          <w:b/>
          <w:bCs/>
          <w:sz w:val="22"/>
          <w:szCs w:val="22"/>
        </w:rPr>
        <w:t> </w:t>
      </w:r>
      <w:r w:rsidRPr="00711A99">
        <w:rPr>
          <w:rFonts w:ascii="Arial" w:hAnsi="Arial" w:cs="Arial"/>
          <w:color w:val="000000"/>
          <w:sz w:val="22"/>
          <w:szCs w:val="22"/>
        </w:rPr>
        <w:t>Ten days of LPV/r monotherapy is unlikely to cause resistance (high barrier to resistance) and is effective for viral suppression. The risk of HIV-associated</w:t>
      </w:r>
      <w:r w:rsidR="004969D9">
        <w:rPr>
          <w:rFonts w:ascii="Arial" w:hAnsi="Arial" w:cs="Arial"/>
          <w:color w:val="000000"/>
          <w:sz w:val="22"/>
          <w:szCs w:val="22"/>
        </w:rPr>
        <w:t xml:space="preserve"> immune reconstitution inflammatory syndrome</w:t>
      </w:r>
      <w:r w:rsidRPr="00711A99">
        <w:rPr>
          <w:rFonts w:ascii="Arial" w:hAnsi="Arial" w:cs="Arial"/>
          <w:color w:val="000000"/>
          <w:sz w:val="22"/>
          <w:szCs w:val="22"/>
        </w:rPr>
        <w:t xml:space="preserve"> </w:t>
      </w:r>
      <w:r w:rsidR="004969D9">
        <w:rPr>
          <w:rFonts w:ascii="Arial" w:hAnsi="Arial" w:cs="Arial"/>
          <w:color w:val="000000"/>
          <w:sz w:val="22"/>
          <w:szCs w:val="22"/>
        </w:rPr>
        <w:t>(</w:t>
      </w:r>
      <w:r w:rsidRPr="00711A99">
        <w:rPr>
          <w:rFonts w:ascii="Arial" w:hAnsi="Arial" w:cs="Arial"/>
          <w:color w:val="000000"/>
          <w:sz w:val="22"/>
          <w:szCs w:val="22"/>
        </w:rPr>
        <w:t>IRIS</w:t>
      </w:r>
      <w:r w:rsidR="004969D9">
        <w:rPr>
          <w:rFonts w:ascii="Arial" w:hAnsi="Arial" w:cs="Arial"/>
          <w:color w:val="000000"/>
          <w:sz w:val="22"/>
          <w:szCs w:val="22"/>
        </w:rPr>
        <w:t>)</w:t>
      </w:r>
      <w:r w:rsidRPr="00711A99">
        <w:rPr>
          <w:rFonts w:ascii="Arial" w:hAnsi="Arial" w:cs="Arial"/>
          <w:color w:val="000000"/>
          <w:sz w:val="22"/>
          <w:szCs w:val="22"/>
        </w:rPr>
        <w:t xml:space="preserve"> is possible, </w:t>
      </w:r>
      <w:r w:rsidR="000E20D1">
        <w:rPr>
          <w:rFonts w:ascii="Arial" w:hAnsi="Arial" w:cs="Arial"/>
          <w:color w:val="000000"/>
          <w:sz w:val="22"/>
          <w:szCs w:val="22"/>
        </w:rPr>
        <w:t xml:space="preserve">and the time of onset varies from days to months after antiretroviral initiation. Ten days of LPV/r potentially carries a low risk of unmasking IRIS in undiagnosed HIV-positive patients. </w:t>
      </w:r>
      <w:r w:rsidRPr="00711A99">
        <w:rPr>
          <w:rFonts w:ascii="Arial" w:hAnsi="Arial" w:cs="Arial"/>
          <w:color w:val="000000"/>
          <w:sz w:val="22"/>
          <w:szCs w:val="22"/>
        </w:rPr>
        <w:t xml:space="preserve">Should IRIS occur, it will be recorded as </w:t>
      </w:r>
      <w:r w:rsidR="000E20D1">
        <w:rPr>
          <w:rFonts w:ascii="Arial" w:hAnsi="Arial" w:cs="Arial"/>
          <w:color w:val="000000"/>
          <w:sz w:val="22"/>
          <w:szCs w:val="22"/>
        </w:rPr>
        <w:t xml:space="preserve">a serious adverse event (SAE). </w:t>
      </w:r>
      <w:r w:rsidRPr="00711A99">
        <w:rPr>
          <w:rFonts w:ascii="Arial" w:hAnsi="Arial" w:cs="Arial"/>
          <w:color w:val="000000"/>
          <w:sz w:val="22"/>
          <w:szCs w:val="22"/>
        </w:rPr>
        <w:t>Testing for HIV prior to enrolment is not pragmatic as it exposes health care workers to SARS-CoV-2 infection and there is no referral pathway for newly d</w:t>
      </w:r>
      <w:r w:rsidR="000E20D1">
        <w:rPr>
          <w:rFonts w:ascii="Arial" w:hAnsi="Arial" w:cs="Arial"/>
          <w:color w:val="000000"/>
          <w:sz w:val="22"/>
          <w:szCs w:val="22"/>
        </w:rPr>
        <w:t>iagnosed</w:t>
      </w:r>
      <w:r w:rsidRPr="00711A99">
        <w:rPr>
          <w:rFonts w:ascii="Arial" w:hAnsi="Arial" w:cs="Arial"/>
          <w:color w:val="000000"/>
          <w:sz w:val="22"/>
          <w:szCs w:val="22"/>
        </w:rPr>
        <w:t xml:space="preserve"> HIV</w:t>
      </w:r>
      <w:r w:rsidR="000E20D1">
        <w:rPr>
          <w:rFonts w:ascii="Arial" w:hAnsi="Arial" w:cs="Arial"/>
          <w:color w:val="000000"/>
          <w:sz w:val="22"/>
          <w:szCs w:val="22"/>
        </w:rPr>
        <w:t>-positive</w:t>
      </w:r>
      <w:r w:rsidRPr="00711A99">
        <w:rPr>
          <w:rFonts w:ascii="Arial" w:hAnsi="Arial" w:cs="Arial"/>
          <w:color w:val="000000"/>
          <w:sz w:val="22"/>
          <w:szCs w:val="22"/>
        </w:rPr>
        <w:t xml:space="preserve"> patients with SARS-CoV-2 co-infection.</w:t>
      </w:r>
      <w:r w:rsidR="000E20D1">
        <w:rPr>
          <w:rFonts w:ascii="Arial" w:hAnsi="Arial" w:cs="Arial"/>
          <w:color w:val="000000"/>
          <w:sz w:val="22"/>
          <w:szCs w:val="22"/>
        </w:rPr>
        <w:t xml:space="preserve"> In this study we</w:t>
      </w:r>
      <w:r w:rsidR="000E20D1" w:rsidRPr="00711A99">
        <w:rPr>
          <w:rFonts w:ascii="Arial" w:hAnsi="Arial" w:cs="Arial"/>
          <w:color w:val="000000"/>
          <w:sz w:val="22"/>
          <w:szCs w:val="22"/>
        </w:rPr>
        <w:t xml:space="preserve"> minimise interaction between study staff and patients using Telehealth</w:t>
      </w:r>
      <w:r w:rsidR="000E20D1">
        <w:rPr>
          <w:rFonts w:ascii="Arial" w:hAnsi="Arial" w:cs="Arial"/>
          <w:color w:val="000000"/>
          <w:sz w:val="22"/>
          <w:szCs w:val="22"/>
        </w:rPr>
        <w:t>.</w:t>
      </w:r>
    </w:p>
    <w:p w14:paraId="590A4763" w14:textId="77777777" w:rsidR="000E20D1" w:rsidRDefault="000E20D1" w:rsidP="00FB2D39">
      <w:pPr>
        <w:jc w:val="both"/>
        <w:rPr>
          <w:rFonts w:ascii="Arial" w:hAnsi="Arial" w:cs="Arial"/>
          <w:b/>
          <w:bCs/>
          <w:color w:val="000000"/>
          <w:sz w:val="22"/>
          <w:szCs w:val="22"/>
        </w:rPr>
      </w:pPr>
    </w:p>
    <w:p w14:paraId="1A3CAF8C" w14:textId="174EE272" w:rsidR="00711A99" w:rsidRDefault="00711A99" w:rsidP="00FB2D39">
      <w:pPr>
        <w:jc w:val="both"/>
        <w:rPr>
          <w:rStyle w:val="apple-converted-space"/>
          <w:rFonts w:ascii="Arial" w:eastAsia="MS Gothic" w:hAnsi="Arial" w:cs="Arial"/>
          <w:sz w:val="22"/>
          <w:szCs w:val="22"/>
        </w:rPr>
      </w:pPr>
      <w:r w:rsidRPr="00711A99">
        <w:rPr>
          <w:rFonts w:ascii="Arial" w:hAnsi="Arial" w:cs="Arial"/>
          <w:b/>
          <w:bCs/>
          <w:color w:val="000000"/>
          <w:sz w:val="22"/>
          <w:szCs w:val="22"/>
        </w:rPr>
        <w:t>Drug interactions between study arms and rifampicin-treated and ART treated patients:</w:t>
      </w:r>
      <w:r w:rsidRPr="00711A99">
        <w:rPr>
          <w:rStyle w:val="apple-converted-space"/>
          <w:rFonts w:ascii="Arial" w:eastAsia="MS Gothic" w:hAnsi="Arial" w:cs="Arial"/>
          <w:b/>
          <w:bCs/>
          <w:sz w:val="22"/>
          <w:szCs w:val="22"/>
        </w:rPr>
        <w:t> </w:t>
      </w:r>
      <w:r w:rsidRPr="00711A99">
        <w:rPr>
          <w:rFonts w:ascii="Arial" w:hAnsi="Arial" w:cs="Arial"/>
          <w:color w:val="000000"/>
          <w:sz w:val="22"/>
          <w:szCs w:val="22"/>
        </w:rPr>
        <w:t>We included an explicit exclusion criteria</w:t>
      </w:r>
      <w:r w:rsidR="000E20D1">
        <w:rPr>
          <w:rFonts w:ascii="Arial" w:hAnsi="Arial" w:cs="Arial"/>
          <w:color w:val="000000"/>
          <w:sz w:val="22"/>
          <w:szCs w:val="22"/>
        </w:rPr>
        <w:t xml:space="preserve"> to exclude patients with p</w:t>
      </w:r>
      <w:r w:rsidRPr="000E20D1">
        <w:rPr>
          <w:rFonts w:ascii="Arial" w:hAnsi="Arial" w:cs="Arial"/>
          <w:color w:val="000000"/>
          <w:sz w:val="22"/>
          <w:szCs w:val="22"/>
        </w:rPr>
        <w:t>otentially clinically significant pharmacokinetic and pharmacodynamic drug interactions as determined by the study clinical pharmacologist</w:t>
      </w:r>
      <w:r w:rsidR="000E20D1">
        <w:rPr>
          <w:rFonts w:ascii="Arial" w:hAnsi="Arial" w:cs="Arial"/>
          <w:color w:val="000000"/>
          <w:sz w:val="22"/>
          <w:szCs w:val="22"/>
        </w:rPr>
        <w:t>.</w:t>
      </w:r>
      <w:r w:rsidR="000659CE">
        <w:rPr>
          <w:rFonts w:ascii="Arial" w:hAnsi="Arial" w:cs="Arial"/>
          <w:color w:val="000000"/>
          <w:sz w:val="22"/>
          <w:szCs w:val="22"/>
        </w:rPr>
        <w:t xml:space="preserve"> As far as possible, we </w:t>
      </w:r>
      <w:r w:rsidR="000E20D1" w:rsidRPr="00711A99">
        <w:rPr>
          <w:rFonts w:ascii="Arial" w:hAnsi="Arial" w:cs="Arial"/>
          <w:color w:val="000000"/>
          <w:sz w:val="22"/>
          <w:szCs w:val="22"/>
        </w:rPr>
        <w:t>want to study HIV</w:t>
      </w:r>
      <w:r w:rsidR="000E20D1">
        <w:rPr>
          <w:rFonts w:ascii="Arial" w:hAnsi="Arial" w:cs="Arial"/>
          <w:color w:val="000000"/>
          <w:sz w:val="22"/>
          <w:szCs w:val="22"/>
        </w:rPr>
        <w:t>-positive</w:t>
      </w:r>
      <w:r w:rsidR="000E20D1" w:rsidRPr="00711A99">
        <w:rPr>
          <w:rFonts w:ascii="Arial" w:hAnsi="Arial" w:cs="Arial"/>
          <w:color w:val="000000"/>
          <w:sz w:val="22"/>
          <w:szCs w:val="22"/>
        </w:rPr>
        <w:t xml:space="preserve"> and patients</w:t>
      </w:r>
      <w:r w:rsidR="000E20D1">
        <w:rPr>
          <w:rFonts w:ascii="Arial" w:hAnsi="Arial" w:cs="Arial"/>
          <w:color w:val="000000"/>
          <w:sz w:val="22"/>
          <w:szCs w:val="22"/>
        </w:rPr>
        <w:t xml:space="preserve"> treated for pulmonary tuberculosis as</w:t>
      </w:r>
      <w:r w:rsidR="000E20D1" w:rsidRPr="00711A99">
        <w:rPr>
          <w:rFonts w:ascii="Arial" w:hAnsi="Arial" w:cs="Arial"/>
          <w:color w:val="000000"/>
          <w:sz w:val="22"/>
          <w:szCs w:val="22"/>
        </w:rPr>
        <w:t xml:space="preserve"> they are potentially </w:t>
      </w:r>
      <w:r w:rsidR="000659CE">
        <w:rPr>
          <w:rFonts w:ascii="Arial" w:hAnsi="Arial" w:cs="Arial"/>
          <w:color w:val="000000"/>
          <w:sz w:val="22"/>
          <w:szCs w:val="22"/>
        </w:rPr>
        <w:t>a</w:t>
      </w:r>
      <w:r w:rsidR="000E20D1" w:rsidRPr="00711A99">
        <w:rPr>
          <w:rFonts w:ascii="Arial" w:hAnsi="Arial" w:cs="Arial"/>
          <w:color w:val="000000"/>
          <w:sz w:val="22"/>
          <w:szCs w:val="22"/>
        </w:rPr>
        <w:t xml:space="preserve"> high risk for severe disease</w:t>
      </w:r>
      <w:r w:rsidR="000659CE">
        <w:rPr>
          <w:rFonts w:ascii="Arial" w:hAnsi="Arial" w:cs="Arial"/>
          <w:color w:val="000000"/>
          <w:sz w:val="22"/>
          <w:szCs w:val="22"/>
        </w:rPr>
        <w:t xml:space="preserve"> who </w:t>
      </w:r>
      <w:r w:rsidR="000659CE" w:rsidRPr="00711A99">
        <w:rPr>
          <w:rFonts w:ascii="Arial" w:hAnsi="Arial" w:cs="Arial"/>
          <w:color w:val="000000"/>
          <w:sz w:val="22"/>
          <w:szCs w:val="22"/>
        </w:rPr>
        <w:t>could benefit from an early treatment</w:t>
      </w:r>
      <w:r w:rsidR="000659CE">
        <w:rPr>
          <w:rFonts w:ascii="Arial" w:hAnsi="Arial" w:cs="Arial"/>
          <w:color w:val="000000"/>
          <w:sz w:val="22"/>
          <w:szCs w:val="22"/>
        </w:rPr>
        <w:t>.</w:t>
      </w:r>
      <w:r w:rsidR="000659CE">
        <w:rPr>
          <w:rFonts w:ascii="Arial" w:hAnsi="Arial" w:cs="Arial"/>
          <w:color w:val="000000"/>
        </w:rPr>
        <w:t xml:space="preserve"> </w:t>
      </w:r>
      <w:r w:rsidRPr="00711A99">
        <w:rPr>
          <w:rFonts w:ascii="Arial" w:hAnsi="Arial" w:cs="Arial"/>
          <w:color w:val="000000"/>
          <w:sz w:val="22"/>
          <w:szCs w:val="22"/>
        </w:rPr>
        <w:t>If one of the study experimental drugs are considered to put the patient at increased risk due to drug interactions, randomization for such patients will be limited to the study arms that are deemed to be safe by the study clinical pharmacologist.</w:t>
      </w:r>
      <w:r w:rsidRPr="00711A99">
        <w:rPr>
          <w:rStyle w:val="apple-converted-space"/>
          <w:rFonts w:ascii="Arial" w:eastAsia="MS Gothic" w:hAnsi="Arial" w:cs="Arial"/>
          <w:sz w:val="22"/>
          <w:szCs w:val="22"/>
        </w:rPr>
        <w:t> </w:t>
      </w:r>
    </w:p>
    <w:p w14:paraId="4851EE81" w14:textId="0A37A275" w:rsidR="00FB2D39" w:rsidRDefault="00FB2D39" w:rsidP="00FB2D39">
      <w:pPr>
        <w:jc w:val="both"/>
        <w:rPr>
          <w:rStyle w:val="apple-converted-space"/>
          <w:rFonts w:ascii="Arial" w:eastAsia="MS Gothic" w:hAnsi="Arial" w:cs="Arial"/>
          <w:sz w:val="22"/>
          <w:szCs w:val="22"/>
        </w:rPr>
      </w:pPr>
    </w:p>
    <w:p w14:paraId="136022F2" w14:textId="5C4C2B41" w:rsidR="00FB2D39" w:rsidRPr="00FB2D39" w:rsidRDefault="00FB2D39" w:rsidP="00FB2D39">
      <w:pPr>
        <w:jc w:val="both"/>
        <w:rPr>
          <w:rFonts w:ascii="Arial" w:hAnsi="Arial" w:cs="Arial"/>
          <w:color w:val="000000"/>
        </w:rPr>
      </w:pPr>
      <w:r>
        <w:rPr>
          <w:rStyle w:val="apple-converted-space"/>
          <w:rFonts w:ascii="Arial" w:eastAsia="MS Gothic" w:hAnsi="Arial" w:cs="Arial"/>
          <w:b/>
          <w:bCs/>
          <w:sz w:val="22"/>
          <w:szCs w:val="22"/>
        </w:rPr>
        <w:t xml:space="preserve">Misclassification as low-risk: </w:t>
      </w:r>
      <w:r>
        <w:rPr>
          <w:rStyle w:val="apple-converted-space"/>
          <w:rFonts w:ascii="Arial" w:eastAsia="MS Gothic" w:hAnsi="Arial" w:cs="Arial"/>
          <w:sz w:val="22"/>
          <w:szCs w:val="22"/>
        </w:rPr>
        <w:t xml:space="preserve">We thoroughly question participants about their medical history to best as possible correctly classify them as high- or low-risk for co-morbidities. We will also request participants for consent to access their medical records to review for co-morbidities. </w:t>
      </w:r>
    </w:p>
    <w:p w14:paraId="252743BC" w14:textId="77777777" w:rsidR="00711A99" w:rsidRPr="00711A99" w:rsidRDefault="00711A99" w:rsidP="00FB2D39">
      <w:pPr>
        <w:jc w:val="both"/>
        <w:rPr>
          <w:rFonts w:ascii="Arial" w:hAnsi="Arial" w:cs="Arial"/>
          <w:color w:val="000000"/>
        </w:rPr>
      </w:pPr>
      <w:r w:rsidRPr="00711A99">
        <w:rPr>
          <w:rFonts w:ascii="Arial" w:hAnsi="Arial" w:cs="Arial"/>
          <w:color w:val="000000"/>
          <w:sz w:val="22"/>
          <w:szCs w:val="22"/>
        </w:rPr>
        <w:t> </w:t>
      </w:r>
    </w:p>
    <w:p w14:paraId="07D17F39" w14:textId="46D08981" w:rsidR="00711A99" w:rsidRDefault="00711A99" w:rsidP="00FB2D39">
      <w:pPr>
        <w:jc w:val="both"/>
        <w:rPr>
          <w:rFonts w:ascii="Arial" w:hAnsi="Arial" w:cs="Arial"/>
          <w:sz w:val="22"/>
          <w:szCs w:val="22"/>
        </w:rPr>
      </w:pPr>
    </w:p>
    <w:p w14:paraId="4937F606" w14:textId="77777777" w:rsidR="004969D9" w:rsidRPr="00711A99" w:rsidRDefault="004969D9" w:rsidP="00FB2D39">
      <w:pPr>
        <w:jc w:val="both"/>
        <w:rPr>
          <w:rFonts w:ascii="Arial" w:hAnsi="Arial" w:cs="Arial"/>
          <w:sz w:val="22"/>
          <w:szCs w:val="22"/>
        </w:rPr>
      </w:pPr>
    </w:p>
    <w:p w14:paraId="09E37296" w14:textId="77777777" w:rsidR="005B26AF" w:rsidRPr="006C4819" w:rsidRDefault="00FC4C3A" w:rsidP="00FB2D39">
      <w:pPr>
        <w:pStyle w:val="Heading1"/>
        <w:spacing w:after="240"/>
        <w:rPr>
          <w:rFonts w:ascii="Arial" w:hAnsi="Arial" w:cs="Arial"/>
          <w:sz w:val="22"/>
        </w:rPr>
      </w:pPr>
      <w:bookmarkStart w:id="25" w:name="_Toc38818746"/>
      <w:r w:rsidRPr="006C4819">
        <w:rPr>
          <w:rFonts w:ascii="Arial" w:hAnsi="Arial" w:cs="Arial"/>
          <w:sz w:val="22"/>
        </w:rPr>
        <w:lastRenderedPageBreak/>
        <w:t>Objectives and Endpoints</w:t>
      </w:r>
      <w:bookmarkStart w:id="26" w:name="_Toc420931773"/>
      <w:bookmarkStart w:id="27" w:name="_Ref420606713"/>
      <w:bookmarkStart w:id="28" w:name="_Ref420606782"/>
      <w:bookmarkEnd w:id="6"/>
      <w:bookmarkEnd w:id="25"/>
      <w:bookmarkEnd w:id="26"/>
    </w:p>
    <w:tbl>
      <w:tblPr>
        <w:tblStyle w:val="TableGrid"/>
        <w:tblW w:w="5000" w:type="pct"/>
        <w:tblLook w:val="04A0" w:firstRow="1" w:lastRow="0" w:firstColumn="1" w:lastColumn="0" w:noHBand="0" w:noVBand="1"/>
      </w:tblPr>
      <w:tblGrid>
        <w:gridCol w:w="4711"/>
        <w:gridCol w:w="4639"/>
      </w:tblGrid>
      <w:tr w:rsidR="00F554D1" w:rsidRPr="00FA7410" w14:paraId="554D2359" w14:textId="77777777" w:rsidTr="00833F1B">
        <w:tc>
          <w:tcPr>
            <w:tcW w:w="2519" w:type="pct"/>
            <w:shd w:val="clear" w:color="auto" w:fill="auto"/>
          </w:tcPr>
          <w:p w14:paraId="74F2E184" w14:textId="4E2F041B" w:rsidR="00F554D1" w:rsidRPr="006C4819" w:rsidRDefault="00711A99" w:rsidP="00FB2D39">
            <w:pPr>
              <w:pStyle w:val="TableHeaderText"/>
              <w:jc w:val="both"/>
              <w:rPr>
                <w:rFonts w:ascii="Arial" w:hAnsi="Arial" w:cs="Arial"/>
                <w:sz w:val="22"/>
                <w:szCs w:val="22"/>
                <w:lang w:val="en-GB"/>
              </w:rPr>
            </w:pPr>
            <w:r w:rsidRPr="006978AC">
              <w:rPr>
                <w:rFonts w:ascii="Arial" w:hAnsi="Arial" w:cs="Arial"/>
                <w:sz w:val="22"/>
                <w:szCs w:val="22"/>
                <w:lang w:val="en-GB"/>
              </w:rPr>
              <w:t>Objectives</w:t>
            </w:r>
          </w:p>
        </w:tc>
        <w:tc>
          <w:tcPr>
            <w:tcW w:w="2481" w:type="pct"/>
            <w:shd w:val="clear" w:color="auto" w:fill="auto"/>
          </w:tcPr>
          <w:p w14:paraId="24C283F5" w14:textId="54236409" w:rsidR="00F554D1" w:rsidRPr="006C4819" w:rsidRDefault="00F554D1" w:rsidP="00FB2D39">
            <w:pPr>
              <w:pStyle w:val="TableHeaderText"/>
              <w:jc w:val="both"/>
              <w:rPr>
                <w:rFonts w:ascii="Arial" w:hAnsi="Arial" w:cs="Arial"/>
                <w:sz w:val="22"/>
                <w:szCs w:val="22"/>
                <w:lang w:val="en-GB"/>
              </w:rPr>
            </w:pPr>
            <w:r w:rsidRPr="006C4819">
              <w:rPr>
                <w:rFonts w:ascii="Arial" w:hAnsi="Arial" w:cs="Arial"/>
                <w:sz w:val="22"/>
                <w:szCs w:val="22"/>
                <w:lang w:val="en-GB"/>
              </w:rPr>
              <w:t>Endpoints</w:t>
            </w:r>
          </w:p>
        </w:tc>
      </w:tr>
      <w:tr w:rsidR="00F554D1" w:rsidRPr="00FA7410" w14:paraId="5F7A7C07" w14:textId="77777777" w:rsidTr="00833F1B">
        <w:tc>
          <w:tcPr>
            <w:tcW w:w="5000" w:type="pct"/>
            <w:gridSpan w:val="2"/>
            <w:shd w:val="clear" w:color="auto" w:fill="auto"/>
          </w:tcPr>
          <w:p w14:paraId="0B51E2E7" w14:textId="45317203" w:rsidR="00F554D1" w:rsidRPr="006C4819" w:rsidRDefault="00F554D1" w:rsidP="00FB2D39">
            <w:pPr>
              <w:pStyle w:val="TableText"/>
              <w:jc w:val="both"/>
              <w:rPr>
                <w:rFonts w:ascii="Arial" w:hAnsi="Arial" w:cs="Arial"/>
                <w:sz w:val="22"/>
                <w:szCs w:val="22"/>
                <w:lang w:val="en-GB"/>
              </w:rPr>
            </w:pPr>
            <w:r w:rsidRPr="006C4819">
              <w:rPr>
                <w:rFonts w:ascii="Arial" w:hAnsi="Arial" w:cs="Arial"/>
                <w:sz w:val="22"/>
                <w:szCs w:val="22"/>
                <w:lang w:val="en-GB"/>
              </w:rPr>
              <w:t xml:space="preserve">Primary  </w:t>
            </w:r>
          </w:p>
        </w:tc>
      </w:tr>
      <w:tr w:rsidR="0075550B" w:rsidRPr="00FA7410" w14:paraId="5064C7C6" w14:textId="77777777" w:rsidTr="00833F1B">
        <w:tc>
          <w:tcPr>
            <w:tcW w:w="2519" w:type="pct"/>
            <w:shd w:val="clear" w:color="auto" w:fill="auto"/>
          </w:tcPr>
          <w:p w14:paraId="6F1C5C22" w14:textId="1C3B061F" w:rsidR="0075550B" w:rsidRPr="006C4819" w:rsidRDefault="0075550B" w:rsidP="00FB2D39">
            <w:pPr>
              <w:pStyle w:val="TableText"/>
              <w:numPr>
                <w:ilvl w:val="0"/>
                <w:numId w:val="35"/>
              </w:numPr>
              <w:tabs>
                <w:tab w:val="clear" w:pos="576"/>
                <w:tab w:val="left" w:pos="695"/>
              </w:tabs>
              <w:jc w:val="both"/>
              <w:rPr>
                <w:rFonts w:ascii="Arial" w:hAnsi="Arial" w:cs="Arial"/>
                <w:sz w:val="22"/>
                <w:szCs w:val="22"/>
              </w:rPr>
            </w:pPr>
            <w:r w:rsidRPr="006C4819">
              <w:rPr>
                <w:rFonts w:ascii="Arial" w:hAnsi="Arial" w:cs="Arial"/>
                <w:sz w:val="22"/>
                <w:szCs w:val="22"/>
              </w:rPr>
              <w:t>To test the efficacy of</w:t>
            </w:r>
            <w:r w:rsidR="006A70E5" w:rsidRPr="006C4819">
              <w:rPr>
                <w:rFonts w:ascii="Arial" w:hAnsi="Arial" w:cs="Arial"/>
                <w:sz w:val="22"/>
                <w:szCs w:val="22"/>
              </w:rPr>
              <w:t xml:space="preserve"> experimental interventions</w:t>
            </w:r>
            <w:r w:rsidRPr="006C4819">
              <w:rPr>
                <w:rFonts w:ascii="Arial" w:hAnsi="Arial" w:cs="Arial"/>
                <w:sz w:val="22"/>
                <w:szCs w:val="22"/>
              </w:rPr>
              <w:t xml:space="preserve"> to prevent progression to LRTI, among persons with SARS-CoV-2 infection who are at high risk of progression, compared to ascorbic acid. </w:t>
            </w:r>
          </w:p>
          <w:p w14:paraId="68A743E6" w14:textId="3B996ED7" w:rsidR="0075550B" w:rsidRPr="006C4819" w:rsidRDefault="0075550B" w:rsidP="00FB2D39">
            <w:pPr>
              <w:pStyle w:val="TableText"/>
              <w:numPr>
                <w:ilvl w:val="0"/>
                <w:numId w:val="35"/>
              </w:numPr>
              <w:tabs>
                <w:tab w:val="clear" w:pos="576"/>
                <w:tab w:val="left" w:pos="695"/>
              </w:tabs>
              <w:jc w:val="both"/>
              <w:rPr>
                <w:rFonts w:ascii="Arial" w:hAnsi="Arial" w:cs="Arial"/>
                <w:sz w:val="22"/>
                <w:szCs w:val="22"/>
              </w:rPr>
            </w:pPr>
            <w:r w:rsidRPr="006C4819">
              <w:rPr>
                <w:rFonts w:ascii="Arial" w:hAnsi="Arial" w:cs="Arial"/>
                <w:sz w:val="22"/>
                <w:szCs w:val="22"/>
              </w:rPr>
              <w:t>To test the efficacy of</w:t>
            </w:r>
            <w:r w:rsidR="006A70E5" w:rsidRPr="006C4819">
              <w:rPr>
                <w:rFonts w:ascii="Arial" w:hAnsi="Arial" w:cs="Arial"/>
                <w:sz w:val="22"/>
                <w:szCs w:val="22"/>
              </w:rPr>
              <w:t xml:space="preserve"> experimental interventions </w:t>
            </w:r>
            <w:r w:rsidRPr="006C4819">
              <w:rPr>
                <w:rFonts w:ascii="Arial" w:hAnsi="Arial" w:cs="Arial"/>
                <w:sz w:val="22"/>
                <w:szCs w:val="22"/>
              </w:rPr>
              <w:t xml:space="preserve">to reduce SARS-CoV-2 viral shedding </w:t>
            </w:r>
          </w:p>
        </w:tc>
        <w:tc>
          <w:tcPr>
            <w:tcW w:w="2481" w:type="pct"/>
            <w:shd w:val="clear" w:color="auto" w:fill="auto"/>
          </w:tcPr>
          <w:p w14:paraId="3A6720B5" w14:textId="136E979C" w:rsidR="0075550B" w:rsidRPr="006C4819" w:rsidRDefault="0075550B" w:rsidP="00FB2D39">
            <w:pPr>
              <w:pStyle w:val="TableText"/>
              <w:numPr>
                <w:ilvl w:val="0"/>
                <w:numId w:val="35"/>
              </w:numPr>
              <w:tabs>
                <w:tab w:val="clear" w:pos="576"/>
                <w:tab w:val="left" w:pos="668"/>
              </w:tabs>
              <w:jc w:val="both"/>
              <w:rPr>
                <w:rFonts w:ascii="Arial" w:hAnsi="Arial" w:cs="Arial"/>
                <w:sz w:val="22"/>
                <w:szCs w:val="22"/>
              </w:rPr>
            </w:pPr>
            <w:r w:rsidRPr="006C4819">
              <w:rPr>
                <w:rFonts w:ascii="Arial" w:hAnsi="Arial" w:cs="Arial"/>
                <w:sz w:val="22"/>
                <w:szCs w:val="22"/>
              </w:rPr>
              <w:t>LRTI, defined by SpO</w:t>
            </w:r>
            <w:r w:rsidRPr="006C4819">
              <w:rPr>
                <w:rFonts w:ascii="Arial" w:hAnsi="Arial" w:cs="Arial"/>
                <w:sz w:val="22"/>
                <w:szCs w:val="22"/>
                <w:vertAlign w:val="subscript"/>
              </w:rPr>
              <w:t>2</w:t>
            </w:r>
            <w:r w:rsidRPr="006C4819">
              <w:rPr>
                <w:rFonts w:ascii="Arial" w:hAnsi="Arial" w:cs="Arial"/>
                <w:sz w:val="22"/>
                <w:szCs w:val="22"/>
              </w:rPr>
              <w:t xml:space="preserve">&lt;93% or decline from baseline of 6% in 2 measurements at least 2 hours apart. </w:t>
            </w:r>
            <w:r w:rsidRPr="006C4819">
              <w:rPr>
                <w:rFonts w:ascii="Arial" w:hAnsi="Arial" w:cs="Arial"/>
                <w:i/>
                <w:sz w:val="22"/>
                <w:szCs w:val="22"/>
              </w:rPr>
              <w:t xml:space="preserve">Trial is statistically powered for this endpoint in both the high-risk </w:t>
            </w:r>
            <w:r w:rsidR="00395BA1" w:rsidRPr="006C4819">
              <w:rPr>
                <w:rFonts w:ascii="Arial" w:hAnsi="Arial" w:cs="Arial"/>
                <w:i/>
                <w:sz w:val="22"/>
                <w:szCs w:val="22"/>
              </w:rPr>
              <w:t xml:space="preserve">and low-risk </w:t>
            </w:r>
            <w:r w:rsidRPr="006C4819">
              <w:rPr>
                <w:rFonts w:ascii="Arial" w:hAnsi="Arial" w:cs="Arial"/>
                <w:i/>
                <w:sz w:val="22"/>
                <w:szCs w:val="22"/>
              </w:rPr>
              <w:t>populations. Lower-risk population is included as an exploratory analysis and will be analyzed separately to the high-risk cohort.</w:t>
            </w:r>
          </w:p>
          <w:p w14:paraId="7CD34757" w14:textId="6E788C73" w:rsidR="0075550B" w:rsidRPr="006C4819" w:rsidRDefault="0075550B" w:rsidP="00FB2D39">
            <w:pPr>
              <w:pStyle w:val="TableText"/>
              <w:numPr>
                <w:ilvl w:val="0"/>
                <w:numId w:val="35"/>
              </w:numPr>
              <w:tabs>
                <w:tab w:val="clear" w:pos="576"/>
                <w:tab w:val="left" w:pos="668"/>
              </w:tabs>
              <w:jc w:val="both"/>
              <w:rPr>
                <w:rFonts w:ascii="Arial" w:hAnsi="Arial" w:cs="Arial"/>
                <w:sz w:val="22"/>
                <w:szCs w:val="22"/>
              </w:rPr>
            </w:pPr>
            <w:r w:rsidRPr="006C4819">
              <w:rPr>
                <w:rFonts w:ascii="Arial" w:hAnsi="Arial" w:cs="Arial"/>
                <w:sz w:val="22"/>
                <w:szCs w:val="22"/>
              </w:rPr>
              <w:t xml:space="preserve">Time to clearance of nasal SARS-CoV-2, defined as </w:t>
            </w:r>
            <w:r w:rsidR="006A70E5" w:rsidRPr="006C4819">
              <w:rPr>
                <w:rFonts w:ascii="Arial" w:hAnsi="Arial" w:cs="Arial"/>
                <w:sz w:val="22"/>
                <w:szCs w:val="22"/>
              </w:rPr>
              <w:t>1</w:t>
            </w:r>
            <w:r w:rsidRPr="006C4819">
              <w:rPr>
                <w:rFonts w:ascii="Arial" w:hAnsi="Arial" w:cs="Arial"/>
                <w:sz w:val="22"/>
                <w:szCs w:val="22"/>
              </w:rPr>
              <w:t>negative swab</w:t>
            </w:r>
            <w:r w:rsidR="006A70E5" w:rsidRPr="006C4819">
              <w:rPr>
                <w:rFonts w:ascii="Arial" w:hAnsi="Arial" w:cs="Arial"/>
                <w:sz w:val="22"/>
                <w:szCs w:val="22"/>
              </w:rPr>
              <w:t>.</w:t>
            </w:r>
          </w:p>
        </w:tc>
      </w:tr>
      <w:tr w:rsidR="00F40182" w:rsidRPr="00FA7410" w14:paraId="4723F5B9" w14:textId="77777777" w:rsidTr="00833F1B">
        <w:tc>
          <w:tcPr>
            <w:tcW w:w="5000" w:type="pct"/>
            <w:gridSpan w:val="2"/>
            <w:shd w:val="clear" w:color="auto" w:fill="auto"/>
          </w:tcPr>
          <w:p w14:paraId="4550C860" w14:textId="43BB0BC5" w:rsidR="00F40182" w:rsidRPr="006C4819" w:rsidRDefault="00F40182" w:rsidP="00FB2D39">
            <w:pPr>
              <w:pStyle w:val="TableText"/>
              <w:keepNext/>
              <w:jc w:val="both"/>
              <w:rPr>
                <w:rFonts w:ascii="Arial" w:hAnsi="Arial" w:cs="Arial"/>
                <w:sz w:val="22"/>
                <w:szCs w:val="22"/>
              </w:rPr>
            </w:pPr>
            <w:r w:rsidRPr="006C4819">
              <w:rPr>
                <w:rFonts w:ascii="Arial" w:hAnsi="Arial" w:cs="Arial"/>
                <w:sz w:val="22"/>
                <w:szCs w:val="22"/>
              </w:rPr>
              <w:t>Secondary</w:t>
            </w:r>
          </w:p>
        </w:tc>
      </w:tr>
      <w:tr w:rsidR="00F40182" w:rsidRPr="00FA7410" w14:paraId="480FC934" w14:textId="77777777" w:rsidTr="00833F1B">
        <w:tc>
          <w:tcPr>
            <w:tcW w:w="2519" w:type="pct"/>
            <w:shd w:val="clear" w:color="auto" w:fill="auto"/>
          </w:tcPr>
          <w:p w14:paraId="499694CC" w14:textId="264A7A6B" w:rsidR="00F40182" w:rsidRPr="006C4819" w:rsidRDefault="00F40182" w:rsidP="00FB2D39">
            <w:pPr>
              <w:pStyle w:val="TableText"/>
              <w:numPr>
                <w:ilvl w:val="0"/>
                <w:numId w:val="36"/>
              </w:numPr>
              <w:tabs>
                <w:tab w:val="clear" w:pos="576"/>
                <w:tab w:val="left" w:pos="695"/>
              </w:tabs>
              <w:jc w:val="both"/>
              <w:rPr>
                <w:rFonts w:ascii="Arial" w:hAnsi="Arial" w:cs="Arial"/>
                <w:sz w:val="22"/>
                <w:szCs w:val="22"/>
              </w:rPr>
            </w:pPr>
            <w:r w:rsidRPr="006C4819">
              <w:rPr>
                <w:rFonts w:ascii="Arial" w:hAnsi="Arial" w:cs="Arial"/>
                <w:sz w:val="22"/>
                <w:szCs w:val="22"/>
              </w:rPr>
              <w:t>To test the safety of experimental interventions for treatment of high-risk outpatients with SARS</w:t>
            </w:r>
            <w:r w:rsidRPr="006C4819">
              <w:rPr>
                <w:rFonts w:ascii="Arial" w:hAnsi="Arial" w:cs="Arial"/>
                <w:sz w:val="22"/>
                <w:szCs w:val="22"/>
              </w:rPr>
              <w:noBreakHyphen/>
              <w:t>CoV-2 infection</w:t>
            </w:r>
          </w:p>
        </w:tc>
        <w:tc>
          <w:tcPr>
            <w:tcW w:w="2481" w:type="pct"/>
            <w:shd w:val="clear" w:color="auto" w:fill="auto"/>
          </w:tcPr>
          <w:p w14:paraId="30D720BD" w14:textId="7AC18C5E" w:rsidR="00F40182" w:rsidRPr="006C4819" w:rsidRDefault="00F40182" w:rsidP="00FB2D39">
            <w:pPr>
              <w:pStyle w:val="TableText"/>
              <w:numPr>
                <w:ilvl w:val="0"/>
                <w:numId w:val="36"/>
              </w:numPr>
              <w:tabs>
                <w:tab w:val="clear" w:pos="576"/>
                <w:tab w:val="left" w:pos="668"/>
              </w:tabs>
              <w:jc w:val="both"/>
              <w:rPr>
                <w:rFonts w:ascii="Arial" w:hAnsi="Arial" w:cs="Arial"/>
                <w:sz w:val="22"/>
                <w:szCs w:val="22"/>
              </w:rPr>
            </w:pPr>
            <w:r w:rsidRPr="006C4819">
              <w:rPr>
                <w:rFonts w:ascii="Arial" w:hAnsi="Arial" w:cs="Arial"/>
                <w:sz w:val="22"/>
                <w:szCs w:val="22"/>
              </w:rPr>
              <w:t xml:space="preserve">Serious adverse events (including death, hospitalization) and adverse events resulting in treatment discontinuation </w:t>
            </w:r>
          </w:p>
        </w:tc>
      </w:tr>
      <w:tr w:rsidR="00F40182" w:rsidRPr="00FA7410" w14:paraId="7CDCBEF5" w14:textId="77777777" w:rsidTr="00833F1B">
        <w:tc>
          <w:tcPr>
            <w:tcW w:w="2519" w:type="pct"/>
            <w:shd w:val="clear" w:color="auto" w:fill="auto"/>
          </w:tcPr>
          <w:p w14:paraId="20A6A1DD" w14:textId="4C544E9D" w:rsidR="00F40182" w:rsidRPr="006C4819" w:rsidRDefault="00F40182" w:rsidP="00FB2D39">
            <w:pPr>
              <w:pStyle w:val="TableText"/>
              <w:numPr>
                <w:ilvl w:val="0"/>
                <w:numId w:val="36"/>
              </w:numPr>
              <w:tabs>
                <w:tab w:val="clear" w:pos="576"/>
                <w:tab w:val="left" w:pos="695"/>
              </w:tabs>
              <w:jc w:val="both"/>
              <w:rPr>
                <w:rFonts w:ascii="Arial" w:hAnsi="Arial" w:cs="Arial"/>
                <w:sz w:val="22"/>
                <w:szCs w:val="22"/>
              </w:rPr>
            </w:pPr>
            <w:r w:rsidRPr="006C4819">
              <w:rPr>
                <w:rFonts w:ascii="Arial" w:hAnsi="Arial" w:cs="Arial"/>
                <w:sz w:val="22"/>
                <w:szCs w:val="22"/>
              </w:rPr>
              <w:t>To test whether any of the experimental interventions has an effect on hospitalization and describe the duration of hospitalization among persons who become hospitalized with COVID-19 disease</w:t>
            </w:r>
          </w:p>
        </w:tc>
        <w:tc>
          <w:tcPr>
            <w:tcW w:w="2481" w:type="pct"/>
            <w:shd w:val="clear" w:color="auto" w:fill="auto"/>
          </w:tcPr>
          <w:p w14:paraId="7486B650" w14:textId="77777777" w:rsidR="00F40182" w:rsidRPr="006C4819" w:rsidRDefault="00F40182" w:rsidP="00FB2D39">
            <w:pPr>
              <w:pStyle w:val="TableText"/>
              <w:numPr>
                <w:ilvl w:val="0"/>
                <w:numId w:val="36"/>
              </w:numPr>
              <w:jc w:val="both"/>
              <w:rPr>
                <w:rFonts w:ascii="Arial" w:hAnsi="Arial" w:cs="Arial"/>
                <w:sz w:val="22"/>
                <w:szCs w:val="22"/>
              </w:rPr>
            </w:pPr>
            <w:r w:rsidRPr="006C4819">
              <w:rPr>
                <w:rFonts w:ascii="Arial" w:hAnsi="Arial" w:cs="Arial"/>
                <w:sz w:val="22"/>
                <w:szCs w:val="22"/>
              </w:rPr>
              <w:t>Proportion hospitalized</w:t>
            </w:r>
          </w:p>
          <w:p w14:paraId="12A2712E" w14:textId="6F0D2142" w:rsidR="00F40182" w:rsidRPr="006C4819" w:rsidRDefault="00F40182" w:rsidP="00FB2D39">
            <w:pPr>
              <w:pStyle w:val="TableText"/>
              <w:numPr>
                <w:ilvl w:val="0"/>
                <w:numId w:val="36"/>
              </w:numPr>
              <w:jc w:val="both"/>
              <w:rPr>
                <w:rFonts w:ascii="Arial" w:hAnsi="Arial" w:cs="Arial"/>
                <w:sz w:val="22"/>
                <w:szCs w:val="22"/>
              </w:rPr>
            </w:pPr>
            <w:r w:rsidRPr="006C4819">
              <w:rPr>
                <w:rFonts w:ascii="Arial" w:hAnsi="Arial" w:cs="Arial"/>
                <w:sz w:val="22"/>
                <w:szCs w:val="22"/>
              </w:rPr>
              <w:t xml:space="preserve">Days of hospitalization </w:t>
            </w:r>
          </w:p>
        </w:tc>
      </w:tr>
      <w:tr w:rsidR="00F40182" w:rsidRPr="00FA7410" w14:paraId="4592AABD" w14:textId="77777777" w:rsidTr="00833F1B">
        <w:tc>
          <w:tcPr>
            <w:tcW w:w="2519" w:type="pct"/>
            <w:shd w:val="clear" w:color="auto" w:fill="auto"/>
          </w:tcPr>
          <w:p w14:paraId="3B96C79F" w14:textId="3C9A5378" w:rsidR="00F40182" w:rsidRPr="006C4819" w:rsidRDefault="00F40182" w:rsidP="00FB2D39">
            <w:pPr>
              <w:pStyle w:val="TableText"/>
              <w:numPr>
                <w:ilvl w:val="0"/>
                <w:numId w:val="36"/>
              </w:numPr>
              <w:tabs>
                <w:tab w:val="clear" w:pos="576"/>
                <w:tab w:val="left" w:pos="695"/>
              </w:tabs>
              <w:jc w:val="both"/>
              <w:rPr>
                <w:rFonts w:ascii="Arial" w:hAnsi="Arial" w:cs="Arial"/>
                <w:sz w:val="22"/>
                <w:szCs w:val="22"/>
              </w:rPr>
            </w:pPr>
            <w:r w:rsidRPr="006C4819">
              <w:rPr>
                <w:rFonts w:ascii="Arial" w:hAnsi="Arial" w:cs="Arial"/>
                <w:sz w:val="22"/>
                <w:szCs w:val="22"/>
              </w:rPr>
              <w:t xml:space="preserve">To test whether any of the experimental interventions decrease resolution rate for symptomatic SARS-CoV-2 infection / COVID-19 disease </w:t>
            </w:r>
          </w:p>
        </w:tc>
        <w:tc>
          <w:tcPr>
            <w:tcW w:w="2481" w:type="pct"/>
            <w:shd w:val="clear" w:color="auto" w:fill="auto"/>
          </w:tcPr>
          <w:p w14:paraId="7E55F4D3" w14:textId="77777777" w:rsidR="00F40182" w:rsidRPr="006C4819" w:rsidRDefault="00F40182" w:rsidP="00FB2D39">
            <w:pPr>
              <w:pStyle w:val="TableText"/>
              <w:numPr>
                <w:ilvl w:val="0"/>
                <w:numId w:val="36"/>
              </w:numPr>
              <w:jc w:val="both"/>
              <w:rPr>
                <w:rFonts w:ascii="Arial" w:hAnsi="Arial" w:cs="Arial"/>
                <w:sz w:val="22"/>
                <w:szCs w:val="22"/>
              </w:rPr>
            </w:pPr>
            <w:r w:rsidRPr="006C4819">
              <w:rPr>
                <w:rFonts w:ascii="Arial" w:hAnsi="Arial" w:cs="Arial"/>
                <w:sz w:val="22"/>
                <w:szCs w:val="22"/>
              </w:rPr>
              <w:t>Proportion of days with fever after randomization</w:t>
            </w:r>
          </w:p>
          <w:p w14:paraId="429E330C" w14:textId="77777777" w:rsidR="00F40182" w:rsidRPr="006C4819" w:rsidRDefault="00F40182" w:rsidP="00FB2D39">
            <w:pPr>
              <w:pStyle w:val="TableText"/>
              <w:numPr>
                <w:ilvl w:val="0"/>
                <w:numId w:val="36"/>
              </w:numPr>
              <w:jc w:val="both"/>
              <w:rPr>
                <w:rFonts w:ascii="Arial" w:hAnsi="Arial" w:cs="Arial"/>
                <w:sz w:val="22"/>
                <w:szCs w:val="22"/>
              </w:rPr>
            </w:pPr>
            <w:r w:rsidRPr="006C4819">
              <w:rPr>
                <w:rFonts w:ascii="Arial" w:hAnsi="Arial" w:cs="Arial"/>
                <w:sz w:val="22"/>
                <w:szCs w:val="22"/>
              </w:rPr>
              <w:t>Proportion of days with respiratory symptoms after randomization</w:t>
            </w:r>
          </w:p>
          <w:p w14:paraId="599BB59A" w14:textId="4A191885" w:rsidR="00F40182" w:rsidRPr="006C4819" w:rsidRDefault="00F40182" w:rsidP="00FB2D39">
            <w:pPr>
              <w:pStyle w:val="TableText"/>
              <w:numPr>
                <w:ilvl w:val="0"/>
                <w:numId w:val="36"/>
              </w:numPr>
              <w:jc w:val="both"/>
              <w:rPr>
                <w:rFonts w:ascii="Arial" w:hAnsi="Arial" w:cs="Arial"/>
                <w:sz w:val="22"/>
                <w:szCs w:val="22"/>
              </w:rPr>
            </w:pPr>
            <w:r w:rsidRPr="006C4819">
              <w:rPr>
                <w:rFonts w:ascii="Arial" w:hAnsi="Arial" w:cs="Arial"/>
                <w:sz w:val="22"/>
                <w:szCs w:val="22"/>
              </w:rPr>
              <w:t>Proportion of days with SpO2&lt;93% for &gt;1 hour/day after randomization</w:t>
            </w:r>
          </w:p>
        </w:tc>
      </w:tr>
      <w:tr w:rsidR="00F40182" w:rsidRPr="00FA7410" w14:paraId="211A71DF" w14:textId="77777777" w:rsidTr="00833F1B">
        <w:tc>
          <w:tcPr>
            <w:tcW w:w="2519" w:type="pct"/>
            <w:shd w:val="clear" w:color="auto" w:fill="auto"/>
          </w:tcPr>
          <w:p w14:paraId="0E9EB1D3" w14:textId="43D885DD" w:rsidR="00D3627E" w:rsidRPr="00BF2536" w:rsidRDefault="00D3627E" w:rsidP="00D3627E">
            <w:pPr>
              <w:pStyle w:val="TableText"/>
              <w:numPr>
                <w:ilvl w:val="0"/>
                <w:numId w:val="36"/>
              </w:numPr>
              <w:tabs>
                <w:tab w:val="clear" w:pos="576"/>
                <w:tab w:val="left" w:pos="695"/>
              </w:tabs>
              <w:jc w:val="both"/>
              <w:rPr>
                <w:rFonts w:ascii="Arial" w:hAnsi="Arial" w:cs="Arial"/>
                <w:sz w:val="22"/>
                <w:szCs w:val="22"/>
              </w:rPr>
            </w:pPr>
            <w:r w:rsidRPr="00881BB0">
              <w:rPr>
                <w:rFonts w:ascii="Arial" w:hAnsi="Arial" w:cs="Arial"/>
                <w:sz w:val="22"/>
                <w:szCs w:val="22"/>
              </w:rPr>
              <w:t>To test whether any of the experimental interventions is associated with decreased viral shedding from self-collected nasal swabs over 1</w:t>
            </w:r>
            <w:r>
              <w:rPr>
                <w:rFonts w:ascii="Arial" w:hAnsi="Arial" w:cs="Arial"/>
                <w:sz w:val="22"/>
                <w:szCs w:val="22"/>
              </w:rPr>
              <w:t>4</w:t>
            </w:r>
            <w:r w:rsidRPr="00881BB0">
              <w:rPr>
                <w:rFonts w:ascii="Arial" w:hAnsi="Arial" w:cs="Arial"/>
                <w:sz w:val="22"/>
                <w:szCs w:val="22"/>
              </w:rPr>
              <w:t xml:space="preserve"> days (Day 1,</w:t>
            </w:r>
            <w:r w:rsidR="00BD5622">
              <w:rPr>
                <w:rFonts w:ascii="Arial" w:hAnsi="Arial" w:cs="Arial"/>
                <w:sz w:val="22"/>
                <w:szCs w:val="22"/>
              </w:rPr>
              <w:t xml:space="preserve"> </w:t>
            </w:r>
            <w:r>
              <w:rPr>
                <w:rFonts w:ascii="Arial" w:hAnsi="Arial" w:cs="Arial"/>
                <w:sz w:val="22"/>
                <w:szCs w:val="22"/>
              </w:rPr>
              <w:t>Day 3,</w:t>
            </w:r>
            <w:r w:rsidRPr="00881BB0">
              <w:rPr>
                <w:rFonts w:ascii="Arial" w:hAnsi="Arial" w:cs="Arial"/>
                <w:sz w:val="22"/>
                <w:szCs w:val="22"/>
              </w:rPr>
              <w:t xml:space="preserve"> Day 5</w:t>
            </w:r>
            <w:r>
              <w:rPr>
                <w:rFonts w:ascii="Arial" w:hAnsi="Arial" w:cs="Arial"/>
                <w:sz w:val="22"/>
                <w:szCs w:val="22"/>
              </w:rPr>
              <w:t>, Day 7, Day 10</w:t>
            </w:r>
            <w:r w:rsidRPr="00881BB0">
              <w:rPr>
                <w:rFonts w:ascii="Arial" w:hAnsi="Arial" w:cs="Arial"/>
                <w:sz w:val="22"/>
                <w:szCs w:val="22"/>
              </w:rPr>
              <w:t xml:space="preserve"> and Day </w:t>
            </w:r>
            <w:proofErr w:type="gramStart"/>
            <w:r>
              <w:rPr>
                <w:rFonts w:ascii="Arial" w:hAnsi="Arial" w:cs="Arial"/>
                <w:sz w:val="22"/>
                <w:szCs w:val="22"/>
              </w:rPr>
              <w:t>14</w:t>
            </w:r>
            <w:r w:rsidRPr="00881BB0">
              <w:rPr>
                <w:rFonts w:ascii="Arial" w:hAnsi="Arial" w:cs="Arial"/>
                <w:sz w:val="22"/>
                <w:szCs w:val="22"/>
              </w:rPr>
              <w:t>)</w:t>
            </w:r>
            <w:r>
              <w:rPr>
                <w:rFonts w:ascii="Arial" w:hAnsi="Arial" w:cs="Arial"/>
                <w:sz w:val="22"/>
                <w:szCs w:val="22"/>
                <w:vertAlign w:val="superscript"/>
              </w:rPr>
              <w:t>*</w:t>
            </w:r>
            <w:proofErr w:type="gramEnd"/>
          </w:p>
          <w:p w14:paraId="26ACEDAD" w14:textId="7918AE09" w:rsidR="00F40182" w:rsidRPr="006C4819" w:rsidRDefault="00D3627E" w:rsidP="00D3627E">
            <w:pPr>
              <w:pStyle w:val="TableText"/>
              <w:tabs>
                <w:tab w:val="clear" w:pos="576"/>
                <w:tab w:val="left" w:pos="695"/>
              </w:tabs>
              <w:ind w:left="720"/>
              <w:jc w:val="both"/>
              <w:rPr>
                <w:rFonts w:ascii="Arial" w:hAnsi="Arial" w:cs="Arial"/>
                <w:sz w:val="22"/>
                <w:szCs w:val="22"/>
              </w:rPr>
            </w:pPr>
            <w:r>
              <w:rPr>
                <w:rFonts w:ascii="Arial" w:hAnsi="Arial" w:cs="Arial"/>
                <w:sz w:val="22"/>
                <w:szCs w:val="22"/>
                <w:vertAlign w:val="superscript"/>
              </w:rPr>
              <w:lastRenderedPageBreak/>
              <w:t>*</w:t>
            </w:r>
            <w:r>
              <w:rPr>
                <w:rFonts w:ascii="Arial" w:hAnsi="Arial" w:cs="Arial"/>
                <w:sz w:val="22"/>
                <w:szCs w:val="22"/>
              </w:rPr>
              <w:t>Swab collection may be decreased to Day 1, Day 5 and Day 10 in participants where multiple swabbing is not feasible.</w:t>
            </w:r>
          </w:p>
        </w:tc>
        <w:tc>
          <w:tcPr>
            <w:tcW w:w="2481" w:type="pct"/>
            <w:shd w:val="clear" w:color="auto" w:fill="auto"/>
          </w:tcPr>
          <w:p w14:paraId="58B83B5D" w14:textId="77777777" w:rsidR="00F40182" w:rsidRPr="006C4819" w:rsidRDefault="00F40182" w:rsidP="00FB2D39">
            <w:pPr>
              <w:pStyle w:val="TableText"/>
              <w:numPr>
                <w:ilvl w:val="0"/>
                <w:numId w:val="36"/>
              </w:numPr>
              <w:jc w:val="both"/>
              <w:rPr>
                <w:rFonts w:ascii="Arial" w:hAnsi="Arial" w:cs="Arial"/>
                <w:sz w:val="22"/>
                <w:szCs w:val="22"/>
              </w:rPr>
            </w:pPr>
            <w:r w:rsidRPr="006C4819">
              <w:rPr>
                <w:rFonts w:ascii="Arial" w:hAnsi="Arial" w:cs="Arial"/>
                <w:sz w:val="22"/>
                <w:szCs w:val="22"/>
              </w:rPr>
              <w:lastRenderedPageBreak/>
              <w:t>Proportion of days with SARS-CoV-2 detected from mid-nasal swabs by PCR</w:t>
            </w:r>
          </w:p>
          <w:p w14:paraId="1429C294" w14:textId="2ECA4810" w:rsidR="00F40182" w:rsidRPr="006C4819" w:rsidRDefault="00F40182" w:rsidP="00FB2D39">
            <w:pPr>
              <w:pStyle w:val="TableText"/>
              <w:numPr>
                <w:ilvl w:val="0"/>
                <w:numId w:val="36"/>
              </w:numPr>
              <w:jc w:val="both"/>
              <w:rPr>
                <w:rFonts w:ascii="Arial" w:hAnsi="Arial" w:cs="Arial"/>
                <w:sz w:val="22"/>
                <w:szCs w:val="22"/>
              </w:rPr>
            </w:pPr>
            <w:r w:rsidRPr="006C4819">
              <w:rPr>
                <w:rFonts w:ascii="Arial" w:hAnsi="Arial" w:cs="Arial"/>
                <w:sz w:val="22"/>
                <w:szCs w:val="22"/>
              </w:rPr>
              <w:t>Median quantity of SARS-CoV-2 detected from mid-nasal swabs by PCR</w:t>
            </w:r>
          </w:p>
        </w:tc>
      </w:tr>
      <w:tr w:rsidR="00F40182" w:rsidRPr="00FA7410" w14:paraId="2935E189" w14:textId="77777777" w:rsidTr="00833F1B">
        <w:tc>
          <w:tcPr>
            <w:tcW w:w="5000" w:type="pct"/>
            <w:gridSpan w:val="2"/>
            <w:shd w:val="clear" w:color="auto" w:fill="auto"/>
          </w:tcPr>
          <w:p w14:paraId="0E8F4424" w14:textId="7A7257F9" w:rsidR="00F40182" w:rsidRPr="006C4819" w:rsidRDefault="00F40182" w:rsidP="00FB2D39">
            <w:pPr>
              <w:pStyle w:val="TableText"/>
              <w:jc w:val="both"/>
              <w:rPr>
                <w:rFonts w:ascii="Arial" w:hAnsi="Arial" w:cs="Arial"/>
                <w:sz w:val="22"/>
                <w:szCs w:val="22"/>
              </w:rPr>
            </w:pPr>
            <w:r w:rsidRPr="006C4819">
              <w:rPr>
                <w:rFonts w:ascii="Arial" w:hAnsi="Arial" w:cs="Arial"/>
                <w:sz w:val="22"/>
                <w:szCs w:val="22"/>
              </w:rPr>
              <w:t>Exploratory</w:t>
            </w:r>
          </w:p>
        </w:tc>
      </w:tr>
      <w:tr w:rsidR="00F40182" w:rsidRPr="00FA7410" w14:paraId="4CBFCA45" w14:textId="77777777" w:rsidTr="00833F1B">
        <w:tc>
          <w:tcPr>
            <w:tcW w:w="2519" w:type="pct"/>
            <w:shd w:val="clear" w:color="auto" w:fill="auto"/>
          </w:tcPr>
          <w:p w14:paraId="6A0CCFC0" w14:textId="559B19F0" w:rsidR="00F40182" w:rsidRPr="006C4819" w:rsidRDefault="00F40182" w:rsidP="00FB2D39">
            <w:pPr>
              <w:pStyle w:val="TableText"/>
              <w:numPr>
                <w:ilvl w:val="0"/>
                <w:numId w:val="37"/>
              </w:numPr>
              <w:jc w:val="both"/>
              <w:rPr>
                <w:rFonts w:ascii="Arial" w:hAnsi="Arial" w:cs="Arial"/>
                <w:sz w:val="22"/>
                <w:szCs w:val="22"/>
              </w:rPr>
            </w:pPr>
            <w:r w:rsidRPr="006C4819">
              <w:rPr>
                <w:rFonts w:ascii="Arial" w:hAnsi="Arial" w:cs="Arial"/>
                <w:sz w:val="22"/>
                <w:szCs w:val="22"/>
              </w:rPr>
              <w:t xml:space="preserve">To assess pharmacokinetics </w:t>
            </w:r>
            <w:r w:rsidR="0075550B" w:rsidRPr="006C4819">
              <w:rPr>
                <w:rFonts w:ascii="Arial" w:hAnsi="Arial" w:cs="Arial"/>
                <w:sz w:val="22"/>
                <w:szCs w:val="22"/>
              </w:rPr>
              <w:t xml:space="preserve">and exposure-response relationship </w:t>
            </w:r>
            <w:r w:rsidRPr="006C4819">
              <w:rPr>
                <w:rFonts w:ascii="Arial" w:hAnsi="Arial" w:cs="Arial"/>
                <w:sz w:val="22"/>
                <w:szCs w:val="22"/>
              </w:rPr>
              <w:t xml:space="preserve">of experimental interventions </w:t>
            </w:r>
          </w:p>
        </w:tc>
        <w:tc>
          <w:tcPr>
            <w:tcW w:w="2481" w:type="pct"/>
            <w:shd w:val="clear" w:color="auto" w:fill="auto"/>
          </w:tcPr>
          <w:p w14:paraId="5338FFF2" w14:textId="17F6BC04" w:rsidR="00F40182" w:rsidRPr="006C4819" w:rsidRDefault="00F40182" w:rsidP="00FB2D39">
            <w:pPr>
              <w:pStyle w:val="TableText"/>
              <w:numPr>
                <w:ilvl w:val="0"/>
                <w:numId w:val="37"/>
              </w:numPr>
              <w:jc w:val="both"/>
              <w:rPr>
                <w:rFonts w:ascii="Arial" w:hAnsi="Arial" w:cs="Arial"/>
                <w:sz w:val="22"/>
                <w:szCs w:val="22"/>
              </w:rPr>
            </w:pPr>
            <w:r w:rsidRPr="006C4819">
              <w:rPr>
                <w:rFonts w:ascii="Arial" w:hAnsi="Arial" w:cs="Arial"/>
                <w:sz w:val="22"/>
                <w:szCs w:val="22"/>
              </w:rPr>
              <w:t>Blood concentration of each experimental intervention in DBS</w:t>
            </w:r>
          </w:p>
        </w:tc>
      </w:tr>
    </w:tbl>
    <w:p w14:paraId="59C70DA6" w14:textId="4086AE8F" w:rsidR="00381D18" w:rsidRPr="006C4819" w:rsidRDefault="00FC4C3A" w:rsidP="00FB2D39">
      <w:pPr>
        <w:pStyle w:val="Heading1"/>
        <w:spacing w:after="240"/>
        <w:rPr>
          <w:rFonts w:ascii="Arial" w:hAnsi="Arial" w:cs="Arial"/>
          <w:sz w:val="22"/>
        </w:rPr>
      </w:pPr>
      <w:bookmarkStart w:id="29" w:name="_Toc38818747"/>
      <w:r w:rsidRPr="006C4819">
        <w:rPr>
          <w:rFonts w:ascii="Arial" w:hAnsi="Arial" w:cs="Arial"/>
          <w:sz w:val="22"/>
        </w:rPr>
        <w:lastRenderedPageBreak/>
        <w:t>Study Design</w:t>
      </w:r>
      <w:bookmarkEnd w:id="27"/>
      <w:bookmarkEnd w:id="28"/>
      <w:bookmarkEnd w:id="29"/>
    </w:p>
    <w:p w14:paraId="594195C1" w14:textId="77777777" w:rsidR="00F554D1" w:rsidRPr="006C4819" w:rsidRDefault="00F554D1" w:rsidP="00FB2D39">
      <w:pPr>
        <w:pStyle w:val="Heading2"/>
        <w:jc w:val="both"/>
      </w:pPr>
      <w:bookmarkStart w:id="30" w:name="_Toc36029495"/>
      <w:bookmarkStart w:id="31" w:name="_Toc38818748"/>
      <w:r w:rsidRPr="006C4819">
        <w:t>Overall Design</w:t>
      </w:r>
      <w:bookmarkEnd w:id="30"/>
      <w:bookmarkEnd w:id="31"/>
    </w:p>
    <w:p w14:paraId="441AED65" w14:textId="6F97B1F4" w:rsidR="00F554D1" w:rsidRPr="006C4819" w:rsidRDefault="00F554D1" w:rsidP="00FB2D39">
      <w:pPr>
        <w:jc w:val="both"/>
        <w:rPr>
          <w:rFonts w:ascii="Arial" w:hAnsi="Arial" w:cs="Arial"/>
          <w:bCs/>
          <w:sz w:val="22"/>
          <w:szCs w:val="22"/>
        </w:rPr>
      </w:pPr>
      <w:r w:rsidRPr="006C4819">
        <w:rPr>
          <w:rFonts w:ascii="Arial" w:hAnsi="Arial" w:cs="Arial"/>
          <w:sz w:val="22"/>
          <w:szCs w:val="22"/>
        </w:rPr>
        <w:t xml:space="preserve">The </w:t>
      </w:r>
      <w:r w:rsidRPr="006C4819">
        <w:rPr>
          <w:rFonts w:ascii="Arial" w:hAnsi="Arial" w:cs="Arial"/>
          <w:bCs/>
          <w:sz w:val="22"/>
          <w:szCs w:val="22"/>
        </w:rPr>
        <w:t>overarching goal of this study is to assess the effectiveness of interventions on the incidence of LRTI progression among high-risk adult outpatients with SARS-CoV-2 infection to inform public health control strategies.</w:t>
      </w:r>
    </w:p>
    <w:p w14:paraId="250DCF32" w14:textId="4ED9C012" w:rsidR="007A7C87" w:rsidRPr="006C4819" w:rsidRDefault="00BE73E1" w:rsidP="00FB2D39">
      <w:pPr>
        <w:jc w:val="both"/>
        <w:rPr>
          <w:rFonts w:ascii="Arial" w:hAnsi="Arial" w:cs="Arial"/>
          <w:sz w:val="22"/>
          <w:szCs w:val="22"/>
        </w:rPr>
      </w:pPr>
      <w:r w:rsidRPr="006C4819">
        <w:rPr>
          <w:rFonts w:ascii="Arial" w:hAnsi="Arial" w:cs="Arial"/>
          <w:sz w:val="22"/>
          <w:szCs w:val="22"/>
        </w:rPr>
        <w:t>This is an international multi-</w:t>
      </w:r>
      <w:proofErr w:type="spellStart"/>
      <w:r w:rsidRPr="006C4819">
        <w:rPr>
          <w:rFonts w:ascii="Arial" w:hAnsi="Arial" w:cs="Arial"/>
          <w:sz w:val="22"/>
          <w:szCs w:val="22"/>
        </w:rPr>
        <w:t>center</w:t>
      </w:r>
      <w:proofErr w:type="spellEnd"/>
      <w:r w:rsidRPr="006C4819">
        <w:rPr>
          <w:rFonts w:ascii="Arial" w:hAnsi="Arial" w:cs="Arial"/>
          <w:sz w:val="22"/>
          <w:szCs w:val="22"/>
        </w:rPr>
        <w:t xml:space="preserve"> adaptive randomized platform trial for the treatment of SARS-CoV-2 infection in high-risk adults not requiring hospital admission. </w:t>
      </w:r>
      <w:r w:rsidR="000730D6" w:rsidRPr="006C4819">
        <w:rPr>
          <w:rFonts w:ascii="Arial" w:hAnsi="Arial" w:cs="Arial"/>
          <w:sz w:val="22"/>
          <w:szCs w:val="22"/>
        </w:rPr>
        <w:t>R</w:t>
      </w:r>
      <w:r w:rsidRPr="006C4819">
        <w:rPr>
          <w:rFonts w:ascii="Arial" w:hAnsi="Arial" w:cs="Arial"/>
          <w:sz w:val="22"/>
          <w:szCs w:val="22"/>
        </w:rPr>
        <w:t xml:space="preserve">andomization </w:t>
      </w:r>
      <w:r w:rsidR="000730D6" w:rsidRPr="006C4819">
        <w:rPr>
          <w:rFonts w:ascii="Arial" w:hAnsi="Arial" w:cs="Arial"/>
          <w:sz w:val="22"/>
          <w:szCs w:val="22"/>
        </w:rPr>
        <w:t xml:space="preserve">will be stratified on country location, time </w:t>
      </w:r>
      <w:r w:rsidR="00703EF8" w:rsidRPr="006C4819">
        <w:rPr>
          <w:rFonts w:ascii="Arial" w:hAnsi="Arial" w:cs="Arial"/>
          <w:sz w:val="22"/>
          <w:szCs w:val="22"/>
        </w:rPr>
        <w:t>since</w:t>
      </w:r>
      <w:r w:rsidR="000730D6" w:rsidRPr="006C4819">
        <w:rPr>
          <w:rFonts w:ascii="Arial" w:hAnsi="Arial" w:cs="Arial"/>
          <w:sz w:val="22"/>
          <w:szCs w:val="22"/>
        </w:rPr>
        <w:t xml:space="preserve"> symptom</w:t>
      </w:r>
      <w:r w:rsidR="00703EF8" w:rsidRPr="006C4819">
        <w:rPr>
          <w:rFonts w:ascii="Arial" w:hAnsi="Arial" w:cs="Arial"/>
          <w:sz w:val="22"/>
          <w:szCs w:val="22"/>
        </w:rPr>
        <w:t xml:space="preserve"> onset</w:t>
      </w:r>
      <w:r w:rsidR="000730D6" w:rsidRPr="006C4819">
        <w:rPr>
          <w:rFonts w:ascii="Arial" w:hAnsi="Arial" w:cs="Arial"/>
          <w:sz w:val="22"/>
          <w:szCs w:val="22"/>
        </w:rPr>
        <w:t xml:space="preserve"> (&lt;48 hours or &gt;48 hours)</w:t>
      </w:r>
      <w:r w:rsidR="00703EF8" w:rsidRPr="006C4819">
        <w:rPr>
          <w:rFonts w:ascii="Arial" w:hAnsi="Arial" w:cs="Arial"/>
          <w:sz w:val="22"/>
          <w:szCs w:val="22"/>
        </w:rPr>
        <w:t xml:space="preserve">, and HIV status at baseline. </w:t>
      </w:r>
    </w:p>
    <w:p w14:paraId="4DF1B6F2" w14:textId="2EE742FB" w:rsidR="00CF7E12" w:rsidRPr="006C4819" w:rsidRDefault="00CF7E12" w:rsidP="00FB2D39">
      <w:pPr>
        <w:jc w:val="both"/>
        <w:rPr>
          <w:rFonts w:ascii="Arial" w:hAnsi="Arial" w:cs="Arial"/>
          <w:sz w:val="22"/>
          <w:szCs w:val="22"/>
        </w:rPr>
      </w:pPr>
      <w:r w:rsidRPr="006C4819">
        <w:rPr>
          <w:rFonts w:ascii="Arial" w:hAnsi="Arial" w:cs="Arial"/>
          <w:sz w:val="22"/>
          <w:szCs w:val="22"/>
        </w:rPr>
        <w:t xml:space="preserve">Initially, this study will </w:t>
      </w:r>
      <w:proofErr w:type="spellStart"/>
      <w:r w:rsidRPr="006C4819">
        <w:rPr>
          <w:rFonts w:ascii="Arial" w:hAnsi="Arial" w:cs="Arial"/>
          <w:sz w:val="22"/>
          <w:szCs w:val="22"/>
        </w:rPr>
        <w:t>enroll</w:t>
      </w:r>
      <w:proofErr w:type="spellEnd"/>
      <w:r w:rsidRPr="006C4819">
        <w:rPr>
          <w:rFonts w:ascii="Arial" w:hAnsi="Arial" w:cs="Arial"/>
          <w:sz w:val="22"/>
          <w:szCs w:val="22"/>
        </w:rPr>
        <w:t xml:space="preserve"> up to 495 eligible adults (18 to 80 years of age) with high-risk for LRTI progression at baseline who are PCR-confirmed SARS-CoV-2 infection (165 per arm). An additional cohort of 45 eligible adults per arm (18 to 59 years of age) without risk factors for LRTI progression will also be enrolled for the co-primary virologic outcome. Eligible participants will be enrolled and randomized at an equal allocation. Recruitment rate will be assessed on a weekly basis starting at the end of second week after the first eligible patient is recruited and randomized. </w:t>
      </w:r>
    </w:p>
    <w:p w14:paraId="4C914F95" w14:textId="755B15DB" w:rsidR="00395BA1" w:rsidRPr="006C4819" w:rsidRDefault="00395BA1" w:rsidP="00FB2D39">
      <w:pPr>
        <w:pStyle w:val="ListParagraph"/>
        <w:numPr>
          <w:ilvl w:val="0"/>
          <w:numId w:val="49"/>
        </w:numPr>
        <w:rPr>
          <w:rFonts w:ascii="Arial" w:hAnsi="Arial" w:cs="Arial"/>
          <w:sz w:val="22"/>
          <w:szCs w:val="22"/>
        </w:rPr>
      </w:pPr>
      <w:r w:rsidRPr="006C4819">
        <w:rPr>
          <w:rFonts w:ascii="Arial" w:hAnsi="Arial" w:cs="Arial"/>
          <w:sz w:val="22"/>
          <w:szCs w:val="22"/>
        </w:rPr>
        <w:t xml:space="preserve">In </w:t>
      </w:r>
      <w:r w:rsidR="006C4819">
        <w:rPr>
          <w:rFonts w:ascii="Arial" w:hAnsi="Arial" w:cs="Arial"/>
          <w:sz w:val="22"/>
          <w:szCs w:val="22"/>
        </w:rPr>
        <w:t xml:space="preserve">the </w:t>
      </w:r>
      <w:r w:rsidR="00721B0D">
        <w:rPr>
          <w:rFonts w:ascii="Arial" w:hAnsi="Arial" w:cs="Arial"/>
          <w:sz w:val="22"/>
          <w:szCs w:val="22"/>
        </w:rPr>
        <w:t>US</w:t>
      </w:r>
      <w:r w:rsidRPr="006C4819">
        <w:rPr>
          <w:rFonts w:ascii="Arial" w:hAnsi="Arial" w:cs="Arial"/>
          <w:sz w:val="22"/>
          <w:szCs w:val="22"/>
        </w:rPr>
        <w:t xml:space="preserve"> for TOGETHER 1, the trial started with three arms: </w:t>
      </w:r>
      <w:r w:rsidR="006C4819">
        <w:rPr>
          <w:rFonts w:ascii="Arial" w:hAnsi="Arial" w:cs="Arial"/>
          <w:sz w:val="22"/>
          <w:szCs w:val="22"/>
        </w:rPr>
        <w:t>1A) Placebo; 1B) HCQ; and 1C) LPV/r.</w:t>
      </w:r>
    </w:p>
    <w:p w14:paraId="0A84D103" w14:textId="42573C93" w:rsidR="0075550B" w:rsidRPr="006C4819" w:rsidRDefault="00703EF8" w:rsidP="00FB2D39">
      <w:pPr>
        <w:pStyle w:val="ListParagraph"/>
        <w:numPr>
          <w:ilvl w:val="0"/>
          <w:numId w:val="49"/>
        </w:numPr>
        <w:rPr>
          <w:rFonts w:ascii="Arial" w:hAnsi="Arial" w:cs="Arial"/>
          <w:sz w:val="22"/>
          <w:szCs w:val="22"/>
        </w:rPr>
      </w:pPr>
      <w:r w:rsidRPr="006C4819">
        <w:rPr>
          <w:rFonts w:ascii="Arial" w:hAnsi="Arial" w:cs="Arial"/>
          <w:sz w:val="22"/>
          <w:szCs w:val="22"/>
        </w:rPr>
        <w:t xml:space="preserve">In Brazil for TOGETHER 2, the trial will start with </w:t>
      </w:r>
      <w:r w:rsidR="00B93322">
        <w:rPr>
          <w:rFonts w:ascii="Arial" w:hAnsi="Arial" w:cs="Arial"/>
          <w:sz w:val="22"/>
          <w:szCs w:val="22"/>
        </w:rPr>
        <w:t>four</w:t>
      </w:r>
      <w:r w:rsidRPr="006C4819">
        <w:rPr>
          <w:rFonts w:ascii="Arial" w:hAnsi="Arial" w:cs="Arial"/>
          <w:sz w:val="22"/>
          <w:szCs w:val="22"/>
        </w:rPr>
        <w:t xml:space="preserve"> arms: 2A) </w:t>
      </w:r>
      <w:r w:rsidR="0075550B" w:rsidRPr="006C4819">
        <w:rPr>
          <w:rFonts w:ascii="Arial" w:hAnsi="Arial" w:cs="Arial"/>
          <w:sz w:val="22"/>
          <w:szCs w:val="22"/>
        </w:rPr>
        <w:t>Placebo</w:t>
      </w:r>
      <w:r w:rsidRPr="006C4819">
        <w:rPr>
          <w:rFonts w:ascii="Arial" w:hAnsi="Arial" w:cs="Arial"/>
          <w:sz w:val="22"/>
          <w:szCs w:val="22"/>
        </w:rPr>
        <w:t xml:space="preserve">; 2B) </w:t>
      </w:r>
      <w:r w:rsidR="006C4819">
        <w:rPr>
          <w:rFonts w:ascii="Arial" w:hAnsi="Arial" w:cs="Arial"/>
          <w:sz w:val="22"/>
          <w:szCs w:val="22"/>
        </w:rPr>
        <w:t>H</w:t>
      </w:r>
      <w:r w:rsidR="0075550B" w:rsidRPr="006C4819">
        <w:rPr>
          <w:rFonts w:ascii="Arial" w:hAnsi="Arial" w:cs="Arial"/>
          <w:sz w:val="22"/>
          <w:szCs w:val="22"/>
        </w:rPr>
        <w:t>CQ;</w:t>
      </w:r>
      <w:r w:rsidR="006C4819">
        <w:rPr>
          <w:rFonts w:ascii="Arial" w:hAnsi="Arial" w:cs="Arial"/>
          <w:sz w:val="22"/>
          <w:szCs w:val="22"/>
        </w:rPr>
        <w:t xml:space="preserve"> 2C) LPV/r</w:t>
      </w:r>
      <w:r w:rsidR="0075550B" w:rsidRPr="006C4819">
        <w:rPr>
          <w:rFonts w:ascii="Arial" w:hAnsi="Arial" w:cs="Arial"/>
          <w:sz w:val="22"/>
          <w:szCs w:val="22"/>
        </w:rPr>
        <w:t xml:space="preserve"> and 2</w:t>
      </w:r>
      <w:r w:rsidR="006C4819">
        <w:rPr>
          <w:rFonts w:ascii="Arial" w:hAnsi="Arial" w:cs="Arial"/>
          <w:sz w:val="22"/>
          <w:szCs w:val="22"/>
        </w:rPr>
        <w:t>D</w:t>
      </w:r>
      <w:r w:rsidR="0075550B" w:rsidRPr="006C4819">
        <w:rPr>
          <w:rFonts w:ascii="Arial" w:hAnsi="Arial" w:cs="Arial"/>
          <w:sz w:val="22"/>
          <w:szCs w:val="22"/>
        </w:rPr>
        <w:t xml:space="preserve">) </w:t>
      </w:r>
      <w:r w:rsidR="00137D66" w:rsidRPr="006C4819">
        <w:rPr>
          <w:rFonts w:ascii="Arial" w:hAnsi="Arial" w:cs="Arial"/>
          <w:sz w:val="22"/>
          <w:szCs w:val="22"/>
        </w:rPr>
        <w:t xml:space="preserve">HCQ + </w:t>
      </w:r>
      <w:r w:rsidR="006C4819">
        <w:rPr>
          <w:rFonts w:ascii="Arial" w:hAnsi="Arial" w:cs="Arial"/>
          <w:sz w:val="22"/>
          <w:szCs w:val="22"/>
        </w:rPr>
        <w:t>LPV/r</w:t>
      </w:r>
      <w:r w:rsidR="00137D66" w:rsidRPr="006C4819">
        <w:rPr>
          <w:rFonts w:ascii="Arial" w:hAnsi="Arial" w:cs="Arial"/>
          <w:sz w:val="22"/>
          <w:szCs w:val="22"/>
        </w:rPr>
        <w:t xml:space="preserve">. </w:t>
      </w:r>
    </w:p>
    <w:p w14:paraId="235F5A0D" w14:textId="46642F10" w:rsidR="0075550B" w:rsidRPr="006C4819" w:rsidRDefault="00703EF8" w:rsidP="00FB2D39">
      <w:pPr>
        <w:pStyle w:val="ListParagraph"/>
        <w:numPr>
          <w:ilvl w:val="0"/>
          <w:numId w:val="49"/>
        </w:numPr>
        <w:rPr>
          <w:rFonts w:ascii="Arial" w:hAnsi="Arial" w:cs="Arial"/>
          <w:sz w:val="22"/>
          <w:szCs w:val="22"/>
        </w:rPr>
      </w:pPr>
      <w:r w:rsidRPr="006C4819">
        <w:rPr>
          <w:rFonts w:ascii="Arial" w:hAnsi="Arial" w:cs="Arial"/>
          <w:sz w:val="22"/>
          <w:szCs w:val="22"/>
        </w:rPr>
        <w:t xml:space="preserve">In South Africa for TOGETHER 3, the trial will start with </w:t>
      </w:r>
      <w:r w:rsidR="00395BA1" w:rsidRPr="006C4819">
        <w:rPr>
          <w:rFonts w:ascii="Arial" w:hAnsi="Arial" w:cs="Arial"/>
          <w:sz w:val="22"/>
          <w:szCs w:val="22"/>
        </w:rPr>
        <w:t xml:space="preserve">three </w:t>
      </w:r>
      <w:r w:rsidRPr="006C4819">
        <w:rPr>
          <w:rFonts w:ascii="Arial" w:hAnsi="Arial" w:cs="Arial"/>
          <w:sz w:val="22"/>
          <w:szCs w:val="22"/>
        </w:rPr>
        <w:t xml:space="preserve">arms: 3A) </w:t>
      </w:r>
      <w:r w:rsidR="006C4819">
        <w:rPr>
          <w:rFonts w:ascii="Arial" w:hAnsi="Arial" w:cs="Arial"/>
          <w:sz w:val="22"/>
          <w:szCs w:val="22"/>
        </w:rPr>
        <w:t>P</w:t>
      </w:r>
      <w:r w:rsidRPr="006C4819">
        <w:rPr>
          <w:rFonts w:ascii="Arial" w:hAnsi="Arial" w:cs="Arial"/>
          <w:sz w:val="22"/>
          <w:szCs w:val="22"/>
        </w:rPr>
        <w:t>lacebo; 3B)</w:t>
      </w:r>
      <w:r w:rsidR="0075550B" w:rsidRPr="006C4819">
        <w:rPr>
          <w:rFonts w:ascii="Arial" w:hAnsi="Arial" w:cs="Arial"/>
          <w:sz w:val="22"/>
          <w:szCs w:val="22"/>
        </w:rPr>
        <w:t xml:space="preserve"> LPV/r</w:t>
      </w:r>
      <w:r w:rsidR="006C4819">
        <w:rPr>
          <w:rFonts w:ascii="Arial" w:hAnsi="Arial" w:cs="Arial"/>
          <w:sz w:val="22"/>
          <w:szCs w:val="22"/>
        </w:rPr>
        <w:t>;</w:t>
      </w:r>
      <w:r w:rsidR="003C6C7F" w:rsidRPr="006C4819">
        <w:rPr>
          <w:rFonts w:ascii="Arial" w:hAnsi="Arial" w:cs="Arial"/>
          <w:sz w:val="22"/>
          <w:szCs w:val="22"/>
        </w:rPr>
        <w:t xml:space="preserve"> and</w:t>
      </w:r>
      <w:r w:rsidR="006C4819">
        <w:rPr>
          <w:rFonts w:ascii="Arial" w:hAnsi="Arial" w:cs="Arial"/>
          <w:sz w:val="22"/>
          <w:szCs w:val="22"/>
        </w:rPr>
        <w:t xml:space="preserve"> </w:t>
      </w:r>
      <w:r w:rsidRPr="006C4819">
        <w:rPr>
          <w:rFonts w:ascii="Arial" w:hAnsi="Arial" w:cs="Arial"/>
          <w:sz w:val="22"/>
          <w:szCs w:val="22"/>
        </w:rPr>
        <w:t xml:space="preserve">3C) </w:t>
      </w:r>
      <w:r w:rsidR="0075550B" w:rsidRPr="006C4819">
        <w:rPr>
          <w:rFonts w:ascii="Arial" w:hAnsi="Arial" w:cs="Arial"/>
          <w:sz w:val="22"/>
          <w:szCs w:val="22"/>
        </w:rPr>
        <w:t xml:space="preserve">Azithromycin </w:t>
      </w:r>
    </w:p>
    <w:p w14:paraId="4E1A2BF1" w14:textId="416B72D7" w:rsidR="00352FF4" w:rsidRPr="00371DCB" w:rsidRDefault="00352FF4" w:rsidP="00FB2D39">
      <w:pPr>
        <w:jc w:val="both"/>
        <w:rPr>
          <w:rFonts w:ascii="-webkit-standard" w:hAnsi="-webkit-standard"/>
          <w:color w:val="000000"/>
        </w:rPr>
      </w:pPr>
      <w:r w:rsidRPr="00371DCB">
        <w:rPr>
          <w:rFonts w:ascii="Arial" w:hAnsi="Arial" w:cs="Arial"/>
          <w:sz w:val="22"/>
          <w:szCs w:val="22"/>
        </w:rPr>
        <w:br w:type="page"/>
      </w:r>
    </w:p>
    <w:p w14:paraId="3868D088" w14:textId="77777777" w:rsidR="00352FF4" w:rsidRPr="00371DCB" w:rsidRDefault="00352FF4" w:rsidP="00FB2D39">
      <w:pPr>
        <w:jc w:val="both"/>
        <w:rPr>
          <w:rFonts w:ascii="Arial" w:hAnsi="Arial" w:cs="Arial"/>
          <w:sz w:val="22"/>
          <w:szCs w:val="22"/>
        </w:rPr>
      </w:pPr>
    </w:p>
    <w:p w14:paraId="17E33ECB" w14:textId="76B7CF36" w:rsidR="00703EF8" w:rsidRPr="00371DCB" w:rsidRDefault="00703EF8" w:rsidP="00FB2D39">
      <w:pPr>
        <w:jc w:val="both"/>
        <w:rPr>
          <w:rFonts w:ascii="Arial" w:hAnsi="Arial" w:cs="Arial"/>
          <w:sz w:val="22"/>
          <w:szCs w:val="22"/>
        </w:rPr>
      </w:pPr>
      <w:r w:rsidRPr="00371DCB">
        <w:rPr>
          <w:rFonts w:ascii="Arial" w:hAnsi="Arial" w:cs="Arial"/>
          <w:sz w:val="22"/>
          <w:szCs w:val="22"/>
        </w:rPr>
        <w:t xml:space="preserve">The control data (ascorbic acid) from </w:t>
      </w:r>
      <w:r w:rsidR="0075550B" w:rsidRPr="00371DCB">
        <w:rPr>
          <w:rFonts w:ascii="Arial" w:hAnsi="Arial" w:cs="Arial"/>
          <w:sz w:val="22"/>
          <w:szCs w:val="22"/>
        </w:rPr>
        <w:t>the US study</w:t>
      </w:r>
      <w:r w:rsidRPr="00371DCB">
        <w:rPr>
          <w:rFonts w:ascii="Arial" w:hAnsi="Arial" w:cs="Arial"/>
          <w:sz w:val="22"/>
          <w:szCs w:val="22"/>
        </w:rPr>
        <w:t xml:space="preserve"> </w:t>
      </w:r>
      <w:r w:rsidR="0075550B" w:rsidRPr="00371DCB">
        <w:rPr>
          <w:rFonts w:ascii="Arial" w:hAnsi="Arial" w:cs="Arial"/>
          <w:sz w:val="22"/>
          <w:szCs w:val="22"/>
        </w:rPr>
        <w:t>may</w:t>
      </w:r>
      <w:r w:rsidRPr="00371DCB">
        <w:rPr>
          <w:rFonts w:ascii="Arial" w:hAnsi="Arial" w:cs="Arial"/>
          <w:sz w:val="22"/>
          <w:szCs w:val="22"/>
        </w:rPr>
        <w:t xml:space="preserve"> be used in conjunction with the control data from </w:t>
      </w:r>
      <w:r w:rsidR="0075550B" w:rsidRPr="00371DCB">
        <w:rPr>
          <w:rFonts w:ascii="Arial" w:hAnsi="Arial" w:cs="Arial"/>
          <w:sz w:val="22"/>
          <w:szCs w:val="22"/>
        </w:rPr>
        <w:t xml:space="preserve">Brazil and South Africa. </w:t>
      </w:r>
    </w:p>
    <w:p w14:paraId="562F4497" w14:textId="43DDB163" w:rsidR="00BE73E1" w:rsidRPr="00371DCB" w:rsidRDefault="00BE73E1" w:rsidP="00FB2D39">
      <w:pPr>
        <w:jc w:val="both"/>
        <w:rPr>
          <w:rFonts w:ascii="Arial" w:hAnsi="Arial" w:cs="Arial"/>
          <w:sz w:val="22"/>
          <w:szCs w:val="22"/>
        </w:rPr>
      </w:pPr>
      <w:r w:rsidRPr="00371DCB">
        <w:rPr>
          <w:rFonts w:ascii="Arial" w:hAnsi="Arial" w:cs="Arial"/>
          <w:sz w:val="22"/>
          <w:szCs w:val="22"/>
        </w:rPr>
        <w:t xml:space="preserve">Other chloroquine-based therapies, antiviral therapies, azithromycin, and other affordable candidate drug regimens that can be repurposed for COVID-19 may also be considered for this trial. The decision to add new therapeutic strategies will be made based on external findings with consultations of the local stakeholders. Therapies that can </w:t>
      </w:r>
      <w:r w:rsidR="00665BC4" w:rsidRPr="00371DCB">
        <w:rPr>
          <w:rFonts w:ascii="Arial" w:hAnsi="Arial" w:cs="Arial"/>
          <w:sz w:val="22"/>
          <w:szCs w:val="22"/>
        </w:rPr>
        <w:t xml:space="preserve">be </w:t>
      </w:r>
      <w:r w:rsidRPr="00371DCB">
        <w:rPr>
          <w:rFonts w:ascii="Arial" w:hAnsi="Arial" w:cs="Arial"/>
          <w:sz w:val="22"/>
          <w:szCs w:val="22"/>
        </w:rPr>
        <w:t>repurposed for COVID-19 will be prioritized since they offer more affordable and scalable therapeutic options for LMICs. The added arm will be tested with standardized eligibility criteria, outcomes, and measurements, as the other experimental interventions.</w:t>
      </w:r>
    </w:p>
    <w:p w14:paraId="7F23279A" w14:textId="0B02DF10" w:rsidR="00703EF8" w:rsidRPr="00371DCB" w:rsidRDefault="00703EF8" w:rsidP="00FB2D39">
      <w:pPr>
        <w:jc w:val="both"/>
        <w:rPr>
          <w:rFonts w:ascii="Arial" w:hAnsi="Arial" w:cs="Arial"/>
          <w:color w:val="000000"/>
          <w:sz w:val="22"/>
          <w:szCs w:val="22"/>
        </w:rPr>
      </w:pPr>
      <w:r w:rsidRPr="00371DCB">
        <w:rPr>
          <w:rFonts w:ascii="Arial" w:hAnsi="Arial" w:cs="Arial"/>
          <w:color w:val="000000"/>
          <w:sz w:val="22"/>
          <w:szCs w:val="22"/>
        </w:rPr>
        <w:t>An independent data and safety monitoring board (DSMB) will be convened for this study with expertise in COVID-19 or respiratory viruses and emerging epidemics as well as biostatistics. The purpose of the DSMB is to monitor the study for operational futility, social harms, and efficacy. The DSMB will also review the blinded sample size re-assessment plan, proposed sample size changes</w:t>
      </w:r>
      <w:r w:rsidR="0075550B" w:rsidRPr="00371DCB">
        <w:rPr>
          <w:rFonts w:ascii="Arial" w:hAnsi="Arial" w:cs="Arial"/>
          <w:color w:val="000000"/>
          <w:sz w:val="22"/>
          <w:szCs w:val="22"/>
        </w:rPr>
        <w:t xml:space="preserve">, </w:t>
      </w:r>
      <w:r w:rsidRPr="00371DCB">
        <w:rPr>
          <w:rFonts w:ascii="Arial" w:hAnsi="Arial" w:cs="Arial"/>
          <w:color w:val="000000"/>
          <w:sz w:val="22"/>
          <w:szCs w:val="22"/>
        </w:rPr>
        <w:t>and make recommendations on the allocation ratio, in case the new intervention arms are added.  If additional data emerge on alternative effective agents, the protocol could be modified through an amendment to alter its sample size and evaluate alternative therapies.</w:t>
      </w:r>
    </w:p>
    <w:p w14:paraId="4FB131E2" w14:textId="0917AD4B" w:rsidR="007A7C87" w:rsidRPr="00371DCB" w:rsidRDefault="007A7C87" w:rsidP="00FB2D39">
      <w:pPr>
        <w:jc w:val="both"/>
        <w:rPr>
          <w:rFonts w:ascii="Arial" w:hAnsi="Arial" w:cs="Arial"/>
          <w:sz w:val="22"/>
          <w:szCs w:val="22"/>
        </w:rPr>
      </w:pPr>
      <w:r w:rsidRPr="00371DCB">
        <w:rPr>
          <w:rFonts w:ascii="Arial" w:hAnsi="Arial" w:cs="Arial"/>
          <w:sz w:val="22"/>
          <w:szCs w:val="22"/>
        </w:rPr>
        <w:t xml:space="preserve">A blinded sample size re-assessment will be done to potentially increase the sample size target during the trial, should a lower control event rate (CER) and/or higher drop-out rate be observed. The decision on the timing of the sample size re-assessment will be made by the independent DSMB during the trial based on the observed recruitment rate. The DSMB will also decide on a possible interim analysis during the trial after the sample size re-assessment based on the information on the observed recruitment rate, the CER, the drop-out rate, and the final sample size target, if applicable. </w:t>
      </w:r>
    </w:p>
    <w:p w14:paraId="1E7027BD" w14:textId="7A5FF8D3" w:rsidR="007A7C87" w:rsidRPr="00371DCB" w:rsidRDefault="007A7C87" w:rsidP="00FB2D39">
      <w:pPr>
        <w:jc w:val="both"/>
        <w:rPr>
          <w:rFonts w:ascii="Arial" w:hAnsi="Arial" w:cs="Arial"/>
          <w:sz w:val="22"/>
          <w:szCs w:val="22"/>
        </w:rPr>
      </w:pPr>
      <w:r w:rsidRPr="00371DCB">
        <w:rPr>
          <w:rFonts w:ascii="Arial" w:hAnsi="Arial" w:cs="Arial"/>
          <w:sz w:val="22"/>
          <w:szCs w:val="22"/>
        </w:rPr>
        <w:t>The decision for interim analysis will be made in a blinded manner (e.g., based on pooled number of events). The interim monitoring plan (written by the Study Statistician) will define monitoring bounds to maintain the two</w:t>
      </w:r>
      <w:r w:rsidRPr="00371DCB">
        <w:rPr>
          <w:rFonts w:ascii="Arial" w:hAnsi="Arial" w:cs="Arial"/>
          <w:sz w:val="22"/>
          <w:szCs w:val="22"/>
        </w:rPr>
        <w:noBreakHyphen/>
        <w:t xml:space="preserve">sided type I error rate at the desired 5% (e.g. 97.5% or higher probability of superiority over the control group). Should </w:t>
      </w:r>
      <w:r w:rsidR="00CF7E12" w:rsidRPr="00371DCB">
        <w:rPr>
          <w:rFonts w:ascii="Arial" w:hAnsi="Arial" w:cs="Arial"/>
          <w:sz w:val="22"/>
          <w:szCs w:val="22"/>
        </w:rPr>
        <w:t xml:space="preserve">a </w:t>
      </w:r>
      <w:r w:rsidRPr="00371DCB">
        <w:rPr>
          <w:rFonts w:ascii="Arial" w:hAnsi="Arial" w:cs="Arial"/>
          <w:sz w:val="22"/>
          <w:szCs w:val="22"/>
        </w:rPr>
        <w:t xml:space="preserve">new experimental candidate be added during the trial, allocation ratios will be adapted to </w:t>
      </w:r>
      <w:proofErr w:type="spellStart"/>
      <w:r w:rsidRPr="00371DCB">
        <w:rPr>
          <w:rFonts w:ascii="Arial" w:hAnsi="Arial" w:cs="Arial"/>
          <w:sz w:val="22"/>
          <w:szCs w:val="22"/>
        </w:rPr>
        <w:t>favor</w:t>
      </w:r>
      <w:proofErr w:type="spellEnd"/>
      <w:r w:rsidRPr="00371DCB">
        <w:rPr>
          <w:rFonts w:ascii="Arial" w:hAnsi="Arial" w:cs="Arial"/>
          <w:sz w:val="22"/>
          <w:szCs w:val="22"/>
        </w:rPr>
        <w:t xml:space="preserve"> the new arm</w:t>
      </w:r>
      <w:r w:rsidR="00CF7E12" w:rsidRPr="00371DCB">
        <w:rPr>
          <w:rFonts w:ascii="Arial" w:hAnsi="Arial" w:cs="Arial"/>
          <w:sz w:val="22"/>
          <w:szCs w:val="22"/>
        </w:rPr>
        <w:t xml:space="preserve">. </w:t>
      </w:r>
    </w:p>
    <w:p w14:paraId="595A0AFE" w14:textId="137A9BE2" w:rsidR="00337705" w:rsidRPr="00371DCB" w:rsidRDefault="00337705" w:rsidP="00FB2D39">
      <w:pPr>
        <w:jc w:val="both"/>
        <w:rPr>
          <w:rFonts w:ascii="Arial" w:hAnsi="Arial" w:cs="Arial"/>
          <w:sz w:val="22"/>
          <w:szCs w:val="22"/>
          <w:lang w:eastAsia="ja-JP"/>
        </w:rPr>
      </w:pPr>
      <w:r w:rsidRPr="00371DCB">
        <w:rPr>
          <w:rFonts w:ascii="Arial" w:hAnsi="Arial" w:cs="Arial"/>
          <w:sz w:val="22"/>
          <w:szCs w:val="22"/>
        </w:rPr>
        <w:t>If additional data emerge on alternative potentially effective agents for SARS-CoV-2, additional arms can be added to the study as a new intervention appendix to the protocol. The standardized operating procedures and comprehensive statistical analysis plans will allow for integration of new arms.</w:t>
      </w:r>
    </w:p>
    <w:p w14:paraId="7BDFF66F" w14:textId="77777777" w:rsidR="00F554D1" w:rsidRPr="00371DCB" w:rsidRDefault="00F554D1" w:rsidP="00FB2D39">
      <w:pPr>
        <w:pStyle w:val="Heading2"/>
        <w:jc w:val="both"/>
      </w:pPr>
      <w:bookmarkStart w:id="32" w:name="_Toc36029496"/>
      <w:bookmarkStart w:id="33" w:name="_Toc38818749"/>
      <w:r w:rsidRPr="00371DCB">
        <w:t>Participant and Study Completion</w:t>
      </w:r>
      <w:bookmarkEnd w:id="32"/>
      <w:bookmarkEnd w:id="33"/>
    </w:p>
    <w:p w14:paraId="601156EC" w14:textId="096C88C0" w:rsidR="00CF7E12" w:rsidRPr="00371DCB" w:rsidRDefault="00CF7E12" w:rsidP="00FB2D39">
      <w:pPr>
        <w:jc w:val="both"/>
        <w:rPr>
          <w:rFonts w:ascii="Arial" w:hAnsi="Arial" w:cs="Arial"/>
          <w:sz w:val="22"/>
          <w:szCs w:val="22"/>
        </w:rPr>
      </w:pPr>
      <w:r w:rsidRPr="00371DCB">
        <w:rPr>
          <w:rFonts w:ascii="Arial" w:hAnsi="Arial" w:cs="Arial"/>
          <w:sz w:val="22"/>
          <w:szCs w:val="22"/>
        </w:rPr>
        <w:t>As an initial target, up to 165 high risk participants and 45 low risk participants per arm will be randomly assigned to study treatment or control. This sample size target will likely increase based on the blinded sample size re-assessment.</w:t>
      </w:r>
    </w:p>
    <w:p w14:paraId="358C61A4" w14:textId="0C8B88F2" w:rsidR="00F554D1" w:rsidRPr="00371DCB" w:rsidRDefault="00F554D1" w:rsidP="00FB2D39">
      <w:pPr>
        <w:jc w:val="both"/>
        <w:rPr>
          <w:rFonts w:ascii="Arial" w:hAnsi="Arial" w:cs="Arial"/>
          <w:sz w:val="22"/>
          <w:szCs w:val="22"/>
        </w:rPr>
      </w:pPr>
      <w:r w:rsidRPr="00371DCB">
        <w:rPr>
          <w:rFonts w:ascii="Arial" w:hAnsi="Arial" w:cs="Arial"/>
          <w:sz w:val="22"/>
          <w:szCs w:val="22"/>
        </w:rPr>
        <w:t>A participant is considered to have completed the study if he/she has completed all phases of the study including the last scheduled procedure shown in the Schedule of Activities (</w:t>
      </w:r>
      <w:proofErr w:type="spellStart"/>
      <w:r w:rsidRPr="00371DCB">
        <w:rPr>
          <w:rFonts w:ascii="Arial" w:hAnsi="Arial" w:cs="Arial"/>
          <w:sz w:val="22"/>
          <w:szCs w:val="22"/>
        </w:rPr>
        <w:t>SoA</w:t>
      </w:r>
      <w:proofErr w:type="spellEnd"/>
      <w:r w:rsidRPr="00371DCB">
        <w:rPr>
          <w:rFonts w:ascii="Arial" w:hAnsi="Arial" w:cs="Arial"/>
          <w:sz w:val="22"/>
          <w:szCs w:val="22"/>
        </w:rPr>
        <w:t>).</w:t>
      </w:r>
      <w:r w:rsidR="00337705" w:rsidRPr="00371DCB">
        <w:rPr>
          <w:rFonts w:ascii="Arial" w:hAnsi="Arial" w:cs="Arial"/>
          <w:sz w:val="22"/>
          <w:szCs w:val="22"/>
        </w:rPr>
        <w:t xml:space="preserve"> </w:t>
      </w:r>
      <w:r w:rsidRPr="00371DCB">
        <w:rPr>
          <w:rFonts w:ascii="Arial" w:hAnsi="Arial" w:cs="Arial"/>
          <w:sz w:val="22"/>
          <w:szCs w:val="22"/>
        </w:rPr>
        <w:t>Th</w:t>
      </w:r>
      <w:r w:rsidR="00337705" w:rsidRPr="00371DCB">
        <w:rPr>
          <w:rFonts w:ascii="Arial" w:hAnsi="Arial" w:cs="Arial"/>
          <w:sz w:val="22"/>
          <w:szCs w:val="22"/>
        </w:rPr>
        <w:t xml:space="preserve">e clinical evaluation of each experimental </w:t>
      </w:r>
      <w:r w:rsidR="00703EF8" w:rsidRPr="00371DCB">
        <w:rPr>
          <w:rFonts w:ascii="Arial" w:hAnsi="Arial" w:cs="Arial"/>
          <w:sz w:val="22"/>
          <w:szCs w:val="22"/>
        </w:rPr>
        <w:t>intervention</w:t>
      </w:r>
      <w:r w:rsidR="00337705" w:rsidRPr="00371DCB">
        <w:rPr>
          <w:rFonts w:ascii="Arial" w:hAnsi="Arial" w:cs="Arial"/>
          <w:sz w:val="22"/>
          <w:szCs w:val="22"/>
        </w:rPr>
        <w:t xml:space="preserve"> </w:t>
      </w:r>
      <w:r w:rsidRPr="00371DCB">
        <w:rPr>
          <w:rFonts w:ascii="Arial" w:hAnsi="Arial" w:cs="Arial"/>
          <w:sz w:val="22"/>
          <w:szCs w:val="22"/>
        </w:rPr>
        <w:t>will be considered completed when sufficient number of participants complete the study to enable appropriate evaluation of the primary endpoint.</w:t>
      </w:r>
    </w:p>
    <w:p w14:paraId="18938979" w14:textId="77777777" w:rsidR="00381D18" w:rsidRPr="00371DCB" w:rsidRDefault="00FC4C3A" w:rsidP="00FB2D39">
      <w:pPr>
        <w:pStyle w:val="Heading1"/>
        <w:rPr>
          <w:rFonts w:ascii="Arial" w:hAnsi="Arial" w:cs="Arial"/>
          <w:sz w:val="22"/>
        </w:rPr>
      </w:pPr>
      <w:bookmarkStart w:id="34" w:name="_Toc38818750"/>
      <w:r w:rsidRPr="00371DCB">
        <w:rPr>
          <w:rFonts w:ascii="Arial" w:hAnsi="Arial" w:cs="Arial"/>
          <w:sz w:val="22"/>
        </w:rPr>
        <w:lastRenderedPageBreak/>
        <w:t>Study Population</w:t>
      </w:r>
      <w:bookmarkEnd w:id="34"/>
    </w:p>
    <w:p w14:paraId="2376E66D"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Prospective approval of protocol deviations to recruitment and </w:t>
      </w:r>
      <w:proofErr w:type="spellStart"/>
      <w:r w:rsidRPr="00371DCB">
        <w:rPr>
          <w:rFonts w:ascii="Arial" w:hAnsi="Arial" w:cs="Arial"/>
          <w:sz w:val="22"/>
          <w:szCs w:val="22"/>
        </w:rPr>
        <w:t>enrollment</w:t>
      </w:r>
      <w:proofErr w:type="spellEnd"/>
      <w:r w:rsidRPr="00371DCB">
        <w:rPr>
          <w:rFonts w:ascii="Arial" w:hAnsi="Arial" w:cs="Arial"/>
          <w:sz w:val="22"/>
          <w:szCs w:val="22"/>
        </w:rPr>
        <w:t xml:space="preserve"> criteria, also known as protocol waivers or exemptions, is not permitted.</w:t>
      </w:r>
    </w:p>
    <w:p w14:paraId="2372B68C" w14:textId="77777777" w:rsidR="00F554D1" w:rsidRPr="00371DCB" w:rsidRDefault="00F554D1" w:rsidP="00FB2D39">
      <w:pPr>
        <w:pStyle w:val="Heading2"/>
        <w:jc w:val="both"/>
      </w:pPr>
      <w:bookmarkStart w:id="35" w:name="_Toc36029498"/>
      <w:bookmarkStart w:id="36" w:name="_Toc38818751"/>
      <w:r w:rsidRPr="00371DCB">
        <w:t>Inclusion Criteria</w:t>
      </w:r>
      <w:bookmarkEnd w:id="35"/>
      <w:bookmarkEnd w:id="36"/>
    </w:p>
    <w:p w14:paraId="02D1CF43"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Participants are eligible to be included in the study only if all of the following criteria apply:</w:t>
      </w:r>
    </w:p>
    <w:p w14:paraId="4608EBDF"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High-risk cohort:</w:t>
      </w:r>
    </w:p>
    <w:p w14:paraId="5F4D9C22" w14:textId="77777777" w:rsidR="00F554D1" w:rsidRPr="00371DCB" w:rsidRDefault="00F554D1" w:rsidP="00FB2D39">
      <w:pPr>
        <w:pStyle w:val="ListParagraph"/>
        <w:numPr>
          <w:ilvl w:val="0"/>
          <w:numId w:val="5"/>
        </w:numPr>
        <w:rPr>
          <w:rFonts w:ascii="Arial" w:hAnsi="Arial" w:cs="Arial"/>
          <w:sz w:val="22"/>
          <w:szCs w:val="22"/>
        </w:rPr>
      </w:pPr>
      <w:r w:rsidRPr="00371DCB">
        <w:rPr>
          <w:rFonts w:ascii="Arial" w:hAnsi="Arial" w:cs="Arial"/>
          <w:sz w:val="22"/>
          <w:szCs w:val="22"/>
        </w:rPr>
        <w:t>Men or women 18-80 years, inclusive, at the time of signing the informed consent</w:t>
      </w:r>
    </w:p>
    <w:p w14:paraId="3F6BB831" w14:textId="77777777" w:rsidR="00F554D1" w:rsidRPr="00371DCB" w:rsidRDefault="00F554D1" w:rsidP="00FB2D39">
      <w:pPr>
        <w:pStyle w:val="ListParagraph"/>
        <w:numPr>
          <w:ilvl w:val="0"/>
          <w:numId w:val="5"/>
        </w:numPr>
        <w:spacing w:before="0" w:after="120" w:line="276" w:lineRule="auto"/>
        <w:rPr>
          <w:rFonts w:ascii="Arial" w:hAnsi="Arial" w:cs="Arial"/>
          <w:sz w:val="22"/>
          <w:szCs w:val="22"/>
        </w:rPr>
      </w:pPr>
      <w:r w:rsidRPr="00371DCB">
        <w:rPr>
          <w:rFonts w:ascii="Arial" w:hAnsi="Arial" w:cs="Arial"/>
          <w:sz w:val="22"/>
          <w:szCs w:val="22"/>
        </w:rPr>
        <w:t>Willing and able to provide informed consent</w:t>
      </w:r>
    </w:p>
    <w:p w14:paraId="0A1E7669" w14:textId="33D43C05" w:rsidR="00F554D1" w:rsidRPr="00371DCB" w:rsidRDefault="00F554D1" w:rsidP="00FB2D39">
      <w:pPr>
        <w:pStyle w:val="ListParagraph"/>
        <w:numPr>
          <w:ilvl w:val="0"/>
          <w:numId w:val="5"/>
        </w:numPr>
        <w:spacing w:before="0" w:after="120" w:line="276" w:lineRule="auto"/>
        <w:rPr>
          <w:rFonts w:ascii="Arial" w:hAnsi="Arial" w:cs="Arial"/>
          <w:sz w:val="22"/>
          <w:szCs w:val="22"/>
        </w:rPr>
      </w:pPr>
      <w:r w:rsidRPr="00371DCB">
        <w:rPr>
          <w:rFonts w:ascii="Arial" w:hAnsi="Arial" w:cs="Arial"/>
          <w:sz w:val="22"/>
          <w:szCs w:val="22"/>
        </w:rPr>
        <w:t>Laboratory confirmed SARS-CoV-2 infection, with test results within past 72 hours</w:t>
      </w:r>
    </w:p>
    <w:p w14:paraId="4DB150EB" w14:textId="77777777" w:rsidR="00F554D1" w:rsidRPr="00371DCB" w:rsidRDefault="00F554D1" w:rsidP="00FB2D39">
      <w:pPr>
        <w:pStyle w:val="ListParagraph"/>
        <w:numPr>
          <w:ilvl w:val="0"/>
          <w:numId w:val="5"/>
        </w:numPr>
        <w:spacing w:before="0" w:after="120" w:line="276" w:lineRule="auto"/>
        <w:rPr>
          <w:rFonts w:ascii="Arial" w:hAnsi="Arial" w:cs="Arial"/>
          <w:sz w:val="22"/>
          <w:szCs w:val="22"/>
        </w:rPr>
      </w:pPr>
      <w:r w:rsidRPr="00371DCB">
        <w:rPr>
          <w:rFonts w:ascii="Arial" w:hAnsi="Arial" w:cs="Arial"/>
          <w:sz w:val="22"/>
          <w:szCs w:val="22"/>
        </w:rPr>
        <w:t>At increased risk of developing severe COVID-19 disease (at least one of the following)</w:t>
      </w:r>
    </w:p>
    <w:p w14:paraId="267A18BF" w14:textId="77777777" w:rsidR="00F554D1" w:rsidRPr="00371DCB" w:rsidRDefault="00F554D1" w:rsidP="00FB2D39">
      <w:pPr>
        <w:pStyle w:val="ListParagraph"/>
        <w:numPr>
          <w:ilvl w:val="1"/>
          <w:numId w:val="47"/>
        </w:numPr>
        <w:spacing w:before="0" w:after="200" w:line="240" w:lineRule="auto"/>
        <w:rPr>
          <w:rFonts w:ascii="Arial" w:hAnsi="Arial" w:cs="Arial"/>
          <w:sz w:val="22"/>
          <w:szCs w:val="22"/>
        </w:rPr>
      </w:pPr>
      <w:bookmarkStart w:id="37" w:name="_Toc406003191"/>
      <w:bookmarkStart w:id="38" w:name="_Ref449945514"/>
      <w:bookmarkStart w:id="39" w:name="_Ref449945535"/>
      <w:bookmarkStart w:id="40" w:name="_Toc36029499"/>
      <w:bookmarkEnd w:id="37"/>
      <w:r w:rsidRPr="00371DCB">
        <w:rPr>
          <w:rFonts w:ascii="Arial" w:hAnsi="Arial" w:cs="Arial"/>
          <w:sz w:val="22"/>
          <w:szCs w:val="22"/>
        </w:rPr>
        <w:t xml:space="preserve">Age ≥60 </w:t>
      </w:r>
    </w:p>
    <w:p w14:paraId="351414E7" w14:textId="44EB355A" w:rsidR="00F554D1" w:rsidRPr="00371DCB" w:rsidRDefault="00F554D1" w:rsidP="00FB2D39">
      <w:pPr>
        <w:pStyle w:val="ListParagraph"/>
        <w:numPr>
          <w:ilvl w:val="1"/>
          <w:numId w:val="47"/>
        </w:numPr>
        <w:spacing w:before="0" w:after="200" w:line="240" w:lineRule="auto"/>
        <w:rPr>
          <w:rFonts w:ascii="Arial" w:hAnsi="Arial" w:cs="Arial"/>
          <w:sz w:val="22"/>
          <w:szCs w:val="22"/>
        </w:rPr>
      </w:pPr>
      <w:r w:rsidRPr="00371DCB">
        <w:rPr>
          <w:rFonts w:ascii="Arial" w:hAnsi="Arial" w:cs="Arial"/>
          <w:sz w:val="22"/>
          <w:szCs w:val="22"/>
        </w:rPr>
        <w:t>Presence of pulmonary disease, specifically moderate or severe persistent asthma, chronic obstructive pulmonary disease (COPD), pulmonary hypertension, emphysema</w:t>
      </w:r>
      <w:r w:rsidR="00CF7E12" w:rsidRPr="00371DCB">
        <w:rPr>
          <w:rFonts w:ascii="Arial" w:hAnsi="Arial" w:cs="Arial"/>
          <w:sz w:val="22"/>
          <w:szCs w:val="22"/>
        </w:rPr>
        <w:t>, or tuberculosis</w:t>
      </w:r>
      <w:r w:rsidR="00665BC4" w:rsidRPr="00371DCB">
        <w:rPr>
          <w:rFonts w:ascii="Arial" w:hAnsi="Arial" w:cs="Arial"/>
          <w:sz w:val="22"/>
          <w:szCs w:val="22"/>
        </w:rPr>
        <w:t xml:space="preserve"> on treatment</w:t>
      </w:r>
    </w:p>
    <w:p w14:paraId="5E72C0A0" w14:textId="77777777" w:rsidR="00F554D1" w:rsidRPr="00371DCB" w:rsidRDefault="00F554D1" w:rsidP="00FB2D39">
      <w:pPr>
        <w:pStyle w:val="ListParagraph"/>
        <w:numPr>
          <w:ilvl w:val="1"/>
          <w:numId w:val="47"/>
        </w:numPr>
        <w:spacing w:before="0" w:after="200" w:line="240" w:lineRule="auto"/>
        <w:rPr>
          <w:rFonts w:ascii="Arial" w:hAnsi="Arial" w:cs="Arial"/>
          <w:sz w:val="22"/>
          <w:szCs w:val="22"/>
        </w:rPr>
      </w:pPr>
      <w:r w:rsidRPr="00371DCB">
        <w:rPr>
          <w:rFonts w:ascii="Arial" w:hAnsi="Arial" w:cs="Arial"/>
          <w:sz w:val="22"/>
          <w:szCs w:val="22"/>
        </w:rPr>
        <w:t xml:space="preserve">Diabetes mellitus (type 1 or type 2), requiring oral medication or insulin for treatment </w:t>
      </w:r>
    </w:p>
    <w:p w14:paraId="7354AABD" w14:textId="1C0F8642" w:rsidR="00F554D1" w:rsidRPr="00371DCB" w:rsidRDefault="00F554D1" w:rsidP="00FB2D39">
      <w:pPr>
        <w:pStyle w:val="ListParagraph"/>
        <w:numPr>
          <w:ilvl w:val="1"/>
          <w:numId w:val="47"/>
        </w:numPr>
        <w:spacing w:before="0" w:after="200" w:line="240" w:lineRule="auto"/>
        <w:rPr>
          <w:rFonts w:ascii="Arial" w:hAnsi="Arial" w:cs="Arial"/>
          <w:sz w:val="22"/>
          <w:szCs w:val="22"/>
        </w:rPr>
      </w:pPr>
      <w:r w:rsidRPr="00371DCB">
        <w:rPr>
          <w:rFonts w:ascii="Arial" w:hAnsi="Arial" w:cs="Arial"/>
          <w:sz w:val="22"/>
          <w:szCs w:val="22"/>
        </w:rPr>
        <w:t xml:space="preserve">Hypertension, requiring at least 1 </w:t>
      </w:r>
      <w:r w:rsidR="00DB0247" w:rsidRPr="00371DCB">
        <w:rPr>
          <w:rFonts w:ascii="Arial" w:hAnsi="Arial" w:cs="Arial"/>
          <w:sz w:val="22"/>
          <w:szCs w:val="22"/>
        </w:rPr>
        <w:t xml:space="preserve">antihypertensive </w:t>
      </w:r>
      <w:r w:rsidRPr="00371DCB">
        <w:rPr>
          <w:rFonts w:ascii="Arial" w:hAnsi="Arial" w:cs="Arial"/>
          <w:sz w:val="22"/>
          <w:szCs w:val="22"/>
        </w:rPr>
        <w:t>oral medication for treatment</w:t>
      </w:r>
    </w:p>
    <w:p w14:paraId="12271517" w14:textId="77777777" w:rsidR="00F554D1" w:rsidRPr="00371DCB" w:rsidRDefault="00F554D1" w:rsidP="00FB2D39">
      <w:pPr>
        <w:pStyle w:val="ListParagraph"/>
        <w:numPr>
          <w:ilvl w:val="1"/>
          <w:numId w:val="47"/>
        </w:numPr>
        <w:spacing w:before="0" w:after="200" w:line="240" w:lineRule="auto"/>
        <w:rPr>
          <w:rFonts w:ascii="Arial" w:hAnsi="Arial" w:cs="Arial"/>
          <w:sz w:val="22"/>
          <w:szCs w:val="22"/>
        </w:rPr>
      </w:pPr>
      <w:r w:rsidRPr="00371DCB">
        <w:rPr>
          <w:rFonts w:ascii="Arial" w:hAnsi="Arial" w:cs="Arial"/>
          <w:sz w:val="22"/>
          <w:szCs w:val="22"/>
        </w:rPr>
        <w:t xml:space="preserve">Coronary artery disease with history of graft or stent </w:t>
      </w:r>
    </w:p>
    <w:p w14:paraId="0060D3B9" w14:textId="2B1572AE" w:rsidR="00F554D1" w:rsidRPr="00371DCB" w:rsidRDefault="00FF43EF" w:rsidP="00FB2D39">
      <w:pPr>
        <w:pStyle w:val="ListParagraph"/>
        <w:numPr>
          <w:ilvl w:val="1"/>
          <w:numId w:val="47"/>
        </w:numPr>
        <w:spacing w:before="0" w:after="200" w:line="240" w:lineRule="auto"/>
        <w:rPr>
          <w:rFonts w:ascii="Arial" w:hAnsi="Arial" w:cs="Arial"/>
          <w:sz w:val="22"/>
          <w:szCs w:val="22"/>
        </w:rPr>
      </w:pPr>
      <w:r w:rsidRPr="00371DCB">
        <w:rPr>
          <w:rFonts w:ascii="Arial" w:hAnsi="Arial" w:cs="Arial"/>
          <w:sz w:val="22"/>
          <w:szCs w:val="22"/>
        </w:rPr>
        <w:t>Cardiac f</w:t>
      </w:r>
      <w:r w:rsidR="00F554D1" w:rsidRPr="00371DCB">
        <w:rPr>
          <w:rFonts w:ascii="Arial" w:hAnsi="Arial" w:cs="Arial"/>
          <w:sz w:val="22"/>
          <w:szCs w:val="22"/>
        </w:rPr>
        <w:t>ailure, Class 2 or greater using New York Heart Association functional class</w:t>
      </w:r>
    </w:p>
    <w:p w14:paraId="2DD6104F" w14:textId="77777777" w:rsidR="00F554D1" w:rsidRPr="00371DCB" w:rsidRDefault="00F554D1" w:rsidP="00FB2D39">
      <w:pPr>
        <w:pStyle w:val="ListParagraph"/>
        <w:numPr>
          <w:ilvl w:val="1"/>
          <w:numId w:val="47"/>
        </w:numPr>
        <w:spacing w:before="0" w:after="200" w:line="240" w:lineRule="auto"/>
        <w:rPr>
          <w:rFonts w:ascii="Arial" w:hAnsi="Arial" w:cs="Arial"/>
          <w:sz w:val="22"/>
          <w:szCs w:val="22"/>
        </w:rPr>
      </w:pPr>
      <w:r w:rsidRPr="00371DCB">
        <w:rPr>
          <w:rFonts w:ascii="Arial" w:hAnsi="Arial" w:cs="Arial"/>
          <w:sz w:val="22"/>
          <w:szCs w:val="22"/>
        </w:rPr>
        <w:t>History of organ or stem cell transplant</w:t>
      </w:r>
    </w:p>
    <w:p w14:paraId="50565F46" w14:textId="37320978" w:rsidR="00CF7E12" w:rsidRPr="00371DCB" w:rsidRDefault="00CF7E12" w:rsidP="00FB2D39">
      <w:pPr>
        <w:pStyle w:val="ListParagraph"/>
        <w:numPr>
          <w:ilvl w:val="1"/>
          <w:numId w:val="47"/>
        </w:numPr>
        <w:spacing w:before="0" w:after="200" w:line="240" w:lineRule="auto"/>
        <w:rPr>
          <w:rFonts w:ascii="Arial" w:hAnsi="Arial" w:cs="Arial"/>
          <w:sz w:val="22"/>
          <w:szCs w:val="22"/>
        </w:rPr>
      </w:pPr>
      <w:r w:rsidRPr="00371DCB">
        <w:rPr>
          <w:rFonts w:ascii="Arial" w:hAnsi="Arial" w:cs="Arial"/>
          <w:sz w:val="22"/>
          <w:szCs w:val="22"/>
        </w:rPr>
        <w:t>Immunocompromised status due to disease (e.g., those living with human immunodeficiency virus</w:t>
      </w:r>
      <w:r w:rsidR="00FF43EF" w:rsidRPr="00371DCB">
        <w:rPr>
          <w:rFonts w:ascii="Arial" w:hAnsi="Arial" w:cs="Arial"/>
          <w:sz w:val="22"/>
          <w:szCs w:val="22"/>
        </w:rPr>
        <w:t>, confirmed malignancy</w:t>
      </w:r>
      <w:r w:rsidRPr="00371DCB">
        <w:rPr>
          <w:rFonts w:ascii="Arial" w:hAnsi="Arial" w:cs="Arial"/>
          <w:sz w:val="22"/>
          <w:szCs w:val="22"/>
        </w:rPr>
        <w:t>)</w:t>
      </w:r>
    </w:p>
    <w:p w14:paraId="1C91E6B6" w14:textId="77777777" w:rsidR="00CF7E12" w:rsidRPr="00371DCB" w:rsidRDefault="00CF7E12" w:rsidP="00FB2D39">
      <w:pPr>
        <w:pStyle w:val="ListParagraph"/>
        <w:numPr>
          <w:ilvl w:val="1"/>
          <w:numId w:val="47"/>
        </w:numPr>
        <w:spacing w:before="0" w:after="200" w:line="240" w:lineRule="auto"/>
        <w:rPr>
          <w:rFonts w:ascii="Arial" w:hAnsi="Arial" w:cs="Arial"/>
          <w:sz w:val="22"/>
          <w:szCs w:val="22"/>
        </w:rPr>
      </w:pPr>
      <w:r w:rsidRPr="00371DCB">
        <w:rPr>
          <w:rFonts w:ascii="Arial" w:hAnsi="Arial" w:cs="Arial"/>
          <w:sz w:val="22"/>
          <w:szCs w:val="22"/>
        </w:rPr>
        <w:t>Immunocompromised status due to medication (e.g., persons taking 20 mg or more of prednisone equivalents a day, anti-inflammatory monoclonal antibody therapies, or cancer therapies)</w:t>
      </w:r>
    </w:p>
    <w:p w14:paraId="012A56F3" w14:textId="05337924" w:rsidR="00CF7E12" w:rsidRPr="00371DCB" w:rsidRDefault="00CF7E12" w:rsidP="00FB2D39">
      <w:pPr>
        <w:pStyle w:val="ListParagraph"/>
        <w:numPr>
          <w:ilvl w:val="1"/>
          <w:numId w:val="47"/>
        </w:numPr>
        <w:spacing w:before="0" w:after="200" w:line="240" w:lineRule="auto"/>
        <w:rPr>
          <w:rFonts w:ascii="Arial" w:hAnsi="Arial" w:cs="Arial"/>
          <w:sz w:val="22"/>
          <w:szCs w:val="22"/>
        </w:rPr>
      </w:pPr>
      <w:r w:rsidRPr="00371DCB">
        <w:rPr>
          <w:rFonts w:ascii="Arial" w:hAnsi="Arial" w:cs="Arial"/>
          <w:sz w:val="22"/>
          <w:szCs w:val="22"/>
        </w:rPr>
        <w:t>Body mass index ≥</w:t>
      </w:r>
      <w:r w:rsidR="009110D2" w:rsidRPr="00371DCB">
        <w:rPr>
          <w:rFonts w:ascii="Arial" w:hAnsi="Arial" w:cs="Arial"/>
          <w:sz w:val="22"/>
          <w:szCs w:val="22"/>
        </w:rPr>
        <w:t xml:space="preserve"> </w:t>
      </w:r>
      <w:r w:rsidRPr="00371DCB">
        <w:rPr>
          <w:rFonts w:ascii="Arial" w:hAnsi="Arial" w:cs="Arial"/>
          <w:sz w:val="22"/>
          <w:szCs w:val="22"/>
        </w:rPr>
        <w:t>30</w:t>
      </w:r>
      <w:r w:rsidR="00EE4B1B" w:rsidRPr="00371DCB">
        <w:rPr>
          <w:rFonts w:ascii="Arial" w:hAnsi="Arial" w:cs="Arial"/>
          <w:sz w:val="22"/>
          <w:szCs w:val="22"/>
        </w:rPr>
        <w:t xml:space="preserve"> kg/m</w:t>
      </w:r>
      <w:r w:rsidR="00EE4B1B" w:rsidRPr="00371DCB">
        <w:rPr>
          <w:rFonts w:ascii="Arial" w:hAnsi="Arial" w:cs="Arial"/>
          <w:sz w:val="22"/>
          <w:szCs w:val="22"/>
          <w:vertAlign w:val="superscript"/>
        </w:rPr>
        <w:t>2</w:t>
      </w:r>
      <w:r w:rsidRPr="00371DCB">
        <w:rPr>
          <w:rFonts w:ascii="Arial" w:hAnsi="Arial" w:cs="Arial"/>
          <w:sz w:val="22"/>
          <w:szCs w:val="22"/>
        </w:rPr>
        <w:t xml:space="preserve"> </w:t>
      </w:r>
    </w:p>
    <w:p w14:paraId="22B75B2A" w14:textId="77777777" w:rsidR="00CF7E12" w:rsidRPr="00371DCB" w:rsidRDefault="00CF7E12" w:rsidP="00FB2D39">
      <w:pPr>
        <w:spacing w:after="200"/>
        <w:jc w:val="both"/>
        <w:rPr>
          <w:rFonts w:ascii="Arial" w:hAnsi="Arial" w:cs="Arial"/>
          <w:sz w:val="22"/>
          <w:szCs w:val="22"/>
        </w:rPr>
      </w:pPr>
      <w:r w:rsidRPr="00371DCB">
        <w:rPr>
          <w:rFonts w:ascii="Arial" w:hAnsi="Arial" w:cs="Arial"/>
          <w:sz w:val="22"/>
          <w:szCs w:val="22"/>
        </w:rPr>
        <w:t xml:space="preserve">Low-risk cohort:  </w:t>
      </w:r>
    </w:p>
    <w:p w14:paraId="6F310E41" w14:textId="77777777" w:rsidR="00CF7E12" w:rsidRPr="00371DCB" w:rsidRDefault="00CF7E12" w:rsidP="00FB2D39">
      <w:pPr>
        <w:pStyle w:val="ListParagraph"/>
        <w:numPr>
          <w:ilvl w:val="0"/>
          <w:numId w:val="39"/>
        </w:numPr>
        <w:spacing w:before="0" w:after="200" w:line="240" w:lineRule="auto"/>
        <w:rPr>
          <w:rFonts w:ascii="Arial" w:hAnsi="Arial" w:cs="Arial"/>
          <w:sz w:val="22"/>
          <w:szCs w:val="22"/>
        </w:rPr>
      </w:pPr>
      <w:r w:rsidRPr="00371DCB">
        <w:rPr>
          <w:rFonts w:ascii="Arial" w:hAnsi="Arial" w:cs="Arial"/>
          <w:sz w:val="22"/>
          <w:szCs w:val="22"/>
        </w:rPr>
        <w:t>Men or women, 18-59 years, inclusive without any risk factors for developing severe COVID-19 disease (point 5 above)</w:t>
      </w:r>
    </w:p>
    <w:p w14:paraId="47FCD610" w14:textId="77777777" w:rsidR="00CF7E12" w:rsidRPr="00371DCB" w:rsidRDefault="00CF7E12" w:rsidP="00FB2D39">
      <w:pPr>
        <w:pStyle w:val="ListParagraph"/>
        <w:numPr>
          <w:ilvl w:val="0"/>
          <w:numId w:val="39"/>
        </w:numPr>
        <w:spacing w:before="0" w:after="120" w:line="276" w:lineRule="auto"/>
        <w:rPr>
          <w:rFonts w:ascii="Arial" w:hAnsi="Arial" w:cs="Arial"/>
          <w:sz w:val="22"/>
          <w:szCs w:val="22"/>
        </w:rPr>
      </w:pPr>
      <w:r w:rsidRPr="00371DCB">
        <w:rPr>
          <w:rFonts w:ascii="Arial" w:hAnsi="Arial" w:cs="Arial"/>
          <w:sz w:val="22"/>
          <w:szCs w:val="22"/>
        </w:rPr>
        <w:t>Willing and able to provide informed consent</w:t>
      </w:r>
    </w:p>
    <w:p w14:paraId="49AD06CB" w14:textId="77777777" w:rsidR="00CF7E12" w:rsidRPr="00371DCB" w:rsidRDefault="00CF7E12" w:rsidP="00FB2D39">
      <w:pPr>
        <w:pStyle w:val="ListParagraph"/>
        <w:numPr>
          <w:ilvl w:val="0"/>
          <w:numId w:val="39"/>
        </w:numPr>
        <w:spacing w:before="0" w:after="120" w:line="276" w:lineRule="auto"/>
        <w:rPr>
          <w:rFonts w:ascii="Arial" w:hAnsi="Arial" w:cs="Arial"/>
          <w:sz w:val="22"/>
          <w:szCs w:val="22"/>
        </w:rPr>
      </w:pPr>
      <w:r w:rsidRPr="00371DCB">
        <w:rPr>
          <w:rFonts w:ascii="Arial" w:hAnsi="Arial" w:cs="Arial"/>
          <w:sz w:val="22"/>
          <w:szCs w:val="22"/>
        </w:rPr>
        <w:t>Laboratory confirmed SARS-CoV-2 infection, with test results within past 72 hours</w:t>
      </w:r>
    </w:p>
    <w:p w14:paraId="0DEA7191" w14:textId="1AB209B6" w:rsidR="00CF7E12" w:rsidRPr="00371DCB" w:rsidRDefault="00EE4B1B" w:rsidP="00FB2D39">
      <w:pPr>
        <w:pStyle w:val="ListParagraph"/>
        <w:numPr>
          <w:ilvl w:val="0"/>
          <w:numId w:val="39"/>
        </w:numPr>
        <w:spacing w:before="0" w:after="120" w:line="276" w:lineRule="auto"/>
        <w:rPr>
          <w:rFonts w:ascii="Arial" w:hAnsi="Arial" w:cs="Arial"/>
          <w:sz w:val="22"/>
          <w:szCs w:val="22"/>
        </w:rPr>
      </w:pPr>
      <w:r w:rsidRPr="00371DCB">
        <w:rPr>
          <w:rFonts w:ascii="Arial" w:hAnsi="Arial" w:cs="Arial"/>
          <w:sz w:val="22"/>
          <w:szCs w:val="22"/>
        </w:rPr>
        <w:t xml:space="preserve">Body mass index </w:t>
      </w:r>
      <w:r w:rsidR="00EA1139" w:rsidRPr="00371DCB">
        <w:rPr>
          <w:rFonts w:ascii="Arial" w:eastAsiaTheme="minorEastAsia" w:hAnsi="Arial" w:cs="Arial"/>
          <w:sz w:val="22"/>
          <w:szCs w:val="22"/>
          <w:lang w:eastAsia="ja-JP"/>
        </w:rPr>
        <w:t>&lt;</w:t>
      </w:r>
      <w:r w:rsidR="009110D2" w:rsidRPr="00371DCB">
        <w:rPr>
          <w:rFonts w:ascii="Arial" w:hAnsi="Arial" w:cs="Arial"/>
          <w:sz w:val="22"/>
          <w:szCs w:val="22"/>
        </w:rPr>
        <w:t xml:space="preserve"> </w:t>
      </w:r>
      <w:r w:rsidRPr="00371DCB">
        <w:rPr>
          <w:rFonts w:ascii="Arial" w:hAnsi="Arial" w:cs="Arial"/>
          <w:sz w:val="22"/>
          <w:szCs w:val="22"/>
        </w:rPr>
        <w:t>30 kg/m</w:t>
      </w:r>
      <w:r w:rsidRPr="00371DCB">
        <w:rPr>
          <w:rFonts w:ascii="Arial" w:hAnsi="Arial" w:cs="Arial"/>
          <w:sz w:val="22"/>
          <w:szCs w:val="22"/>
          <w:vertAlign w:val="superscript"/>
        </w:rPr>
        <w:t>2</w:t>
      </w:r>
      <w:r w:rsidRPr="00371DCB">
        <w:rPr>
          <w:rFonts w:ascii="Arial" w:hAnsi="Arial" w:cs="Arial"/>
          <w:sz w:val="22"/>
          <w:szCs w:val="22"/>
        </w:rPr>
        <w:t xml:space="preserve"> </w:t>
      </w:r>
    </w:p>
    <w:p w14:paraId="0636B32A" w14:textId="3B2B43B0" w:rsidR="00CF7E12" w:rsidRPr="00371DCB" w:rsidRDefault="00CF7E12" w:rsidP="00FB2D39">
      <w:pPr>
        <w:spacing w:after="120" w:line="276" w:lineRule="auto"/>
        <w:jc w:val="both"/>
        <w:rPr>
          <w:rFonts w:ascii="Arial" w:hAnsi="Arial" w:cs="Arial"/>
          <w:sz w:val="22"/>
          <w:szCs w:val="22"/>
        </w:rPr>
      </w:pPr>
      <w:r w:rsidRPr="00371DCB">
        <w:rPr>
          <w:rFonts w:ascii="Arial" w:hAnsi="Arial" w:cs="Arial"/>
          <w:sz w:val="22"/>
          <w:szCs w:val="22"/>
        </w:rPr>
        <w:t xml:space="preserve"> </w:t>
      </w:r>
    </w:p>
    <w:p w14:paraId="78700AE3" w14:textId="77777777" w:rsidR="00F554D1" w:rsidRPr="00371DCB" w:rsidRDefault="00F554D1" w:rsidP="00FB2D39">
      <w:pPr>
        <w:pStyle w:val="Heading2"/>
        <w:jc w:val="both"/>
      </w:pPr>
      <w:bookmarkStart w:id="41" w:name="_Toc38818752"/>
      <w:r w:rsidRPr="00371DCB">
        <w:t>Exclusion Criteria</w:t>
      </w:r>
      <w:bookmarkEnd w:id="38"/>
      <w:bookmarkEnd w:id="39"/>
      <w:bookmarkEnd w:id="40"/>
      <w:bookmarkEnd w:id="41"/>
    </w:p>
    <w:p w14:paraId="7D5E97AE" w14:textId="77777777" w:rsidR="00F554D1" w:rsidRPr="00371DCB" w:rsidRDefault="00F554D1" w:rsidP="00FB2D39">
      <w:pPr>
        <w:jc w:val="both"/>
        <w:rPr>
          <w:rFonts w:ascii="Arial" w:hAnsi="Arial" w:cs="Arial"/>
          <w:color w:val="000000" w:themeColor="text1"/>
          <w:sz w:val="22"/>
          <w:szCs w:val="22"/>
        </w:rPr>
      </w:pPr>
      <w:r w:rsidRPr="00371DCB">
        <w:rPr>
          <w:rFonts w:ascii="Arial" w:hAnsi="Arial" w:cs="Arial"/>
          <w:color w:val="000000" w:themeColor="text1"/>
          <w:sz w:val="22"/>
          <w:szCs w:val="22"/>
        </w:rPr>
        <w:t>Participants are excluded from the study if any of the following criteria apply:</w:t>
      </w:r>
    </w:p>
    <w:p w14:paraId="20533580" w14:textId="211F4034" w:rsidR="00CF7E12" w:rsidRPr="00371DCB" w:rsidRDefault="00CF7E12" w:rsidP="00FB2D39">
      <w:pPr>
        <w:pStyle w:val="ListParagraph"/>
        <w:numPr>
          <w:ilvl w:val="0"/>
          <w:numId w:val="6"/>
        </w:numPr>
        <w:ind w:left="709"/>
        <w:rPr>
          <w:rFonts w:ascii="Arial" w:hAnsi="Arial" w:cs="Arial"/>
          <w:sz w:val="22"/>
          <w:szCs w:val="22"/>
        </w:rPr>
      </w:pPr>
      <w:bookmarkStart w:id="42" w:name="_Toc36029500"/>
      <w:r w:rsidRPr="00371DCB">
        <w:rPr>
          <w:rFonts w:ascii="Arial" w:hAnsi="Arial" w:cs="Arial"/>
          <w:sz w:val="22"/>
          <w:szCs w:val="22"/>
        </w:rPr>
        <w:t xml:space="preserve">Known hypersensitivity to </w:t>
      </w:r>
      <w:r w:rsidR="00FF43EF" w:rsidRPr="00371DCB">
        <w:rPr>
          <w:rFonts w:ascii="Arial" w:hAnsi="Arial" w:cs="Arial"/>
          <w:sz w:val="22"/>
          <w:szCs w:val="22"/>
        </w:rPr>
        <w:t>any of the study drugs</w:t>
      </w:r>
    </w:p>
    <w:p w14:paraId="104E6CB2" w14:textId="77777777" w:rsidR="00CF7E12" w:rsidRPr="00371DCB" w:rsidRDefault="00CF7E12" w:rsidP="00FB2D39">
      <w:pPr>
        <w:pStyle w:val="ListParagraph"/>
        <w:numPr>
          <w:ilvl w:val="0"/>
          <w:numId w:val="6"/>
        </w:numPr>
        <w:ind w:left="709"/>
        <w:rPr>
          <w:rFonts w:ascii="Arial" w:hAnsi="Arial" w:cs="Arial"/>
          <w:sz w:val="22"/>
          <w:szCs w:val="22"/>
        </w:rPr>
      </w:pPr>
      <w:r w:rsidRPr="00371DCB">
        <w:rPr>
          <w:rFonts w:ascii="Arial" w:hAnsi="Arial" w:cs="Arial"/>
          <w:sz w:val="22"/>
          <w:szCs w:val="22"/>
        </w:rPr>
        <w:t>Currently hospitalized</w:t>
      </w:r>
    </w:p>
    <w:p w14:paraId="2BACA7AE" w14:textId="5ABB43AB" w:rsidR="00CF7E12" w:rsidRPr="00371DCB" w:rsidRDefault="00CF7E12" w:rsidP="00FB2D39">
      <w:pPr>
        <w:pStyle w:val="ListParagraph"/>
        <w:numPr>
          <w:ilvl w:val="0"/>
          <w:numId w:val="6"/>
        </w:numPr>
        <w:ind w:left="709"/>
        <w:rPr>
          <w:rFonts w:ascii="Arial" w:hAnsi="Arial" w:cs="Arial"/>
          <w:sz w:val="22"/>
          <w:szCs w:val="22"/>
        </w:rPr>
      </w:pPr>
      <w:r w:rsidRPr="00371DCB">
        <w:rPr>
          <w:rFonts w:ascii="Arial" w:hAnsi="Arial" w:cs="Arial"/>
          <w:sz w:val="22"/>
          <w:szCs w:val="22"/>
        </w:rPr>
        <w:t>Signs of respiratory distress prior to randomization, including respiratory rate &gt;24</w:t>
      </w:r>
      <w:r w:rsidR="00FF43EF" w:rsidRPr="00371DCB">
        <w:rPr>
          <w:rFonts w:ascii="Arial" w:hAnsi="Arial" w:cs="Arial"/>
          <w:sz w:val="22"/>
          <w:szCs w:val="22"/>
        </w:rPr>
        <w:t xml:space="preserve"> per minute</w:t>
      </w:r>
      <w:r w:rsidR="00DB1E41" w:rsidRPr="00371DCB">
        <w:rPr>
          <w:rFonts w:ascii="Arial" w:hAnsi="Arial" w:cs="Arial"/>
          <w:sz w:val="22"/>
          <w:szCs w:val="22"/>
        </w:rPr>
        <w:t xml:space="preserve"> and/or </w:t>
      </w:r>
      <w:r w:rsidR="00EE4B1B" w:rsidRPr="00371DCB">
        <w:rPr>
          <w:rFonts w:ascii="Arial" w:hAnsi="Arial" w:cs="Arial"/>
          <w:sz w:val="22"/>
          <w:szCs w:val="22"/>
        </w:rPr>
        <w:t>SpO</w:t>
      </w:r>
      <w:r w:rsidR="00EE4B1B" w:rsidRPr="00371DCB">
        <w:rPr>
          <w:rFonts w:ascii="Arial" w:hAnsi="Arial" w:cs="Arial"/>
          <w:sz w:val="22"/>
          <w:szCs w:val="22"/>
          <w:vertAlign w:val="subscript"/>
        </w:rPr>
        <w:t>2</w:t>
      </w:r>
      <w:r w:rsidR="00EE4B1B" w:rsidRPr="00371DCB">
        <w:rPr>
          <w:rFonts w:ascii="Arial" w:hAnsi="Arial" w:cs="Arial"/>
          <w:sz w:val="22"/>
          <w:szCs w:val="22"/>
        </w:rPr>
        <w:t xml:space="preserve"> &lt; 93%</w:t>
      </w:r>
    </w:p>
    <w:p w14:paraId="07BB1F8D" w14:textId="77777777" w:rsidR="00CF7E12" w:rsidRPr="00371DCB" w:rsidRDefault="00CF7E12" w:rsidP="00FB2D39">
      <w:pPr>
        <w:pStyle w:val="ListParagraph"/>
        <w:numPr>
          <w:ilvl w:val="0"/>
          <w:numId w:val="6"/>
        </w:numPr>
        <w:ind w:left="709"/>
        <w:rPr>
          <w:rFonts w:ascii="Arial" w:hAnsi="Arial" w:cs="Arial"/>
          <w:sz w:val="22"/>
          <w:szCs w:val="22"/>
        </w:rPr>
      </w:pPr>
      <w:r w:rsidRPr="00371DCB">
        <w:rPr>
          <w:rFonts w:ascii="Arial" w:hAnsi="Arial" w:cs="Arial"/>
          <w:sz w:val="22"/>
          <w:szCs w:val="22"/>
        </w:rPr>
        <w:t>Chronic kidney disease (Stage IV or receiving dialysis)</w:t>
      </w:r>
    </w:p>
    <w:p w14:paraId="64E0F377" w14:textId="5B214446" w:rsidR="00CF7E12" w:rsidRPr="00371DCB" w:rsidRDefault="00CF7E12" w:rsidP="00FB2D39">
      <w:pPr>
        <w:pStyle w:val="ListParagraph"/>
        <w:numPr>
          <w:ilvl w:val="0"/>
          <w:numId w:val="6"/>
        </w:numPr>
        <w:ind w:left="709"/>
        <w:rPr>
          <w:rFonts w:ascii="Arial" w:hAnsi="Arial" w:cs="Arial"/>
          <w:sz w:val="22"/>
          <w:szCs w:val="22"/>
        </w:rPr>
      </w:pPr>
      <w:r w:rsidRPr="00371DCB">
        <w:rPr>
          <w:rFonts w:ascii="Arial" w:hAnsi="Arial" w:cs="Arial"/>
          <w:sz w:val="22"/>
          <w:szCs w:val="22"/>
        </w:rPr>
        <w:t>Known</w:t>
      </w:r>
      <w:r w:rsidR="00FF43EF" w:rsidRPr="00371DCB">
        <w:rPr>
          <w:rFonts w:ascii="Arial" w:hAnsi="Arial" w:cs="Arial"/>
          <w:sz w:val="22"/>
          <w:szCs w:val="22"/>
        </w:rPr>
        <w:t xml:space="preserve"> liver disease or</w:t>
      </w:r>
      <w:r w:rsidRPr="00371DCB">
        <w:rPr>
          <w:rFonts w:ascii="Arial" w:hAnsi="Arial" w:cs="Arial"/>
          <w:sz w:val="22"/>
          <w:szCs w:val="22"/>
        </w:rPr>
        <w:t xml:space="preserve"> cirrhosis</w:t>
      </w:r>
      <w:r w:rsidR="00FF43EF" w:rsidRPr="00371DCB">
        <w:rPr>
          <w:rFonts w:ascii="Arial" w:hAnsi="Arial" w:cs="Arial"/>
          <w:sz w:val="22"/>
          <w:szCs w:val="22"/>
        </w:rPr>
        <w:t xml:space="preserve"> </w:t>
      </w:r>
    </w:p>
    <w:p w14:paraId="24E90C8D" w14:textId="77777777" w:rsidR="00CF7E12" w:rsidRPr="00371DCB" w:rsidRDefault="00CF7E12" w:rsidP="00FB2D39">
      <w:pPr>
        <w:pStyle w:val="ListParagraph"/>
        <w:numPr>
          <w:ilvl w:val="0"/>
          <w:numId w:val="6"/>
        </w:numPr>
        <w:ind w:left="709"/>
        <w:rPr>
          <w:rFonts w:ascii="Arial" w:hAnsi="Arial" w:cs="Arial"/>
          <w:sz w:val="22"/>
          <w:szCs w:val="22"/>
        </w:rPr>
      </w:pPr>
      <w:r w:rsidRPr="00371DCB">
        <w:rPr>
          <w:rFonts w:ascii="Arial" w:hAnsi="Arial" w:cs="Arial"/>
          <w:sz w:val="22"/>
          <w:szCs w:val="22"/>
        </w:rPr>
        <w:t>Known personal or family history of long QT syndrome</w:t>
      </w:r>
    </w:p>
    <w:p w14:paraId="153C16C9" w14:textId="155F35B4" w:rsidR="00CF7E12" w:rsidRPr="00371DCB" w:rsidRDefault="00CF7E12" w:rsidP="00FB2D39">
      <w:pPr>
        <w:pStyle w:val="ListParagraph"/>
        <w:numPr>
          <w:ilvl w:val="0"/>
          <w:numId w:val="6"/>
        </w:numPr>
        <w:ind w:left="709"/>
        <w:rPr>
          <w:rFonts w:ascii="Arial" w:hAnsi="Arial" w:cs="Arial"/>
          <w:sz w:val="22"/>
          <w:szCs w:val="22"/>
        </w:rPr>
      </w:pPr>
      <w:r w:rsidRPr="00371DCB">
        <w:rPr>
          <w:rFonts w:ascii="Arial" w:hAnsi="Arial" w:cs="Arial"/>
          <w:sz w:val="22"/>
          <w:szCs w:val="22"/>
        </w:rPr>
        <w:lastRenderedPageBreak/>
        <w:t xml:space="preserve">Taking </w:t>
      </w:r>
      <w:r w:rsidR="00FF43EF" w:rsidRPr="00371DCB">
        <w:rPr>
          <w:rFonts w:ascii="Arial" w:hAnsi="Arial" w:cs="Arial"/>
          <w:sz w:val="22"/>
          <w:szCs w:val="22"/>
        </w:rPr>
        <w:t xml:space="preserve">chronic </w:t>
      </w:r>
      <w:r w:rsidRPr="00371DCB">
        <w:rPr>
          <w:rFonts w:ascii="Arial" w:hAnsi="Arial" w:cs="Arial"/>
          <w:sz w:val="22"/>
          <w:szCs w:val="22"/>
        </w:rPr>
        <w:t xml:space="preserve">medications associated with prolonged QT and may induce </w:t>
      </w:r>
      <w:proofErr w:type="spellStart"/>
      <w:r w:rsidRPr="00371DCB">
        <w:rPr>
          <w:rFonts w:ascii="Arial" w:hAnsi="Arial" w:cs="Arial"/>
          <w:sz w:val="22"/>
          <w:szCs w:val="22"/>
        </w:rPr>
        <w:t>Torsades</w:t>
      </w:r>
      <w:proofErr w:type="spellEnd"/>
      <w:r w:rsidRPr="00371DCB">
        <w:rPr>
          <w:rFonts w:ascii="Arial" w:hAnsi="Arial" w:cs="Arial"/>
          <w:sz w:val="22"/>
          <w:szCs w:val="22"/>
        </w:rPr>
        <w:t xml:space="preserve"> de Pointes as per CredibleMeds.org, including certain antipsychotic medications or antidepressants (e.g., citalopram, venlafaxine, and bupropion) and unable to stop during the trial</w:t>
      </w:r>
    </w:p>
    <w:p w14:paraId="009BF849" w14:textId="4EC9F549" w:rsidR="00EE4B1B" w:rsidRPr="00371DCB" w:rsidRDefault="00EE4B1B" w:rsidP="00FB2D39">
      <w:pPr>
        <w:pStyle w:val="ListParagraph"/>
        <w:numPr>
          <w:ilvl w:val="0"/>
          <w:numId w:val="6"/>
        </w:numPr>
        <w:ind w:left="709"/>
        <w:rPr>
          <w:rFonts w:ascii="Arial" w:hAnsi="Arial" w:cs="Arial"/>
          <w:sz w:val="22"/>
          <w:szCs w:val="22"/>
        </w:rPr>
      </w:pPr>
      <w:r w:rsidRPr="00371DCB">
        <w:rPr>
          <w:rFonts w:ascii="Arial" w:hAnsi="Arial" w:cs="Arial"/>
          <w:sz w:val="22"/>
          <w:szCs w:val="22"/>
        </w:rPr>
        <w:t xml:space="preserve">Baseline QTc interval of &gt; 470 </w:t>
      </w:r>
      <w:proofErr w:type="spellStart"/>
      <w:r w:rsidRPr="00371DCB">
        <w:rPr>
          <w:rFonts w:ascii="Arial" w:hAnsi="Arial" w:cs="Arial"/>
          <w:sz w:val="22"/>
          <w:szCs w:val="22"/>
        </w:rPr>
        <w:t>ms</w:t>
      </w:r>
      <w:proofErr w:type="spellEnd"/>
      <w:r w:rsidRPr="00371DCB">
        <w:rPr>
          <w:rFonts w:ascii="Arial" w:hAnsi="Arial" w:cs="Arial"/>
          <w:sz w:val="22"/>
          <w:szCs w:val="22"/>
        </w:rPr>
        <w:t xml:space="preserve"> in males, and &gt; 480 </w:t>
      </w:r>
      <w:proofErr w:type="spellStart"/>
      <w:r w:rsidRPr="00371DCB">
        <w:rPr>
          <w:rFonts w:ascii="Arial" w:hAnsi="Arial" w:cs="Arial"/>
          <w:sz w:val="22"/>
          <w:szCs w:val="22"/>
        </w:rPr>
        <w:t>ms</w:t>
      </w:r>
      <w:proofErr w:type="spellEnd"/>
      <w:r w:rsidRPr="00371DCB">
        <w:rPr>
          <w:rFonts w:ascii="Arial" w:hAnsi="Arial" w:cs="Arial"/>
          <w:sz w:val="22"/>
          <w:szCs w:val="22"/>
        </w:rPr>
        <w:t xml:space="preserve"> in females</w:t>
      </w:r>
    </w:p>
    <w:p w14:paraId="3FB13C8B" w14:textId="6088A0CC" w:rsidR="00FF43EF" w:rsidRPr="00371DCB" w:rsidRDefault="00FF43EF" w:rsidP="00FB2D39">
      <w:pPr>
        <w:pStyle w:val="ListParagraph"/>
        <w:numPr>
          <w:ilvl w:val="0"/>
          <w:numId w:val="6"/>
        </w:numPr>
        <w:ind w:left="709"/>
        <w:rPr>
          <w:rFonts w:ascii="Arial" w:hAnsi="Arial" w:cs="Arial"/>
          <w:sz w:val="22"/>
          <w:szCs w:val="22"/>
        </w:rPr>
      </w:pPr>
      <w:r w:rsidRPr="00371DCB">
        <w:rPr>
          <w:rFonts w:ascii="Arial" w:hAnsi="Arial" w:cs="Arial"/>
          <w:sz w:val="22"/>
          <w:szCs w:val="22"/>
        </w:rPr>
        <w:t>Potentially clinically significant pharmacokinetic and pharmacodynamic drug interactions as determined by the study clinical pharmacologist</w:t>
      </w:r>
      <w:r w:rsidR="0054615A" w:rsidRPr="00371DCB">
        <w:rPr>
          <w:rFonts w:ascii="Arial" w:hAnsi="Arial" w:cs="Arial"/>
          <w:sz w:val="22"/>
          <w:szCs w:val="22"/>
          <w:vertAlign w:val="superscript"/>
        </w:rPr>
        <w:t>*</w:t>
      </w:r>
    </w:p>
    <w:p w14:paraId="3564A0FB" w14:textId="77777777" w:rsidR="00FF43EF" w:rsidRPr="00371DCB" w:rsidRDefault="00FF43EF" w:rsidP="00FB2D39">
      <w:pPr>
        <w:pStyle w:val="ListParagraph"/>
        <w:ind w:left="709"/>
        <w:rPr>
          <w:rFonts w:ascii="Arial" w:hAnsi="Arial" w:cs="Arial"/>
          <w:sz w:val="22"/>
          <w:szCs w:val="22"/>
        </w:rPr>
      </w:pPr>
    </w:p>
    <w:p w14:paraId="6DF8227D" w14:textId="77777777" w:rsidR="0054615A" w:rsidRPr="00371DCB" w:rsidRDefault="00CF7E12" w:rsidP="00FB2D39">
      <w:pPr>
        <w:ind w:left="349"/>
        <w:jc w:val="both"/>
        <w:rPr>
          <w:rFonts w:ascii="Arial" w:hAnsi="Arial" w:cs="Arial"/>
          <w:sz w:val="22"/>
          <w:szCs w:val="22"/>
        </w:rPr>
      </w:pPr>
      <w:r w:rsidRPr="00371DCB">
        <w:rPr>
          <w:rFonts w:ascii="Arial" w:hAnsi="Arial" w:cs="Arial"/>
          <w:sz w:val="22"/>
          <w:szCs w:val="22"/>
        </w:rPr>
        <w:t xml:space="preserve">Note: </w:t>
      </w:r>
    </w:p>
    <w:p w14:paraId="0E4C488C" w14:textId="641B9280" w:rsidR="0054615A" w:rsidRPr="00371DCB" w:rsidRDefault="0054615A" w:rsidP="00FB2D39">
      <w:pPr>
        <w:ind w:left="349"/>
        <w:jc w:val="both"/>
        <w:rPr>
          <w:rFonts w:ascii="Arial" w:hAnsi="Arial" w:cs="Arial"/>
          <w:sz w:val="22"/>
          <w:szCs w:val="22"/>
        </w:rPr>
      </w:pPr>
      <w:r w:rsidRPr="00371DCB">
        <w:rPr>
          <w:rFonts w:ascii="Arial" w:hAnsi="Arial" w:cs="Arial"/>
          <w:sz w:val="22"/>
          <w:szCs w:val="22"/>
          <w:vertAlign w:val="superscript"/>
        </w:rPr>
        <w:t>*</w:t>
      </w:r>
      <w:r w:rsidRPr="00371DCB">
        <w:rPr>
          <w:rFonts w:ascii="Arial" w:hAnsi="Arial" w:cs="Arial"/>
          <w:sz w:val="22"/>
          <w:szCs w:val="22"/>
        </w:rPr>
        <w:t>I</w:t>
      </w:r>
      <w:r w:rsidR="00584DB7">
        <w:rPr>
          <w:rFonts w:ascii="Arial" w:hAnsi="Arial" w:cs="Arial"/>
          <w:sz w:val="22"/>
          <w:szCs w:val="22"/>
        </w:rPr>
        <w:t xml:space="preserve">f one of the study experimental drugs are considered to put the patient at increased risk due to drug interactions, randomization for such patients will be limited to the study arms that are deemed to be safe by the </w:t>
      </w:r>
      <w:r w:rsidR="00D2353A">
        <w:rPr>
          <w:rFonts w:ascii="Arial" w:hAnsi="Arial" w:cs="Arial"/>
          <w:sz w:val="22"/>
          <w:szCs w:val="22"/>
        </w:rPr>
        <w:t>study clinical pharmacologist.</w:t>
      </w:r>
      <w:r w:rsidR="00584DB7">
        <w:rPr>
          <w:rFonts w:ascii="Arial" w:hAnsi="Arial" w:cs="Arial"/>
          <w:sz w:val="22"/>
          <w:szCs w:val="22"/>
        </w:rPr>
        <w:t xml:space="preserve"> As it is likely that only the HIV-infected participants may have negative drug interactions with the experimental drugs, this reduced randomization is important to allow </w:t>
      </w:r>
      <w:r w:rsidRPr="00371DCB">
        <w:rPr>
          <w:rFonts w:ascii="Arial" w:hAnsi="Arial" w:cs="Arial"/>
          <w:sz w:val="22"/>
          <w:szCs w:val="22"/>
        </w:rPr>
        <w:t>participation of HIV-infected participants on treatment and rifampicin-treated participants.</w:t>
      </w:r>
    </w:p>
    <w:p w14:paraId="265A8FD1" w14:textId="5A4A3998" w:rsidR="00CF7E12" w:rsidRPr="00371DCB" w:rsidRDefault="00CF7E12" w:rsidP="00FB2D39">
      <w:pPr>
        <w:ind w:left="349"/>
        <w:jc w:val="both"/>
        <w:rPr>
          <w:rFonts w:ascii="Arial" w:hAnsi="Arial" w:cs="Arial"/>
          <w:sz w:val="22"/>
          <w:szCs w:val="22"/>
        </w:rPr>
      </w:pPr>
      <w:r w:rsidRPr="00371DCB">
        <w:rPr>
          <w:rFonts w:ascii="Arial" w:hAnsi="Arial" w:cs="Arial"/>
          <w:sz w:val="22"/>
          <w:szCs w:val="22"/>
        </w:rPr>
        <w:t xml:space="preserve">Pregnant and lactating persons will be eligible for </w:t>
      </w:r>
      <w:proofErr w:type="spellStart"/>
      <w:r w:rsidRPr="00371DCB">
        <w:rPr>
          <w:rFonts w:ascii="Arial" w:hAnsi="Arial" w:cs="Arial"/>
          <w:sz w:val="22"/>
          <w:szCs w:val="22"/>
        </w:rPr>
        <w:t>enrollment</w:t>
      </w:r>
      <w:proofErr w:type="spellEnd"/>
      <w:r w:rsidRPr="00371DCB">
        <w:rPr>
          <w:rFonts w:ascii="Arial" w:hAnsi="Arial" w:cs="Arial"/>
          <w:sz w:val="22"/>
          <w:szCs w:val="22"/>
        </w:rPr>
        <w:t xml:space="preserve"> into this study. </w:t>
      </w:r>
      <w:r w:rsidR="00FF43EF" w:rsidRPr="00371DCB">
        <w:rPr>
          <w:rFonts w:ascii="Arial" w:hAnsi="Arial" w:cs="Arial"/>
          <w:sz w:val="22"/>
          <w:szCs w:val="22"/>
        </w:rPr>
        <w:t>TOGETHER 3 study drugs</w:t>
      </w:r>
      <w:r w:rsidRPr="00371DCB">
        <w:rPr>
          <w:rFonts w:ascii="Arial" w:hAnsi="Arial" w:cs="Arial"/>
          <w:sz w:val="22"/>
          <w:szCs w:val="22"/>
        </w:rPr>
        <w:t xml:space="preserve"> have been shown to be safe in pregnant women.</w:t>
      </w:r>
    </w:p>
    <w:p w14:paraId="0B7D5AE8" w14:textId="77777777" w:rsidR="00F554D1" w:rsidRPr="00371DCB" w:rsidRDefault="00F554D1" w:rsidP="00FB2D39">
      <w:pPr>
        <w:pStyle w:val="Heading2"/>
        <w:jc w:val="both"/>
      </w:pPr>
      <w:bookmarkStart w:id="43" w:name="_Toc38818753"/>
      <w:r w:rsidRPr="00371DCB">
        <w:t>Screen Failures</w:t>
      </w:r>
      <w:bookmarkEnd w:id="42"/>
      <w:bookmarkEnd w:id="43"/>
    </w:p>
    <w:p w14:paraId="63152735"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Screen failures are defined as participants who consent to participate in the clinical study but are not subsequently randomly assigned to study treatment. A minimal set of screen failure information is required to ensure transparent reporting of screen failure participants to meet the Consolidated Standards of Reporting Trials publishing requirements and to respond to queries from regulatory authorities. Minimal information includes demography, screen failure details, eligibility criteria, and any serious adverse event (SAE).</w:t>
      </w:r>
    </w:p>
    <w:p w14:paraId="3D8E0D8C"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Individuals who do not meet the criteria for participation in this study (screen failure) can be rescreened if there is a change in their eligibility.</w:t>
      </w:r>
    </w:p>
    <w:p w14:paraId="0DAA7FEA" w14:textId="77777777" w:rsidR="00F554D1" w:rsidRPr="00371DCB" w:rsidRDefault="00F554D1" w:rsidP="00FB2D39">
      <w:pPr>
        <w:pStyle w:val="Heading2"/>
        <w:jc w:val="both"/>
      </w:pPr>
      <w:bookmarkStart w:id="44" w:name="_Toc36029501"/>
      <w:bookmarkStart w:id="45" w:name="_Toc38818754"/>
      <w:r w:rsidRPr="00371DCB">
        <w:t>Recruitment</w:t>
      </w:r>
      <w:bookmarkEnd w:id="44"/>
      <w:bookmarkEnd w:id="45"/>
    </w:p>
    <w:p w14:paraId="60F9F57E" w14:textId="3BEC4639" w:rsidR="00F554D1" w:rsidRPr="0020538A" w:rsidRDefault="00F554D1" w:rsidP="00FB2D39">
      <w:pPr>
        <w:jc w:val="both"/>
        <w:rPr>
          <w:rFonts w:ascii="Arial" w:hAnsi="Arial" w:cs="Arial"/>
          <w:i/>
          <w:iCs/>
          <w:sz w:val="22"/>
          <w:szCs w:val="22"/>
        </w:rPr>
      </w:pPr>
      <w:r w:rsidRPr="00371DCB">
        <w:rPr>
          <w:rFonts w:ascii="Arial" w:hAnsi="Arial" w:cs="Arial"/>
          <w:sz w:val="22"/>
          <w:szCs w:val="22"/>
        </w:rPr>
        <w:t>Each site will establish local recruitment and screening methods that operationalize protocol</w:t>
      </w:r>
      <w:r w:rsidRPr="00371DCB">
        <w:rPr>
          <w:rFonts w:ascii="Arial" w:hAnsi="Arial" w:cs="Arial"/>
          <w:sz w:val="22"/>
          <w:szCs w:val="22"/>
        </w:rPr>
        <w:noBreakHyphen/>
        <w:t xml:space="preserve">specified requirements for eligibility determination in a manner that is tailored to and most efficient for the local study setting and target study population. Each site will use a variety of recruitment approaches, including direct recruitment at clinics, referrals from other providers and SARS-CoV-2 testing sites and laboratories, and use of online and social networking websites and apps. Recruitment materials will educate participants about COVID-19, transmission within households, </w:t>
      </w:r>
      <w:r w:rsidR="0054615A" w:rsidRPr="00371DCB">
        <w:rPr>
          <w:rFonts w:ascii="Arial" w:hAnsi="Arial" w:cs="Arial"/>
          <w:sz w:val="22"/>
          <w:szCs w:val="22"/>
        </w:rPr>
        <w:t xml:space="preserve">and </w:t>
      </w:r>
      <w:r w:rsidRPr="00371DCB">
        <w:rPr>
          <w:rFonts w:ascii="Arial" w:hAnsi="Arial" w:cs="Arial"/>
          <w:sz w:val="22"/>
          <w:szCs w:val="22"/>
        </w:rPr>
        <w:t>epidemiology in the community.</w:t>
      </w:r>
      <w:r w:rsidR="0020538A">
        <w:rPr>
          <w:rFonts w:ascii="Arial" w:hAnsi="Arial" w:cs="Arial"/>
          <w:sz w:val="22"/>
          <w:szCs w:val="22"/>
        </w:rPr>
        <w:t xml:space="preserve"> </w:t>
      </w:r>
      <w:r w:rsidR="0020538A">
        <w:rPr>
          <w:rFonts w:ascii="Arial" w:hAnsi="Arial" w:cs="Arial"/>
          <w:i/>
          <w:iCs/>
          <w:sz w:val="22"/>
          <w:szCs w:val="22"/>
        </w:rPr>
        <w:t>See Appendix 5.</w:t>
      </w:r>
    </w:p>
    <w:p w14:paraId="704BD988" w14:textId="1782542B" w:rsidR="00F554D1" w:rsidRPr="00371DCB" w:rsidRDefault="00F554D1" w:rsidP="00FB2D39">
      <w:pPr>
        <w:jc w:val="both"/>
        <w:rPr>
          <w:rFonts w:ascii="Arial" w:hAnsi="Arial" w:cs="Arial"/>
          <w:sz w:val="22"/>
          <w:szCs w:val="22"/>
        </w:rPr>
      </w:pPr>
      <w:r w:rsidRPr="00371DCB">
        <w:rPr>
          <w:rFonts w:ascii="Arial" w:hAnsi="Arial" w:cs="Arial"/>
          <w:sz w:val="22"/>
          <w:szCs w:val="22"/>
        </w:rPr>
        <w:t>The proposed sites have established track records of high-quality clinical research integrated into clinical care settings; annual retention rates in clinical trials conducted in these sites exceed 90%. The sites have large COVID-19 epidemics with regulation limiting contact to reduce infectious spread.</w:t>
      </w:r>
    </w:p>
    <w:p w14:paraId="28E532CA" w14:textId="77777777" w:rsidR="00F554D1" w:rsidRPr="00371DCB" w:rsidRDefault="00F554D1" w:rsidP="00FB2D39">
      <w:pPr>
        <w:pStyle w:val="Heading2"/>
        <w:jc w:val="both"/>
      </w:pPr>
      <w:bookmarkStart w:id="46" w:name="_Toc36029502"/>
      <w:bookmarkStart w:id="47" w:name="_Toc38818755"/>
      <w:r w:rsidRPr="00371DCB">
        <w:t>Co-enrollment Guidelines</w:t>
      </w:r>
      <w:bookmarkEnd w:id="46"/>
      <w:bookmarkEnd w:id="47"/>
    </w:p>
    <w:p w14:paraId="7BDA36F0"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Participants may be co-enrolled in other research studies, provided that these are observational studies only. Any other exception requires approval of the Principal Investigators; if a participant clinically worsens, such as requiring hospitalization, it is expected that an exception will be automatically granted and participation in treatment studies permitted. The study team should be consulted for co-</w:t>
      </w:r>
      <w:proofErr w:type="spellStart"/>
      <w:r w:rsidRPr="00371DCB">
        <w:rPr>
          <w:rFonts w:ascii="Arial" w:hAnsi="Arial" w:cs="Arial"/>
          <w:sz w:val="22"/>
          <w:szCs w:val="22"/>
        </w:rPr>
        <w:t>enrollment</w:t>
      </w:r>
      <w:proofErr w:type="spellEnd"/>
      <w:r w:rsidRPr="00371DCB">
        <w:rPr>
          <w:rFonts w:ascii="Arial" w:hAnsi="Arial" w:cs="Arial"/>
          <w:sz w:val="22"/>
          <w:szCs w:val="22"/>
        </w:rPr>
        <w:t xml:space="preserve"> in studies that do not meet this guidance or if there are questions </w:t>
      </w:r>
      <w:r w:rsidRPr="00371DCB">
        <w:rPr>
          <w:rFonts w:ascii="Arial" w:hAnsi="Arial" w:cs="Arial"/>
          <w:sz w:val="22"/>
          <w:szCs w:val="22"/>
        </w:rPr>
        <w:lastRenderedPageBreak/>
        <w:t>about eligibility for co-</w:t>
      </w:r>
      <w:proofErr w:type="spellStart"/>
      <w:r w:rsidRPr="00371DCB">
        <w:rPr>
          <w:rFonts w:ascii="Arial" w:hAnsi="Arial" w:cs="Arial"/>
          <w:sz w:val="22"/>
          <w:szCs w:val="22"/>
        </w:rPr>
        <w:t>enrollment</w:t>
      </w:r>
      <w:proofErr w:type="spellEnd"/>
      <w:r w:rsidRPr="00371DCB">
        <w:rPr>
          <w:rFonts w:ascii="Arial" w:hAnsi="Arial" w:cs="Arial"/>
          <w:sz w:val="22"/>
          <w:szCs w:val="22"/>
        </w:rPr>
        <w:t>. For any co-enrolled study, combined blood draws should not exceed current Red Cross phlebotomy guidance.</w:t>
      </w:r>
    </w:p>
    <w:p w14:paraId="60F8ED9C" w14:textId="5424D897" w:rsidR="00381D18" w:rsidRPr="00371DCB" w:rsidRDefault="00FC4C3A" w:rsidP="00FB2D39">
      <w:pPr>
        <w:pStyle w:val="Heading1"/>
        <w:rPr>
          <w:rFonts w:ascii="Arial" w:hAnsi="Arial" w:cs="Arial"/>
          <w:sz w:val="22"/>
        </w:rPr>
      </w:pPr>
      <w:bookmarkStart w:id="48" w:name="_Toc38818756"/>
      <w:r w:rsidRPr="00371DCB">
        <w:rPr>
          <w:rFonts w:ascii="Arial" w:hAnsi="Arial" w:cs="Arial"/>
          <w:sz w:val="22"/>
        </w:rPr>
        <w:lastRenderedPageBreak/>
        <w:t>Treatments</w:t>
      </w:r>
      <w:bookmarkEnd w:id="48"/>
    </w:p>
    <w:p w14:paraId="2B75697F" w14:textId="77777777" w:rsidR="00137D66" w:rsidRPr="00371DCB" w:rsidRDefault="00F554D1" w:rsidP="00FB2D39">
      <w:pPr>
        <w:jc w:val="both"/>
        <w:rPr>
          <w:rFonts w:ascii="Arial" w:hAnsi="Arial" w:cs="Arial"/>
          <w:sz w:val="22"/>
          <w:szCs w:val="22"/>
        </w:rPr>
      </w:pPr>
      <w:r w:rsidRPr="00371DCB">
        <w:rPr>
          <w:rFonts w:ascii="Arial" w:hAnsi="Arial" w:cs="Arial"/>
          <w:sz w:val="22"/>
          <w:szCs w:val="22"/>
        </w:rPr>
        <w:t xml:space="preserve">Study treatment is defined as any investigational treatment(s), marketed product(s), placebo, or medical device(s) intended to be administered to a study participant according to the study protocol. </w:t>
      </w:r>
    </w:p>
    <w:p w14:paraId="001AB590" w14:textId="3456AFDC" w:rsidR="00EF58B9" w:rsidRPr="00371DCB" w:rsidRDefault="00F554D1" w:rsidP="00FB2D39">
      <w:pPr>
        <w:pStyle w:val="Heading2"/>
        <w:jc w:val="both"/>
      </w:pPr>
      <w:bookmarkStart w:id="49" w:name="_Toc36029504"/>
      <w:bookmarkStart w:id="50" w:name="_Toc38818757"/>
      <w:r w:rsidRPr="00371DCB">
        <w:t>Treatments Administered</w:t>
      </w:r>
      <w:bookmarkEnd w:id="49"/>
      <w:bookmarkEnd w:id="50"/>
    </w:p>
    <w:tbl>
      <w:tblPr>
        <w:tblStyle w:val="TableGrid"/>
        <w:tblW w:w="5000" w:type="pct"/>
        <w:tblLook w:val="04A0" w:firstRow="1" w:lastRow="0" w:firstColumn="1" w:lastColumn="0" w:noHBand="0" w:noVBand="1"/>
      </w:tblPr>
      <w:tblGrid>
        <w:gridCol w:w="1952"/>
        <w:gridCol w:w="1502"/>
        <w:gridCol w:w="1769"/>
        <w:gridCol w:w="1610"/>
        <w:gridCol w:w="2517"/>
      </w:tblGrid>
      <w:tr w:rsidR="00CF5FE7" w:rsidRPr="00FA7410" w14:paraId="59DEA221" w14:textId="4650EB19" w:rsidTr="00D73F77">
        <w:trPr>
          <w:trHeight w:val="123"/>
        </w:trPr>
        <w:tc>
          <w:tcPr>
            <w:tcW w:w="1044" w:type="pct"/>
          </w:tcPr>
          <w:p w14:paraId="3C8BCDD7" w14:textId="2181EDCF" w:rsidR="00CF5FE7" w:rsidRPr="00371DCB" w:rsidRDefault="00CF5FE7" w:rsidP="00FB2D39">
            <w:pPr>
              <w:jc w:val="both"/>
              <w:rPr>
                <w:rFonts w:ascii="Arial" w:hAnsi="Arial" w:cs="Arial"/>
                <w:b/>
                <w:sz w:val="22"/>
                <w:szCs w:val="22"/>
                <w:lang w:val="en-US" w:eastAsia="ja-JP"/>
              </w:rPr>
            </w:pPr>
            <w:r w:rsidRPr="00371DCB">
              <w:rPr>
                <w:rFonts w:ascii="Arial" w:hAnsi="Arial" w:cs="Arial"/>
                <w:b/>
                <w:sz w:val="22"/>
                <w:szCs w:val="22"/>
                <w:lang w:val="en-US" w:eastAsia="ja-JP"/>
              </w:rPr>
              <w:t>Drug</w:t>
            </w:r>
          </w:p>
        </w:tc>
        <w:tc>
          <w:tcPr>
            <w:tcW w:w="803" w:type="pct"/>
          </w:tcPr>
          <w:p w14:paraId="5A648673" w14:textId="50972B23" w:rsidR="00CF5FE7" w:rsidRPr="00371DCB" w:rsidRDefault="00CF5FE7" w:rsidP="00FB2D39">
            <w:pPr>
              <w:jc w:val="both"/>
              <w:rPr>
                <w:rFonts w:ascii="Arial" w:hAnsi="Arial" w:cs="Arial"/>
                <w:b/>
                <w:sz w:val="22"/>
                <w:szCs w:val="22"/>
                <w:lang w:val="en-US" w:eastAsia="ja-JP"/>
              </w:rPr>
            </w:pPr>
            <w:r w:rsidRPr="00371DCB">
              <w:rPr>
                <w:rFonts w:ascii="Arial" w:hAnsi="Arial" w:cs="Arial"/>
                <w:b/>
                <w:sz w:val="22"/>
                <w:szCs w:val="22"/>
                <w:lang w:val="en-US" w:eastAsia="ja-JP"/>
              </w:rPr>
              <w:t>Dosage formulation</w:t>
            </w:r>
          </w:p>
        </w:tc>
        <w:tc>
          <w:tcPr>
            <w:tcW w:w="946" w:type="pct"/>
          </w:tcPr>
          <w:p w14:paraId="5D86BF58" w14:textId="77D742F9" w:rsidR="00CF5FE7" w:rsidRPr="00371DCB" w:rsidRDefault="00CF5FE7" w:rsidP="00FB2D39">
            <w:pPr>
              <w:jc w:val="both"/>
              <w:rPr>
                <w:rFonts w:ascii="Arial" w:hAnsi="Arial" w:cs="Arial"/>
                <w:b/>
                <w:sz w:val="22"/>
                <w:szCs w:val="22"/>
                <w:lang w:val="en-US" w:eastAsia="ja-JP"/>
              </w:rPr>
            </w:pPr>
            <w:r w:rsidRPr="00371DCB">
              <w:rPr>
                <w:rFonts w:ascii="Arial" w:hAnsi="Arial" w:cs="Arial"/>
                <w:b/>
                <w:sz w:val="22"/>
                <w:szCs w:val="22"/>
              </w:rPr>
              <w:t>Route of Administration</w:t>
            </w:r>
          </w:p>
        </w:tc>
        <w:tc>
          <w:tcPr>
            <w:tcW w:w="861" w:type="pct"/>
          </w:tcPr>
          <w:p w14:paraId="3E443629" w14:textId="43EE136F" w:rsidR="00CF5FE7" w:rsidRPr="00371DCB" w:rsidRDefault="00CF5FE7" w:rsidP="00FB2D39">
            <w:pPr>
              <w:jc w:val="both"/>
              <w:rPr>
                <w:rFonts w:ascii="Arial" w:hAnsi="Arial" w:cs="Arial"/>
                <w:b/>
                <w:sz w:val="22"/>
                <w:szCs w:val="22"/>
                <w:lang w:val="en-US" w:eastAsia="ja-JP"/>
              </w:rPr>
            </w:pPr>
            <w:r w:rsidRPr="00371DCB">
              <w:rPr>
                <w:rFonts w:ascii="Arial" w:hAnsi="Arial" w:cs="Arial"/>
                <w:b/>
                <w:sz w:val="22"/>
                <w:szCs w:val="22"/>
                <w:lang w:val="en-US" w:eastAsia="ja-JP"/>
              </w:rPr>
              <w:t xml:space="preserve">Manufacturer </w:t>
            </w:r>
          </w:p>
        </w:tc>
        <w:tc>
          <w:tcPr>
            <w:tcW w:w="1346" w:type="pct"/>
          </w:tcPr>
          <w:p w14:paraId="2957FBAB" w14:textId="2142281D" w:rsidR="00CF5FE7" w:rsidRPr="00371DCB" w:rsidRDefault="00CF5FE7" w:rsidP="00FB2D39">
            <w:pPr>
              <w:jc w:val="both"/>
              <w:rPr>
                <w:rFonts w:ascii="Arial" w:hAnsi="Arial" w:cs="Arial"/>
                <w:b/>
                <w:sz w:val="22"/>
                <w:szCs w:val="22"/>
                <w:lang w:val="en-US" w:eastAsia="ja-JP"/>
              </w:rPr>
            </w:pPr>
            <w:r w:rsidRPr="00371DCB">
              <w:rPr>
                <w:rFonts w:ascii="Arial" w:hAnsi="Arial" w:cs="Arial"/>
                <w:b/>
                <w:sz w:val="22"/>
                <w:szCs w:val="22"/>
                <w:lang w:val="en-US" w:eastAsia="ja-JP"/>
              </w:rPr>
              <w:t>Instructions</w:t>
            </w:r>
          </w:p>
        </w:tc>
      </w:tr>
      <w:tr w:rsidR="00CF5FE7" w:rsidRPr="00FA7410" w14:paraId="2D6E019A" w14:textId="2F5EA3F1" w:rsidTr="00D73F77">
        <w:tc>
          <w:tcPr>
            <w:tcW w:w="1044" w:type="pct"/>
          </w:tcPr>
          <w:p w14:paraId="4CFEA0A8" w14:textId="0288BF86" w:rsidR="00CF5FE7" w:rsidRPr="00371DCB" w:rsidRDefault="00CF5FE7" w:rsidP="00FB2D39">
            <w:pPr>
              <w:jc w:val="both"/>
              <w:rPr>
                <w:rFonts w:ascii="Arial" w:hAnsi="Arial" w:cs="Arial"/>
                <w:sz w:val="22"/>
                <w:szCs w:val="22"/>
                <w:lang w:val="en-US" w:eastAsia="ja-JP"/>
              </w:rPr>
            </w:pPr>
            <w:r w:rsidRPr="00371DCB">
              <w:rPr>
                <w:rFonts w:ascii="Arial" w:hAnsi="Arial" w:cs="Arial"/>
                <w:sz w:val="22"/>
                <w:szCs w:val="22"/>
                <w:lang w:val="en-US" w:eastAsia="ja-JP"/>
              </w:rPr>
              <w:t>Ascorbic acid</w:t>
            </w:r>
          </w:p>
        </w:tc>
        <w:tc>
          <w:tcPr>
            <w:tcW w:w="803" w:type="pct"/>
          </w:tcPr>
          <w:p w14:paraId="5F66309C" w14:textId="6842529D" w:rsidR="00CF5FE7" w:rsidRPr="00371DCB" w:rsidRDefault="00FF43EF" w:rsidP="00FB2D39">
            <w:pPr>
              <w:jc w:val="both"/>
              <w:rPr>
                <w:rFonts w:ascii="Arial" w:hAnsi="Arial" w:cs="Arial"/>
                <w:sz w:val="22"/>
                <w:szCs w:val="22"/>
                <w:lang w:val="en-US" w:eastAsia="ja-JP"/>
              </w:rPr>
            </w:pPr>
            <w:r w:rsidRPr="00371DCB">
              <w:rPr>
                <w:rFonts w:ascii="Arial" w:hAnsi="Arial" w:cs="Arial"/>
                <w:sz w:val="22"/>
                <w:szCs w:val="22"/>
              </w:rPr>
              <w:t>500</w:t>
            </w:r>
            <w:r w:rsidR="00E31430" w:rsidRPr="00371DCB">
              <w:rPr>
                <w:rFonts w:ascii="Arial" w:hAnsi="Arial" w:cs="Arial"/>
                <w:sz w:val="22"/>
                <w:szCs w:val="22"/>
              </w:rPr>
              <w:t xml:space="preserve"> </w:t>
            </w:r>
            <w:r w:rsidR="00CF5FE7" w:rsidRPr="00371DCB">
              <w:rPr>
                <w:rFonts w:ascii="Arial" w:hAnsi="Arial" w:cs="Arial"/>
                <w:sz w:val="22"/>
                <w:szCs w:val="22"/>
              </w:rPr>
              <w:t>mg tablets</w:t>
            </w:r>
          </w:p>
        </w:tc>
        <w:tc>
          <w:tcPr>
            <w:tcW w:w="946" w:type="pct"/>
          </w:tcPr>
          <w:p w14:paraId="6E63B9DE" w14:textId="0707F89F" w:rsidR="00CF5FE7" w:rsidRPr="00371DCB" w:rsidRDefault="00CF5FE7" w:rsidP="00FB2D39">
            <w:pPr>
              <w:jc w:val="both"/>
              <w:rPr>
                <w:rFonts w:ascii="Arial" w:hAnsi="Arial" w:cs="Arial"/>
                <w:sz w:val="22"/>
                <w:szCs w:val="22"/>
                <w:lang w:val="en-US" w:eastAsia="ja-JP"/>
              </w:rPr>
            </w:pPr>
            <w:r w:rsidRPr="00371DCB">
              <w:rPr>
                <w:rFonts w:ascii="Arial" w:hAnsi="Arial" w:cs="Arial"/>
                <w:sz w:val="22"/>
                <w:szCs w:val="22"/>
                <w:lang w:val="en-US" w:eastAsia="ja-JP"/>
              </w:rPr>
              <w:t>Oral</w:t>
            </w:r>
          </w:p>
        </w:tc>
        <w:tc>
          <w:tcPr>
            <w:tcW w:w="861" w:type="pct"/>
          </w:tcPr>
          <w:p w14:paraId="2C17F064" w14:textId="53684F70" w:rsidR="00CF5FE7" w:rsidRPr="00371DCB" w:rsidRDefault="00E31430" w:rsidP="00FB2D39">
            <w:pPr>
              <w:jc w:val="both"/>
              <w:rPr>
                <w:rFonts w:ascii="Arial" w:hAnsi="Arial" w:cs="Arial"/>
                <w:sz w:val="22"/>
                <w:szCs w:val="22"/>
                <w:lang w:val="en-US" w:eastAsia="ja-JP"/>
              </w:rPr>
            </w:pPr>
            <w:r w:rsidRPr="00371DCB">
              <w:rPr>
                <w:rFonts w:ascii="Arial" w:hAnsi="Arial" w:cs="Arial"/>
                <w:sz w:val="22"/>
                <w:szCs w:val="22"/>
                <w:lang w:val="en-US" w:eastAsia="ja-JP"/>
              </w:rPr>
              <w:t>Ranbaxy Be-Tabs</w:t>
            </w:r>
          </w:p>
        </w:tc>
        <w:tc>
          <w:tcPr>
            <w:tcW w:w="1346" w:type="pct"/>
          </w:tcPr>
          <w:p w14:paraId="5CC41FB4" w14:textId="5A2418D5" w:rsidR="00CF5FE7" w:rsidRPr="00371DCB" w:rsidRDefault="00CF5FE7" w:rsidP="00FB2D39">
            <w:pPr>
              <w:jc w:val="both"/>
              <w:rPr>
                <w:rFonts w:ascii="Arial" w:hAnsi="Arial" w:cs="Arial"/>
                <w:sz w:val="22"/>
                <w:szCs w:val="22"/>
                <w:lang w:val="en-US" w:eastAsia="ja-JP"/>
              </w:rPr>
            </w:pPr>
            <w:r w:rsidRPr="00371DCB">
              <w:rPr>
                <w:rFonts w:ascii="Arial" w:hAnsi="Arial" w:cs="Arial"/>
                <w:sz w:val="22"/>
                <w:szCs w:val="22"/>
              </w:rPr>
              <w:t>2 tablets every 12 hours for the first day and 1 tablet twice daily for the subsequent 9 days, for a total of 10 days of treatment. Take at approximately the same time each day with a meal. If a dose is missed, it should be taken as soon as possible. If it is less than 4 hours before the next dose, the dose should be skipped.</w:t>
            </w:r>
          </w:p>
        </w:tc>
      </w:tr>
    </w:tbl>
    <w:p w14:paraId="70DAD5B7" w14:textId="0069376F" w:rsidR="00CF5FE7" w:rsidRPr="00371DCB" w:rsidRDefault="00FC759D" w:rsidP="00FB2D39">
      <w:pPr>
        <w:jc w:val="both"/>
        <w:rPr>
          <w:rFonts w:ascii="Arial" w:hAnsi="Arial" w:cs="Arial"/>
          <w:sz w:val="22"/>
          <w:szCs w:val="22"/>
        </w:rPr>
      </w:pPr>
      <w:r w:rsidRPr="00371DCB">
        <w:rPr>
          <w:rFonts w:ascii="Arial" w:hAnsi="Arial" w:cs="Arial"/>
          <w:sz w:val="22"/>
          <w:szCs w:val="22"/>
          <w:lang w:val="en-US" w:eastAsia="ja-JP"/>
        </w:rPr>
        <w:t xml:space="preserve">Packaging and label: </w:t>
      </w:r>
      <w:r w:rsidRPr="00371DCB">
        <w:rPr>
          <w:rFonts w:ascii="Arial" w:hAnsi="Arial" w:cs="Arial"/>
          <w:sz w:val="22"/>
          <w:szCs w:val="22"/>
        </w:rPr>
        <w:t xml:space="preserve">The medication will be dispensed in an otherwise-unmarked container with the study label. The container will be </w:t>
      </w:r>
      <w:proofErr w:type="spellStart"/>
      <w:r w:rsidRPr="00371DCB">
        <w:rPr>
          <w:rFonts w:ascii="Arial" w:hAnsi="Arial" w:cs="Arial"/>
          <w:sz w:val="22"/>
          <w:szCs w:val="22"/>
        </w:rPr>
        <w:t>labeled</w:t>
      </w:r>
      <w:proofErr w:type="spellEnd"/>
      <w:r w:rsidRPr="00371DCB">
        <w:rPr>
          <w:rFonts w:ascii="Arial" w:hAnsi="Arial" w:cs="Arial"/>
          <w:sz w:val="22"/>
          <w:szCs w:val="22"/>
        </w:rPr>
        <w:t xml:space="preserve"> with a unique identifier. </w:t>
      </w:r>
    </w:p>
    <w:p w14:paraId="4ECBA542" w14:textId="1107A54A" w:rsidR="009D4CFF" w:rsidRPr="00371DCB" w:rsidRDefault="00CF5FE7" w:rsidP="00FB2D39">
      <w:pPr>
        <w:jc w:val="both"/>
        <w:rPr>
          <w:rFonts w:ascii="Arial" w:hAnsi="Arial" w:cs="Arial"/>
          <w:sz w:val="22"/>
          <w:szCs w:val="22"/>
        </w:rPr>
      </w:pPr>
      <w:r w:rsidRPr="00371DCB">
        <w:rPr>
          <w:rFonts w:ascii="Arial" w:hAnsi="Arial" w:cs="Arial"/>
          <w:sz w:val="22"/>
          <w:szCs w:val="22"/>
          <w:lang w:val="en-US" w:eastAsia="ja-JP"/>
        </w:rPr>
        <w:t xml:space="preserve">For the experimental interventions, the details on the dosage formulation, route of administration, manufacturer, and instruction are provided in their corresponding Appendix. </w:t>
      </w:r>
      <w:bookmarkStart w:id="51" w:name="_Toc36029505"/>
      <w:bookmarkStart w:id="52" w:name="_Ref35193653"/>
    </w:p>
    <w:p w14:paraId="3BBE5C45" w14:textId="3BF186EE" w:rsidR="00333908" w:rsidRPr="00371DCB" w:rsidRDefault="00F554D1" w:rsidP="00FB2D39">
      <w:pPr>
        <w:pStyle w:val="Heading2"/>
        <w:jc w:val="both"/>
      </w:pPr>
      <w:bookmarkStart w:id="53" w:name="_Toc38818758"/>
      <w:r w:rsidRPr="00371DCB">
        <w:t>Risks to the Participants</w:t>
      </w:r>
      <w:bookmarkEnd w:id="51"/>
      <w:bookmarkEnd w:id="53"/>
    </w:p>
    <w:p w14:paraId="1572733B" w14:textId="5F0C81DE" w:rsidR="00F554D1" w:rsidRPr="00371DCB" w:rsidRDefault="00F554D1" w:rsidP="00FB2D39">
      <w:pPr>
        <w:pStyle w:val="Heading3"/>
        <w:jc w:val="both"/>
      </w:pPr>
      <w:bookmarkStart w:id="54" w:name="_Toc36029506"/>
      <w:bookmarkStart w:id="55" w:name="_Toc38818759"/>
      <w:r w:rsidRPr="00371DCB">
        <w:t xml:space="preserve">Risks Associated Administration with </w:t>
      </w:r>
      <w:bookmarkEnd w:id="54"/>
      <w:r w:rsidR="00EF58B9" w:rsidRPr="00371DCB">
        <w:t>experimental</w:t>
      </w:r>
      <w:r w:rsidR="007A7C87" w:rsidRPr="00371DCB">
        <w:t xml:space="preserve"> therapies</w:t>
      </w:r>
      <w:bookmarkEnd w:id="55"/>
    </w:p>
    <w:p w14:paraId="21052D48" w14:textId="662B8425" w:rsidR="007A7C87" w:rsidRPr="00371DCB" w:rsidRDefault="00F554D1" w:rsidP="00FB2D39">
      <w:pPr>
        <w:jc w:val="both"/>
        <w:rPr>
          <w:rFonts w:ascii="Arial" w:hAnsi="Arial" w:cs="Arial"/>
          <w:sz w:val="22"/>
          <w:szCs w:val="22"/>
        </w:rPr>
      </w:pPr>
      <w:r w:rsidRPr="00371DCB">
        <w:rPr>
          <w:rFonts w:ascii="Arial" w:hAnsi="Arial" w:cs="Arial"/>
          <w:sz w:val="22"/>
          <w:szCs w:val="22"/>
        </w:rPr>
        <w:t xml:space="preserve">The safety of </w:t>
      </w:r>
      <w:r w:rsidR="007A7C87" w:rsidRPr="00371DCB">
        <w:rPr>
          <w:rFonts w:ascii="Arial" w:hAnsi="Arial" w:cs="Arial"/>
          <w:sz w:val="22"/>
          <w:szCs w:val="22"/>
        </w:rPr>
        <w:t>experimental therapies</w:t>
      </w:r>
      <w:r w:rsidRPr="00371DCB">
        <w:rPr>
          <w:rFonts w:ascii="Arial" w:hAnsi="Arial" w:cs="Arial"/>
          <w:sz w:val="22"/>
          <w:szCs w:val="22"/>
        </w:rPr>
        <w:t xml:space="preserve"> for treatment of patients with COVID-19 disease is unknown. </w:t>
      </w:r>
      <w:r w:rsidR="007A7C87" w:rsidRPr="00371DCB">
        <w:rPr>
          <w:rFonts w:ascii="Arial" w:hAnsi="Arial" w:cs="Arial"/>
          <w:sz w:val="22"/>
          <w:szCs w:val="22"/>
        </w:rPr>
        <w:t>However, their side effect profiles are well described, and these drugs are generally well tolerated. This protocol is using a short loading dose, not a sustained one.</w:t>
      </w:r>
    </w:p>
    <w:p w14:paraId="7795BF83" w14:textId="2ADEDE26" w:rsidR="007A7C87" w:rsidRPr="00371DCB" w:rsidRDefault="00F554D1" w:rsidP="00FB2D39">
      <w:pPr>
        <w:jc w:val="both"/>
        <w:rPr>
          <w:rFonts w:ascii="Arial" w:hAnsi="Arial" w:cs="Arial"/>
          <w:sz w:val="22"/>
          <w:szCs w:val="22"/>
        </w:rPr>
      </w:pPr>
      <w:r w:rsidRPr="00371DCB">
        <w:rPr>
          <w:rFonts w:ascii="Arial" w:hAnsi="Arial" w:cs="Arial"/>
          <w:sz w:val="22"/>
          <w:szCs w:val="22"/>
        </w:rPr>
        <w:t xml:space="preserve">COVID-19 may </w:t>
      </w:r>
      <w:r w:rsidR="007A7C87" w:rsidRPr="00371DCB">
        <w:rPr>
          <w:rFonts w:ascii="Arial" w:hAnsi="Arial" w:cs="Arial"/>
          <w:sz w:val="22"/>
          <w:szCs w:val="22"/>
        </w:rPr>
        <w:t xml:space="preserve">regardless </w:t>
      </w:r>
      <w:r w:rsidRPr="00371DCB">
        <w:rPr>
          <w:rFonts w:ascii="Arial" w:hAnsi="Arial" w:cs="Arial"/>
          <w:sz w:val="22"/>
          <w:szCs w:val="22"/>
        </w:rPr>
        <w:t xml:space="preserve">be associated with cardiac effects. </w:t>
      </w:r>
      <w:r w:rsidR="007A7C87" w:rsidRPr="00371DCB">
        <w:rPr>
          <w:rFonts w:ascii="Arial" w:hAnsi="Arial" w:cs="Arial"/>
          <w:sz w:val="22"/>
          <w:szCs w:val="22"/>
        </w:rPr>
        <w:t xml:space="preserve">The proposed regimens </w:t>
      </w:r>
      <w:r w:rsidRPr="00371DCB">
        <w:rPr>
          <w:rFonts w:ascii="Arial" w:hAnsi="Arial" w:cs="Arial"/>
          <w:sz w:val="22"/>
          <w:szCs w:val="22"/>
        </w:rPr>
        <w:t xml:space="preserve">may prolong QT, resulting in arrhythmias. Participants will be </w:t>
      </w:r>
      <w:r w:rsidR="00E31430" w:rsidRPr="00371DCB">
        <w:rPr>
          <w:rFonts w:ascii="Arial" w:hAnsi="Arial" w:cs="Arial"/>
          <w:sz w:val="22"/>
          <w:szCs w:val="22"/>
        </w:rPr>
        <w:t xml:space="preserve">screened </w:t>
      </w:r>
      <w:r w:rsidRPr="00371DCB">
        <w:rPr>
          <w:rFonts w:ascii="Arial" w:hAnsi="Arial" w:cs="Arial"/>
          <w:sz w:val="22"/>
          <w:szCs w:val="22"/>
        </w:rPr>
        <w:t>for QT prolongation.</w:t>
      </w:r>
      <w:r w:rsidR="007A7C87" w:rsidRPr="00371DCB">
        <w:rPr>
          <w:rFonts w:ascii="Arial" w:hAnsi="Arial" w:cs="Arial"/>
          <w:sz w:val="22"/>
          <w:szCs w:val="22"/>
        </w:rPr>
        <w:t xml:space="preserve"> </w:t>
      </w:r>
      <w:r w:rsidRPr="00371DCB">
        <w:rPr>
          <w:rFonts w:ascii="Arial" w:hAnsi="Arial" w:cs="Arial"/>
          <w:sz w:val="22"/>
          <w:szCs w:val="22"/>
        </w:rPr>
        <w:t xml:space="preserve">Long-term manifestations of </w:t>
      </w:r>
      <w:r w:rsidR="007A7C87" w:rsidRPr="00371DCB">
        <w:rPr>
          <w:rFonts w:ascii="Arial" w:hAnsi="Arial" w:cs="Arial"/>
          <w:sz w:val="22"/>
          <w:szCs w:val="22"/>
        </w:rPr>
        <w:t>LPV/r and other regimens</w:t>
      </w:r>
      <w:r w:rsidRPr="00371DCB">
        <w:rPr>
          <w:rFonts w:ascii="Arial" w:hAnsi="Arial" w:cs="Arial"/>
          <w:sz w:val="22"/>
          <w:szCs w:val="22"/>
        </w:rPr>
        <w:t>, including hepatic disease,</w:t>
      </w:r>
      <w:r w:rsidR="00E31430" w:rsidRPr="00371DCB">
        <w:rPr>
          <w:rFonts w:ascii="Arial" w:hAnsi="Arial" w:cs="Arial"/>
          <w:sz w:val="22"/>
          <w:szCs w:val="22"/>
        </w:rPr>
        <w:t xml:space="preserve"> </w:t>
      </w:r>
      <w:r w:rsidRPr="00371DCB">
        <w:rPr>
          <w:rFonts w:ascii="Arial" w:hAnsi="Arial" w:cs="Arial"/>
          <w:sz w:val="22"/>
          <w:szCs w:val="22"/>
        </w:rPr>
        <w:t>are not likely in short term exposure.</w:t>
      </w:r>
      <w:r w:rsidR="007A7C87" w:rsidRPr="00371DCB">
        <w:rPr>
          <w:rFonts w:ascii="Arial" w:hAnsi="Arial" w:cs="Arial"/>
          <w:sz w:val="22"/>
          <w:szCs w:val="22"/>
        </w:rPr>
        <w:t xml:space="preserve"> </w:t>
      </w:r>
    </w:p>
    <w:p w14:paraId="272C429A" w14:textId="5AE56D61" w:rsidR="0083497D" w:rsidRPr="00371DCB" w:rsidRDefault="0083497D" w:rsidP="00FB2D39">
      <w:pPr>
        <w:jc w:val="both"/>
        <w:rPr>
          <w:rFonts w:ascii="Arial" w:hAnsi="Arial" w:cs="Arial"/>
          <w:sz w:val="22"/>
          <w:szCs w:val="22"/>
        </w:rPr>
      </w:pPr>
      <w:r w:rsidRPr="00371DCB">
        <w:rPr>
          <w:rFonts w:ascii="Arial" w:hAnsi="Arial" w:cs="Arial"/>
          <w:sz w:val="22"/>
          <w:szCs w:val="22"/>
        </w:rPr>
        <w:t>The risks associated with administration of each experimental intervention is provided in their corresponding appendix.</w:t>
      </w:r>
    </w:p>
    <w:p w14:paraId="7A543EEB" w14:textId="77777777" w:rsidR="00F554D1" w:rsidRPr="00371DCB" w:rsidRDefault="00F554D1" w:rsidP="00FB2D39">
      <w:pPr>
        <w:pStyle w:val="Heading3"/>
        <w:jc w:val="both"/>
      </w:pPr>
      <w:bookmarkStart w:id="56" w:name="_Toc36029507"/>
      <w:bookmarkStart w:id="57" w:name="_Toc38818760"/>
      <w:r w:rsidRPr="00371DCB">
        <w:t>Risks Associated with COVID-19 Diagnosis</w:t>
      </w:r>
      <w:bookmarkEnd w:id="56"/>
      <w:bookmarkEnd w:id="57"/>
    </w:p>
    <w:p w14:paraId="0CFEC55F" w14:textId="77777777" w:rsidR="00F554D1" w:rsidRPr="00371DCB" w:rsidRDefault="00F554D1" w:rsidP="00FB2D39">
      <w:pPr>
        <w:jc w:val="both"/>
        <w:rPr>
          <w:rFonts w:ascii="Arial" w:hAnsi="Arial" w:cs="Arial"/>
          <w:sz w:val="22"/>
          <w:szCs w:val="22"/>
        </w:rPr>
      </w:pPr>
      <w:proofErr w:type="spellStart"/>
      <w:r w:rsidRPr="00371DCB">
        <w:rPr>
          <w:rFonts w:ascii="Arial" w:hAnsi="Arial" w:cs="Arial"/>
          <w:sz w:val="22"/>
          <w:szCs w:val="22"/>
        </w:rPr>
        <w:t>Enrollment</w:t>
      </w:r>
      <w:proofErr w:type="spellEnd"/>
      <w:r w:rsidRPr="00371DCB">
        <w:rPr>
          <w:rFonts w:ascii="Arial" w:hAnsi="Arial" w:cs="Arial"/>
          <w:sz w:val="22"/>
          <w:szCs w:val="22"/>
        </w:rPr>
        <w:t xml:space="preserve"> in this protocol will not impact the public health department’s advice for self</w:t>
      </w:r>
      <w:r w:rsidRPr="00371DCB">
        <w:rPr>
          <w:rFonts w:ascii="Arial" w:hAnsi="Arial" w:cs="Arial"/>
          <w:sz w:val="22"/>
          <w:szCs w:val="22"/>
        </w:rPr>
        <w:noBreakHyphen/>
        <w:t xml:space="preserve">quarantine. </w:t>
      </w:r>
      <w:proofErr w:type="spellStart"/>
      <w:r w:rsidRPr="00371DCB">
        <w:rPr>
          <w:rFonts w:ascii="Arial" w:hAnsi="Arial" w:cs="Arial"/>
          <w:sz w:val="22"/>
          <w:szCs w:val="22"/>
        </w:rPr>
        <w:t>Enrollment</w:t>
      </w:r>
      <w:proofErr w:type="spellEnd"/>
      <w:r w:rsidRPr="00371DCB">
        <w:rPr>
          <w:rFonts w:ascii="Arial" w:hAnsi="Arial" w:cs="Arial"/>
          <w:sz w:val="22"/>
          <w:szCs w:val="22"/>
        </w:rPr>
        <w:t xml:space="preserve"> may improve morale during quarantine for COVID-19 infection. </w:t>
      </w:r>
      <w:r w:rsidRPr="00371DCB">
        <w:rPr>
          <w:rFonts w:ascii="Arial" w:hAnsi="Arial" w:cs="Arial"/>
          <w:sz w:val="22"/>
          <w:szCs w:val="22"/>
        </w:rPr>
        <w:lastRenderedPageBreak/>
        <w:t xml:space="preserve">COVID-19 may be associated with anxiety, and the ability to monitor for LRTI and interact with study clinicians may allay anxiety.   </w:t>
      </w:r>
    </w:p>
    <w:p w14:paraId="157F6FBC" w14:textId="19F0B837" w:rsidR="00F554D1" w:rsidRPr="00371DCB" w:rsidRDefault="00F554D1" w:rsidP="00FB2D39">
      <w:pPr>
        <w:pStyle w:val="Heading3"/>
        <w:jc w:val="both"/>
      </w:pPr>
      <w:bookmarkStart w:id="58" w:name="_Toc36029510"/>
      <w:bookmarkStart w:id="59" w:name="_Toc38818761"/>
      <w:r w:rsidRPr="00371DCB">
        <w:t>Management of Participants to Limit Risks of SARS-CoV-2 Transmission</w:t>
      </w:r>
      <w:bookmarkEnd w:id="58"/>
      <w:bookmarkEnd w:id="59"/>
    </w:p>
    <w:p w14:paraId="54EE4E92" w14:textId="42D7D299" w:rsidR="00F554D1" w:rsidRPr="00371DCB" w:rsidRDefault="00F554D1" w:rsidP="00FB2D39">
      <w:pPr>
        <w:jc w:val="both"/>
        <w:rPr>
          <w:rFonts w:ascii="Arial" w:hAnsi="Arial" w:cs="Arial"/>
          <w:sz w:val="22"/>
          <w:szCs w:val="22"/>
        </w:rPr>
      </w:pPr>
      <w:r w:rsidRPr="00371DCB">
        <w:rPr>
          <w:rFonts w:ascii="Arial" w:hAnsi="Arial" w:cs="Arial"/>
          <w:sz w:val="22"/>
          <w:szCs w:val="22"/>
        </w:rPr>
        <w:t>To limit the transmission of SARS-CoV-2, participants will receive visits via secure Telehealth in order to limit the movement of persons with potential SARS-CoV-2 and leave clinical space free for ill patients requiring care. Also, to limit exposure in waiting rooms clinical specimens will be self-collected</w:t>
      </w:r>
      <w:r w:rsidR="006D763D" w:rsidRPr="00371DCB">
        <w:rPr>
          <w:rFonts w:ascii="Arial" w:hAnsi="Arial" w:cs="Arial"/>
          <w:sz w:val="22"/>
          <w:szCs w:val="22"/>
        </w:rPr>
        <w:t xml:space="preserve"> and collected by a study driver.</w:t>
      </w:r>
      <w:r w:rsidRPr="00371DCB">
        <w:rPr>
          <w:rFonts w:ascii="Arial" w:hAnsi="Arial" w:cs="Arial"/>
          <w:sz w:val="22"/>
          <w:szCs w:val="22"/>
        </w:rPr>
        <w:t xml:space="preserve"> This will also eliminate exposure of study personnel to SARS-CoV-2.</w:t>
      </w:r>
    </w:p>
    <w:p w14:paraId="5549179F" w14:textId="77777777" w:rsidR="00F554D1" w:rsidRPr="00371DCB" w:rsidRDefault="00F554D1" w:rsidP="00FB2D39">
      <w:pPr>
        <w:pStyle w:val="Heading2"/>
        <w:jc w:val="both"/>
      </w:pPr>
      <w:bookmarkStart w:id="60" w:name="_Toc36029511"/>
      <w:bookmarkStart w:id="61" w:name="_Toc38818762"/>
      <w:r w:rsidRPr="00371DCB">
        <w:t>Dose Modification and Toxicity Management</w:t>
      </w:r>
      <w:bookmarkEnd w:id="52"/>
      <w:bookmarkEnd w:id="60"/>
      <w:bookmarkEnd w:id="61"/>
    </w:p>
    <w:p w14:paraId="701C0DC5"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If a study therapy dose is missed, it should be taken as soon as possible. If it is less than 4 hours before the next dose, the dose should be skipped.</w:t>
      </w:r>
    </w:p>
    <w:p w14:paraId="7AA75AA2" w14:textId="2AE6F188" w:rsidR="00377738" w:rsidRPr="00371DCB" w:rsidRDefault="00F554D1" w:rsidP="00FB2D39">
      <w:pPr>
        <w:jc w:val="both"/>
        <w:rPr>
          <w:rFonts w:ascii="Arial" w:hAnsi="Arial" w:cs="Arial"/>
          <w:sz w:val="22"/>
          <w:szCs w:val="22"/>
        </w:rPr>
      </w:pPr>
      <w:r w:rsidRPr="00371DCB">
        <w:rPr>
          <w:rFonts w:ascii="Arial" w:hAnsi="Arial" w:cs="Arial"/>
          <w:sz w:val="22"/>
          <w:szCs w:val="22"/>
        </w:rPr>
        <w:t>Modification for toxicities is discussed below. Only toxicities related to study medications provided through the study will be considered in the toxicity management section.</w:t>
      </w:r>
    </w:p>
    <w:p w14:paraId="34118A52" w14:textId="551751BB" w:rsidR="00F554D1" w:rsidRPr="00371DCB" w:rsidRDefault="00F554D1" w:rsidP="00FB2D39">
      <w:pPr>
        <w:jc w:val="both"/>
        <w:rPr>
          <w:rFonts w:ascii="Arial" w:hAnsi="Arial" w:cs="Arial"/>
          <w:b/>
          <w:bCs/>
          <w:sz w:val="22"/>
          <w:szCs w:val="22"/>
        </w:rPr>
      </w:pPr>
      <w:r w:rsidRPr="00371DCB">
        <w:rPr>
          <w:rFonts w:ascii="Arial" w:hAnsi="Arial" w:cs="Arial"/>
          <w:b/>
          <w:bCs/>
          <w:sz w:val="22"/>
          <w:szCs w:val="22"/>
        </w:rPr>
        <w:t>Grade 1 or 2</w:t>
      </w:r>
    </w:p>
    <w:p w14:paraId="1FF4348C" w14:textId="0F3BA366"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Participants who develop Grade 1 or 2 toxicity (per division of acquired immunodeficiency syndrome [DAIDS] adverse event [AE] Grading Table; see: </w:t>
      </w:r>
      <w:hyperlink r:id="rId25" w:history="1">
        <w:r w:rsidRPr="00371DCB">
          <w:rPr>
            <w:rStyle w:val="Hyperlink"/>
            <w:rFonts w:ascii="Arial" w:hAnsi="Arial" w:cs="Arial"/>
            <w:sz w:val="22"/>
            <w:szCs w:val="22"/>
          </w:rPr>
          <w:t>https://rsc.tech-res.com/docs/default-source/safety/division-of-aids-(daids)-table-for-grading-the-severity-of-adult-and-pediatric-adverse-events-corrected-v-2-1.pdf</w:t>
        </w:r>
      </w:hyperlink>
      <w:r w:rsidRPr="00371DCB">
        <w:rPr>
          <w:rFonts w:ascii="Arial" w:hAnsi="Arial" w:cs="Arial"/>
          <w:sz w:val="22"/>
          <w:szCs w:val="22"/>
        </w:rPr>
        <w:t>) that is considered to be related to the study medication may continue study treatment at the discretion of the site Investigator with close follow-up. If a participant chooses to discontinue study treatment, the site should notify the study protocol team within 7 days. These participants will remain on study, off study treatment, and have all evaluations performed.</w:t>
      </w:r>
    </w:p>
    <w:p w14:paraId="7690A0A5" w14:textId="77777777" w:rsidR="00F554D1" w:rsidRPr="00371DCB" w:rsidRDefault="00F554D1" w:rsidP="00FB2D39">
      <w:pPr>
        <w:jc w:val="both"/>
        <w:rPr>
          <w:rFonts w:ascii="Arial" w:hAnsi="Arial" w:cs="Arial"/>
          <w:b/>
          <w:bCs/>
          <w:sz w:val="22"/>
          <w:szCs w:val="22"/>
        </w:rPr>
      </w:pPr>
      <w:r w:rsidRPr="00371DCB">
        <w:rPr>
          <w:rFonts w:ascii="Arial" w:hAnsi="Arial" w:cs="Arial"/>
          <w:b/>
          <w:bCs/>
          <w:sz w:val="22"/>
          <w:szCs w:val="22"/>
        </w:rPr>
        <w:t>Grade 3</w:t>
      </w:r>
    </w:p>
    <w:p w14:paraId="256FC637" w14:textId="77777777" w:rsidR="00F554D1" w:rsidRPr="00371DCB" w:rsidRDefault="00F554D1" w:rsidP="00FB2D39">
      <w:pPr>
        <w:pStyle w:val="ListParagraph"/>
        <w:numPr>
          <w:ilvl w:val="0"/>
          <w:numId w:val="8"/>
        </w:numPr>
        <w:rPr>
          <w:rFonts w:ascii="Arial" w:hAnsi="Arial" w:cs="Arial"/>
          <w:sz w:val="22"/>
          <w:szCs w:val="22"/>
        </w:rPr>
      </w:pPr>
      <w:r w:rsidRPr="00371DCB">
        <w:rPr>
          <w:rFonts w:ascii="Arial" w:hAnsi="Arial" w:cs="Arial"/>
          <w:sz w:val="22"/>
          <w:szCs w:val="22"/>
        </w:rPr>
        <w:t>Participants who develop a Grade 3 symptomatic toxicity thought by the site Investigator to be related to study drug should have study product withheld, and the site should consult with the Core Protocol team. The participant should be reevaluated every 2 days until the AE returns to Grade ≤2, at which time study drug may be reintroduced at the discretion of the site Investigator in consultation with the protocol team.</w:t>
      </w:r>
    </w:p>
    <w:p w14:paraId="4C13F197" w14:textId="77777777" w:rsidR="00F554D1" w:rsidRPr="00371DCB" w:rsidRDefault="00F554D1" w:rsidP="00FB2D39">
      <w:pPr>
        <w:pStyle w:val="ListParagraph"/>
        <w:numPr>
          <w:ilvl w:val="0"/>
          <w:numId w:val="8"/>
        </w:numPr>
        <w:rPr>
          <w:rFonts w:ascii="Arial" w:hAnsi="Arial" w:cs="Arial"/>
          <w:sz w:val="22"/>
          <w:szCs w:val="22"/>
        </w:rPr>
      </w:pPr>
      <w:r w:rsidRPr="00371DCB">
        <w:rPr>
          <w:rFonts w:ascii="Arial" w:hAnsi="Arial" w:cs="Arial"/>
          <w:sz w:val="22"/>
          <w:szCs w:val="22"/>
        </w:rPr>
        <w:t xml:space="preserve">Participants experiencing Grade 3 toxicity requiring permanent discontinuation of study product should be followed up weekly until resolution of the toxicity. Participants will have premature study treatment discontinuation evaluations performed. These participants will remain on study, off study treatment, and have all evaluations performed per the </w:t>
      </w:r>
      <w:proofErr w:type="spellStart"/>
      <w:r w:rsidRPr="00371DCB">
        <w:rPr>
          <w:rFonts w:ascii="Arial" w:hAnsi="Arial" w:cs="Arial"/>
          <w:sz w:val="22"/>
          <w:szCs w:val="22"/>
        </w:rPr>
        <w:t>SoA</w:t>
      </w:r>
      <w:proofErr w:type="spellEnd"/>
      <w:r w:rsidRPr="00371DCB">
        <w:rPr>
          <w:rFonts w:ascii="Arial" w:hAnsi="Arial" w:cs="Arial"/>
          <w:sz w:val="22"/>
          <w:szCs w:val="22"/>
        </w:rPr>
        <w:t>.</w:t>
      </w:r>
    </w:p>
    <w:p w14:paraId="3427FDE1" w14:textId="77777777" w:rsidR="00F554D1" w:rsidRPr="00371DCB" w:rsidRDefault="00F554D1" w:rsidP="00FB2D39">
      <w:pPr>
        <w:jc w:val="both"/>
        <w:rPr>
          <w:rFonts w:ascii="Arial" w:hAnsi="Arial" w:cs="Arial"/>
          <w:b/>
          <w:bCs/>
          <w:sz w:val="22"/>
          <w:szCs w:val="22"/>
        </w:rPr>
      </w:pPr>
      <w:r w:rsidRPr="00371DCB">
        <w:rPr>
          <w:rFonts w:ascii="Arial" w:hAnsi="Arial" w:cs="Arial"/>
          <w:b/>
          <w:bCs/>
          <w:sz w:val="22"/>
          <w:szCs w:val="22"/>
        </w:rPr>
        <w:t>Grade 4</w:t>
      </w:r>
    </w:p>
    <w:p w14:paraId="7D437A46" w14:textId="77777777" w:rsidR="00F554D1" w:rsidRPr="00371DCB" w:rsidRDefault="00F554D1" w:rsidP="00FB2D39">
      <w:pPr>
        <w:pStyle w:val="ListParagraph"/>
        <w:numPr>
          <w:ilvl w:val="0"/>
          <w:numId w:val="8"/>
        </w:numPr>
        <w:rPr>
          <w:rFonts w:ascii="Arial" w:hAnsi="Arial" w:cs="Arial"/>
          <w:sz w:val="22"/>
          <w:szCs w:val="22"/>
        </w:rPr>
      </w:pPr>
      <w:r w:rsidRPr="00371DCB">
        <w:rPr>
          <w:rFonts w:ascii="Arial" w:hAnsi="Arial" w:cs="Arial"/>
          <w:sz w:val="22"/>
          <w:szCs w:val="22"/>
        </w:rPr>
        <w:t>Participants who develop a Grade 4 symptomatic toxicity will have study product permanently discontinued, and the site should notify the Principal Investigator within 72 hours.</w:t>
      </w:r>
    </w:p>
    <w:p w14:paraId="20B6D1F5" w14:textId="77777777" w:rsidR="00F554D1" w:rsidRPr="00371DCB" w:rsidRDefault="00F554D1" w:rsidP="00FB2D39">
      <w:pPr>
        <w:pStyle w:val="ListParagraph"/>
        <w:numPr>
          <w:ilvl w:val="0"/>
          <w:numId w:val="8"/>
        </w:numPr>
        <w:rPr>
          <w:rFonts w:ascii="Arial" w:hAnsi="Arial" w:cs="Arial"/>
          <w:sz w:val="22"/>
          <w:szCs w:val="22"/>
        </w:rPr>
      </w:pPr>
      <w:r w:rsidRPr="00371DCB">
        <w:rPr>
          <w:rFonts w:ascii="Arial" w:hAnsi="Arial" w:cs="Arial"/>
          <w:sz w:val="22"/>
          <w:szCs w:val="22"/>
        </w:rPr>
        <w:t xml:space="preserve">Participants experiencing Grade 4 toxicity requiring permanent discontinuation of study product should be followed up weekly until resolution of the AE or return to baseline. These participants will remain on study, off study treatment, and have all evaluations performed per the </w:t>
      </w:r>
      <w:proofErr w:type="spellStart"/>
      <w:r w:rsidRPr="00371DCB">
        <w:rPr>
          <w:rFonts w:ascii="Arial" w:hAnsi="Arial" w:cs="Arial"/>
          <w:sz w:val="22"/>
          <w:szCs w:val="22"/>
        </w:rPr>
        <w:t>SoA</w:t>
      </w:r>
      <w:proofErr w:type="spellEnd"/>
      <w:r w:rsidRPr="00371DCB">
        <w:rPr>
          <w:rFonts w:ascii="Arial" w:hAnsi="Arial" w:cs="Arial"/>
          <w:sz w:val="22"/>
          <w:szCs w:val="22"/>
        </w:rPr>
        <w:t>.</w:t>
      </w:r>
      <w:bookmarkStart w:id="62" w:name="_Toc13986227"/>
    </w:p>
    <w:p w14:paraId="20A167AB" w14:textId="2EA1FA0E" w:rsidR="00F554D1" w:rsidRPr="00371DCB" w:rsidRDefault="00F554D1" w:rsidP="00FB2D39">
      <w:pPr>
        <w:jc w:val="both"/>
        <w:rPr>
          <w:rFonts w:ascii="Arial" w:hAnsi="Arial" w:cs="Arial"/>
          <w:b/>
          <w:bCs/>
          <w:sz w:val="22"/>
          <w:szCs w:val="22"/>
          <w:lang w:eastAsia="ja-JP"/>
        </w:rPr>
      </w:pPr>
      <w:r w:rsidRPr="00371DCB">
        <w:rPr>
          <w:rFonts w:ascii="Arial" w:hAnsi="Arial" w:cs="Arial"/>
          <w:b/>
          <w:bCs/>
          <w:sz w:val="22"/>
          <w:szCs w:val="22"/>
          <w:lang w:eastAsia="ja-JP"/>
        </w:rPr>
        <w:t>Specific Management of Toxicities Related to Study-Provided Drugs</w:t>
      </w:r>
      <w:bookmarkEnd w:id="62"/>
    </w:p>
    <w:p w14:paraId="1702C06F" w14:textId="3BAF30B5" w:rsidR="0083497D" w:rsidRPr="00371DCB" w:rsidRDefault="0083497D" w:rsidP="00FB2D39">
      <w:pPr>
        <w:jc w:val="both"/>
        <w:rPr>
          <w:rFonts w:ascii="Arial" w:hAnsi="Arial" w:cs="Arial"/>
          <w:bCs/>
          <w:sz w:val="22"/>
          <w:szCs w:val="22"/>
          <w:lang w:eastAsia="ja-JP"/>
        </w:rPr>
      </w:pPr>
      <w:r w:rsidRPr="00371DCB">
        <w:rPr>
          <w:rFonts w:ascii="Arial" w:hAnsi="Arial" w:cs="Arial"/>
          <w:bCs/>
          <w:sz w:val="22"/>
          <w:szCs w:val="22"/>
          <w:lang w:eastAsia="ja-JP"/>
        </w:rPr>
        <w:t xml:space="preserve">Specific management details of toxicities related to study provided drugs are provided in their corresponding appendix. </w:t>
      </w:r>
    </w:p>
    <w:p w14:paraId="60243E8E" w14:textId="77777777" w:rsidR="00F554D1" w:rsidRPr="00371DCB" w:rsidRDefault="00F554D1" w:rsidP="00FB2D39">
      <w:pPr>
        <w:pStyle w:val="Heading2"/>
        <w:jc w:val="both"/>
      </w:pPr>
      <w:bookmarkStart w:id="63" w:name="_Toc36029512"/>
      <w:bookmarkStart w:id="64" w:name="_Toc38818763"/>
      <w:r w:rsidRPr="00371DCB">
        <w:lastRenderedPageBreak/>
        <w:t>Method of Treatment Assignment</w:t>
      </w:r>
      <w:bookmarkEnd w:id="63"/>
      <w:bookmarkEnd w:id="64"/>
    </w:p>
    <w:p w14:paraId="6980A506" w14:textId="6275E772"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Participants will be randomized </w:t>
      </w:r>
      <w:r w:rsidR="00CA53A3" w:rsidRPr="00371DCB">
        <w:rPr>
          <w:rFonts w:ascii="Arial" w:hAnsi="Arial" w:cs="Arial"/>
          <w:sz w:val="22"/>
          <w:szCs w:val="22"/>
        </w:rPr>
        <w:t xml:space="preserve">at an equal allocation ratio between experimental intervention and control groups at </w:t>
      </w:r>
      <w:r w:rsidRPr="00371DCB">
        <w:rPr>
          <w:rFonts w:ascii="Arial" w:hAnsi="Arial" w:cs="Arial"/>
          <w:sz w:val="22"/>
          <w:szCs w:val="22"/>
        </w:rPr>
        <w:t>the level of the household (all eligible participants in 1 household will receive the same intervention). The randomization plan will be overseen by the Study Statistician. The randomization code and resulting allocation list will be generated and overseen by the Study Statistician. The list will be blocked and stratified by site and risk level.</w:t>
      </w:r>
    </w:p>
    <w:p w14:paraId="0747D669" w14:textId="77777777" w:rsidR="00F554D1" w:rsidRPr="00371DCB" w:rsidRDefault="00F554D1" w:rsidP="00FB2D39">
      <w:pPr>
        <w:pStyle w:val="Heading2"/>
        <w:jc w:val="both"/>
      </w:pPr>
      <w:bookmarkStart w:id="65" w:name="_Toc405198136"/>
      <w:bookmarkStart w:id="66" w:name="_Toc36029513"/>
      <w:bookmarkStart w:id="67" w:name="_Toc38818764"/>
      <w:bookmarkEnd w:id="65"/>
      <w:r w:rsidRPr="00371DCB">
        <w:t>Blinding</w:t>
      </w:r>
      <w:bookmarkEnd w:id="66"/>
      <w:bookmarkEnd w:id="67"/>
    </w:p>
    <w:p w14:paraId="7897311D" w14:textId="28E151F2" w:rsidR="00D51334" w:rsidRPr="00371DCB" w:rsidRDefault="00D51334" w:rsidP="00FB2D39">
      <w:pPr>
        <w:jc w:val="both"/>
        <w:rPr>
          <w:rFonts w:ascii="Arial" w:hAnsi="Arial" w:cs="Arial"/>
          <w:sz w:val="22"/>
          <w:szCs w:val="22"/>
        </w:rPr>
      </w:pPr>
      <w:r w:rsidRPr="00371DCB">
        <w:rPr>
          <w:rFonts w:ascii="Arial" w:hAnsi="Arial" w:cs="Arial"/>
          <w:sz w:val="22"/>
          <w:szCs w:val="22"/>
        </w:rPr>
        <w:t>As there are multiple intervention regimens with different dosing schedule and route that make blinding for patients and clinicians will not be feasible. The medications are not identical-appearing and dosing is different for the active agents so blinding will operate in different ways across those involved in the study. This study will preserve blinding for the laboratory testing and study statisticians.</w:t>
      </w:r>
    </w:p>
    <w:p w14:paraId="0DBEEDE2" w14:textId="585ED93A" w:rsidR="00F554D1" w:rsidRPr="00371DCB" w:rsidRDefault="00F554D1" w:rsidP="00FB2D39">
      <w:pPr>
        <w:pStyle w:val="ListParagraph"/>
        <w:numPr>
          <w:ilvl w:val="0"/>
          <w:numId w:val="38"/>
        </w:numPr>
        <w:rPr>
          <w:rFonts w:ascii="Arial" w:hAnsi="Arial" w:cs="Arial"/>
          <w:sz w:val="22"/>
          <w:szCs w:val="22"/>
        </w:rPr>
      </w:pPr>
      <w:r w:rsidRPr="00371DCB">
        <w:rPr>
          <w:rFonts w:ascii="Arial" w:hAnsi="Arial" w:cs="Arial"/>
          <w:sz w:val="22"/>
          <w:szCs w:val="22"/>
        </w:rPr>
        <w:t xml:space="preserve">The bottle of medication they receive will not identify the treatment allocation, only the number and frequency of pills to be taken. If &gt;1 participant per household is randomized, all will receive the same treatment. </w:t>
      </w:r>
      <w:r w:rsidR="00D51334" w:rsidRPr="00371DCB">
        <w:rPr>
          <w:rFonts w:ascii="Arial" w:hAnsi="Arial" w:cs="Arial"/>
          <w:sz w:val="22"/>
          <w:szCs w:val="22"/>
        </w:rPr>
        <w:t>However, full blinding of patients will likely not be possible.</w:t>
      </w:r>
    </w:p>
    <w:p w14:paraId="70B8A3E8" w14:textId="1C6D88D9" w:rsidR="00F554D1" w:rsidRPr="00371DCB" w:rsidRDefault="00D51334" w:rsidP="00FB2D39">
      <w:pPr>
        <w:pStyle w:val="ListParagraph"/>
        <w:numPr>
          <w:ilvl w:val="0"/>
          <w:numId w:val="38"/>
        </w:numPr>
        <w:rPr>
          <w:rFonts w:ascii="Arial" w:hAnsi="Arial" w:cs="Arial"/>
          <w:sz w:val="22"/>
          <w:szCs w:val="22"/>
        </w:rPr>
      </w:pPr>
      <w:r w:rsidRPr="00371DCB">
        <w:rPr>
          <w:rFonts w:ascii="Arial" w:hAnsi="Arial" w:cs="Arial"/>
          <w:sz w:val="22"/>
          <w:szCs w:val="22"/>
        </w:rPr>
        <w:t>While</w:t>
      </w:r>
      <w:r w:rsidR="00F554D1" w:rsidRPr="00371DCB">
        <w:rPr>
          <w:rFonts w:ascii="Arial" w:hAnsi="Arial" w:cs="Arial"/>
          <w:sz w:val="22"/>
          <w:szCs w:val="22"/>
        </w:rPr>
        <w:t xml:space="preserve"> the study medication will be dispensed directly to participants</w:t>
      </w:r>
      <w:r w:rsidRPr="00371DCB">
        <w:rPr>
          <w:rFonts w:ascii="Arial" w:hAnsi="Arial" w:cs="Arial"/>
          <w:sz w:val="22"/>
          <w:szCs w:val="22"/>
        </w:rPr>
        <w:t>, full blinding of the treating clinicians will not be feasible given that there are multiple intervention regimens.</w:t>
      </w:r>
    </w:p>
    <w:p w14:paraId="7674ECF2" w14:textId="77777777" w:rsidR="00F554D1" w:rsidRPr="00371DCB" w:rsidRDefault="00F554D1" w:rsidP="00FB2D39">
      <w:pPr>
        <w:pStyle w:val="ListParagraph"/>
        <w:numPr>
          <w:ilvl w:val="0"/>
          <w:numId w:val="38"/>
        </w:numPr>
        <w:rPr>
          <w:rFonts w:ascii="Arial" w:hAnsi="Arial" w:cs="Arial"/>
          <w:sz w:val="22"/>
          <w:szCs w:val="22"/>
        </w:rPr>
      </w:pPr>
      <w:r w:rsidRPr="00371DCB">
        <w:rPr>
          <w:rFonts w:ascii="Arial" w:hAnsi="Arial" w:cs="Arial"/>
          <w:sz w:val="22"/>
          <w:szCs w:val="22"/>
        </w:rPr>
        <w:t xml:space="preserve">Laboratory testing for viral shedding will be blinded, as laboratory staff will not be informed of randomized assignment. The viral shedding endpoint of the trial is an objective one, unlikely to be altered by unmasking, should it occur. </w:t>
      </w:r>
    </w:p>
    <w:p w14:paraId="7EB2EEE1" w14:textId="77777777" w:rsidR="00F554D1" w:rsidRPr="00371DCB" w:rsidRDefault="00F554D1" w:rsidP="00FB2D39">
      <w:pPr>
        <w:pStyle w:val="ListParagraph"/>
        <w:numPr>
          <w:ilvl w:val="0"/>
          <w:numId w:val="38"/>
        </w:numPr>
        <w:rPr>
          <w:rFonts w:ascii="Arial" w:hAnsi="Arial" w:cs="Arial"/>
          <w:sz w:val="22"/>
          <w:szCs w:val="22"/>
        </w:rPr>
      </w:pPr>
      <w:r w:rsidRPr="00371DCB">
        <w:rPr>
          <w:rFonts w:ascii="Arial" w:hAnsi="Arial" w:cs="Arial"/>
          <w:sz w:val="22"/>
          <w:szCs w:val="22"/>
        </w:rPr>
        <w:t xml:space="preserve">Study pharmacy staff will be unblinded, as they will prepare the study medication. </w:t>
      </w:r>
    </w:p>
    <w:p w14:paraId="31832E64" w14:textId="67E70C89" w:rsidR="00F554D1" w:rsidRPr="00371DCB" w:rsidRDefault="00F554D1" w:rsidP="00FB2D39">
      <w:pPr>
        <w:pStyle w:val="ListParagraph"/>
        <w:numPr>
          <w:ilvl w:val="0"/>
          <w:numId w:val="38"/>
        </w:numPr>
        <w:rPr>
          <w:rFonts w:ascii="Arial" w:hAnsi="Arial" w:cs="Arial"/>
          <w:sz w:val="22"/>
          <w:szCs w:val="22"/>
        </w:rPr>
      </w:pPr>
      <w:r w:rsidRPr="00371DCB">
        <w:rPr>
          <w:rFonts w:ascii="Arial" w:hAnsi="Arial" w:cs="Arial"/>
          <w:sz w:val="22"/>
          <w:szCs w:val="22"/>
        </w:rPr>
        <w:t xml:space="preserve">The study statistician will be </w:t>
      </w:r>
      <w:r w:rsidR="00D51334" w:rsidRPr="00371DCB">
        <w:rPr>
          <w:rFonts w:ascii="Arial" w:hAnsi="Arial" w:cs="Arial"/>
          <w:sz w:val="22"/>
          <w:szCs w:val="22"/>
        </w:rPr>
        <w:t>blinded</w:t>
      </w:r>
      <w:r w:rsidRPr="00371DCB">
        <w:rPr>
          <w:rFonts w:ascii="Arial" w:hAnsi="Arial" w:cs="Arial"/>
          <w:sz w:val="22"/>
          <w:szCs w:val="22"/>
        </w:rPr>
        <w:t xml:space="preserve"> for analysis purposes. </w:t>
      </w:r>
    </w:p>
    <w:p w14:paraId="4AE5FDAB" w14:textId="58DE7672" w:rsidR="00FD7EE7" w:rsidRPr="00371DCB" w:rsidRDefault="00F554D1" w:rsidP="00FB2D39">
      <w:pPr>
        <w:jc w:val="both"/>
        <w:rPr>
          <w:rFonts w:ascii="Arial" w:hAnsi="Arial" w:cs="Arial"/>
          <w:sz w:val="22"/>
          <w:szCs w:val="22"/>
        </w:rPr>
      </w:pPr>
      <w:r w:rsidRPr="00371DCB">
        <w:rPr>
          <w:rFonts w:ascii="Arial" w:hAnsi="Arial" w:cs="Arial"/>
          <w:sz w:val="22"/>
          <w:szCs w:val="22"/>
        </w:rPr>
        <w:t xml:space="preserve">LPV/r </w:t>
      </w:r>
      <w:r w:rsidR="00D51334" w:rsidRPr="00371DCB">
        <w:rPr>
          <w:rFonts w:ascii="Arial" w:hAnsi="Arial" w:cs="Arial"/>
          <w:sz w:val="22"/>
          <w:szCs w:val="22"/>
        </w:rPr>
        <w:t xml:space="preserve">and other regimens have </w:t>
      </w:r>
      <w:r w:rsidRPr="00371DCB">
        <w:rPr>
          <w:rFonts w:ascii="Arial" w:hAnsi="Arial" w:cs="Arial"/>
          <w:sz w:val="22"/>
          <w:szCs w:val="22"/>
        </w:rPr>
        <w:t>a different dosing schedule and a different shape but participants in a household will all receive the same assignment and study clinicians will not see the study medication</w:t>
      </w:r>
      <w:r w:rsidR="002A3A4E" w:rsidRPr="00371DCB">
        <w:rPr>
          <w:rFonts w:ascii="Arial" w:hAnsi="Arial" w:cs="Arial"/>
          <w:sz w:val="22"/>
          <w:szCs w:val="22"/>
        </w:rPr>
        <w:t xml:space="preserve">, to mimic some blinding. </w:t>
      </w:r>
      <w:r w:rsidR="00A811FC" w:rsidRPr="00371DCB">
        <w:rPr>
          <w:rFonts w:ascii="Arial" w:hAnsi="Arial" w:cs="Arial"/>
          <w:sz w:val="22"/>
          <w:szCs w:val="22"/>
        </w:rPr>
        <w:t xml:space="preserve"> </w:t>
      </w:r>
    </w:p>
    <w:p w14:paraId="646A78A6" w14:textId="239F0CD4" w:rsidR="0083497D" w:rsidRPr="00371DCB" w:rsidRDefault="0083497D" w:rsidP="00FB2D39">
      <w:pPr>
        <w:jc w:val="both"/>
        <w:rPr>
          <w:rFonts w:ascii="Arial" w:hAnsi="Arial" w:cs="Arial"/>
          <w:sz w:val="22"/>
          <w:szCs w:val="22"/>
        </w:rPr>
      </w:pPr>
      <w:r w:rsidRPr="00371DCB">
        <w:rPr>
          <w:rFonts w:ascii="Arial" w:hAnsi="Arial" w:cs="Arial"/>
          <w:sz w:val="22"/>
          <w:szCs w:val="22"/>
        </w:rPr>
        <w:t xml:space="preserve">The participants will be blinded to their randomization group once assigned. At </w:t>
      </w:r>
      <w:proofErr w:type="spellStart"/>
      <w:r w:rsidRPr="00371DCB">
        <w:rPr>
          <w:rFonts w:ascii="Arial" w:hAnsi="Arial" w:cs="Arial"/>
          <w:sz w:val="22"/>
          <w:szCs w:val="22"/>
        </w:rPr>
        <w:t>enrollment</w:t>
      </w:r>
      <w:proofErr w:type="spellEnd"/>
      <w:r w:rsidRPr="00371DCB">
        <w:rPr>
          <w:rFonts w:ascii="Arial" w:hAnsi="Arial" w:cs="Arial"/>
          <w:sz w:val="22"/>
          <w:szCs w:val="22"/>
        </w:rPr>
        <w:t xml:space="preserve">, the unblinded Study Pharmacist will use the randomization code revealed at the point of randomization to provide the participant with their group assignment and dispense the allocated study medication in a bottle marked with the study label. The medication and medication information, mid-nasal swabs sufficient to complete the study procedures, </w:t>
      </w:r>
      <w:r w:rsidRPr="00371DCB">
        <w:rPr>
          <w:rFonts w:ascii="Arial" w:hAnsi="Arial" w:cs="Arial"/>
          <w:i/>
          <w:sz w:val="22"/>
          <w:szCs w:val="22"/>
        </w:rPr>
        <w:t>DBS sampling kit, if within the sub-study,</w:t>
      </w:r>
      <w:r w:rsidRPr="00371DCB">
        <w:rPr>
          <w:rFonts w:ascii="Arial" w:hAnsi="Arial" w:cs="Arial"/>
          <w:sz w:val="22"/>
          <w:szCs w:val="22"/>
        </w:rPr>
        <w:t xml:space="preserve"> and study instructions will be </w:t>
      </w:r>
      <w:r w:rsidR="00C65222">
        <w:rPr>
          <w:rFonts w:ascii="Arial" w:hAnsi="Arial" w:cs="Arial"/>
          <w:sz w:val="22"/>
          <w:szCs w:val="22"/>
        </w:rPr>
        <w:t xml:space="preserve">provided </w:t>
      </w:r>
      <w:r w:rsidRPr="00371DCB">
        <w:rPr>
          <w:rFonts w:ascii="Arial" w:hAnsi="Arial" w:cs="Arial"/>
          <w:sz w:val="22"/>
          <w:szCs w:val="22"/>
        </w:rPr>
        <w:t>to the participant.</w:t>
      </w:r>
    </w:p>
    <w:p w14:paraId="105FF2A7" w14:textId="77777777" w:rsidR="00F554D1" w:rsidRPr="00371DCB" w:rsidRDefault="00F554D1" w:rsidP="00FB2D39">
      <w:pPr>
        <w:pStyle w:val="Heading2"/>
        <w:jc w:val="both"/>
      </w:pPr>
      <w:bookmarkStart w:id="68" w:name="_Toc36029515"/>
      <w:bookmarkStart w:id="69" w:name="_Toc38818765"/>
      <w:r w:rsidRPr="00371DCB">
        <w:t>Preparation/Handling/Storage/Accountability</w:t>
      </w:r>
      <w:bookmarkEnd w:id="68"/>
      <w:bookmarkEnd w:id="69"/>
    </w:p>
    <w:p w14:paraId="4BECB11B" w14:textId="77777777" w:rsidR="00F554D1" w:rsidRPr="00371DCB" w:rsidRDefault="00F554D1" w:rsidP="00FB2D39">
      <w:pPr>
        <w:jc w:val="both"/>
        <w:rPr>
          <w:rFonts w:ascii="Arial" w:hAnsi="Arial" w:cs="Arial"/>
          <w:b/>
          <w:bCs/>
          <w:sz w:val="22"/>
          <w:szCs w:val="22"/>
        </w:rPr>
      </w:pPr>
      <w:r w:rsidRPr="00371DCB">
        <w:rPr>
          <w:rFonts w:ascii="Arial" w:hAnsi="Arial" w:cs="Arial"/>
          <w:sz w:val="22"/>
          <w:szCs w:val="22"/>
        </w:rPr>
        <w:t>Drugs should be stored at room temperature, as per package insert. Records must be maintained that document receipt, release for dosing, disposal, or return to the sponsor.</w:t>
      </w:r>
    </w:p>
    <w:p w14:paraId="52533ABD" w14:textId="77777777" w:rsidR="00F554D1" w:rsidRPr="00371DCB" w:rsidRDefault="00F554D1" w:rsidP="00FB2D39">
      <w:pPr>
        <w:pStyle w:val="Heading2"/>
        <w:jc w:val="both"/>
      </w:pPr>
      <w:bookmarkStart w:id="70" w:name="_Toc36029516"/>
      <w:bookmarkStart w:id="71" w:name="_Toc38818766"/>
      <w:r w:rsidRPr="00371DCB">
        <w:t>Treatment Compliance</w:t>
      </w:r>
      <w:bookmarkEnd w:id="70"/>
      <w:bookmarkEnd w:id="71"/>
    </w:p>
    <w:p w14:paraId="5E014E02" w14:textId="58581DC4"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The participant will be contacted to ensure that they received the box of study supplies; were able to collect the mid-nasal swab and store it appropriately; and took their </w:t>
      </w:r>
      <w:r w:rsidR="000A791B" w:rsidRPr="00371DCB">
        <w:rPr>
          <w:rFonts w:ascii="Arial" w:hAnsi="Arial" w:cs="Arial"/>
          <w:sz w:val="22"/>
          <w:szCs w:val="22"/>
        </w:rPr>
        <w:t xml:space="preserve">medication </w:t>
      </w:r>
      <w:r w:rsidR="009F3B78" w:rsidRPr="00371DCB">
        <w:rPr>
          <w:rFonts w:ascii="Arial" w:hAnsi="Arial" w:cs="Arial"/>
          <w:sz w:val="22"/>
          <w:szCs w:val="22"/>
        </w:rPr>
        <w:t>as prescribed</w:t>
      </w:r>
      <w:r w:rsidRPr="00371DCB">
        <w:rPr>
          <w:rFonts w:ascii="Arial" w:hAnsi="Arial" w:cs="Arial"/>
          <w:sz w:val="22"/>
          <w:szCs w:val="22"/>
        </w:rPr>
        <w:t xml:space="preserve">. Participants will be asked to complete a </w:t>
      </w:r>
      <w:r w:rsidR="00371DCB">
        <w:rPr>
          <w:rFonts w:ascii="Arial" w:hAnsi="Arial" w:cs="Arial"/>
          <w:sz w:val="22"/>
          <w:szCs w:val="22"/>
        </w:rPr>
        <w:t>s</w:t>
      </w:r>
      <w:r w:rsidRPr="00371DCB">
        <w:rPr>
          <w:rFonts w:ascii="Arial" w:hAnsi="Arial" w:cs="Arial"/>
          <w:sz w:val="22"/>
          <w:szCs w:val="22"/>
        </w:rPr>
        <w:t xml:space="preserve">urvey that includes information regarding treatment administration. </w:t>
      </w:r>
      <w:r w:rsidRPr="00371DCB">
        <w:rPr>
          <w:rFonts w:ascii="Arial" w:hAnsi="Arial" w:cs="Arial"/>
          <w:i/>
          <w:sz w:val="22"/>
          <w:szCs w:val="22"/>
        </w:rPr>
        <w:t>In a sub-study,</w:t>
      </w:r>
      <w:r w:rsidR="0054615A" w:rsidRPr="00371DCB">
        <w:rPr>
          <w:rFonts w:ascii="Arial" w:hAnsi="Arial" w:cs="Arial"/>
          <w:i/>
          <w:sz w:val="22"/>
          <w:szCs w:val="22"/>
        </w:rPr>
        <w:t xml:space="preserve"> azithromycin</w:t>
      </w:r>
      <w:r w:rsidRPr="00371DCB">
        <w:rPr>
          <w:rFonts w:ascii="Arial" w:hAnsi="Arial" w:cs="Arial"/>
          <w:i/>
          <w:sz w:val="22"/>
          <w:szCs w:val="22"/>
        </w:rPr>
        <w:t xml:space="preserve"> and lopinavir-ritonavir concentration</w:t>
      </w:r>
      <w:r w:rsidR="0054615A" w:rsidRPr="00371DCB">
        <w:rPr>
          <w:rFonts w:ascii="Arial" w:hAnsi="Arial" w:cs="Arial"/>
          <w:i/>
          <w:sz w:val="22"/>
          <w:szCs w:val="22"/>
        </w:rPr>
        <w:t>s</w:t>
      </w:r>
      <w:r w:rsidRPr="00371DCB">
        <w:rPr>
          <w:rFonts w:ascii="Arial" w:hAnsi="Arial" w:cs="Arial"/>
          <w:i/>
          <w:sz w:val="22"/>
          <w:szCs w:val="22"/>
        </w:rPr>
        <w:t xml:space="preserve"> via a DBS will also be evaluated.</w:t>
      </w:r>
    </w:p>
    <w:p w14:paraId="731A8B66" w14:textId="77777777" w:rsidR="00F554D1" w:rsidRPr="00371DCB" w:rsidRDefault="00F554D1" w:rsidP="00FB2D39">
      <w:pPr>
        <w:jc w:val="both"/>
        <w:rPr>
          <w:rFonts w:ascii="Arial" w:hAnsi="Arial" w:cs="Arial"/>
          <w:sz w:val="22"/>
          <w:szCs w:val="22"/>
          <w:lang w:eastAsia="ja-JP"/>
        </w:rPr>
      </w:pPr>
      <w:r w:rsidRPr="00371DCB">
        <w:rPr>
          <w:rFonts w:ascii="Arial" w:hAnsi="Arial" w:cs="Arial"/>
          <w:sz w:val="22"/>
          <w:szCs w:val="22"/>
        </w:rPr>
        <w:t>Consultation via Telehealth, text messaging, or telephone will be available to provide support to the participant to complete study procedures.</w:t>
      </w:r>
    </w:p>
    <w:p w14:paraId="5C62BEBD" w14:textId="77777777" w:rsidR="00F554D1" w:rsidRPr="00371DCB" w:rsidRDefault="00F554D1" w:rsidP="00FB2D39">
      <w:pPr>
        <w:pStyle w:val="Heading2"/>
        <w:jc w:val="both"/>
      </w:pPr>
      <w:bookmarkStart w:id="72" w:name="_Toc36029517"/>
      <w:bookmarkStart w:id="73" w:name="_Toc38818767"/>
      <w:r w:rsidRPr="00371DCB">
        <w:lastRenderedPageBreak/>
        <w:t>Concomitant Therapy</w:t>
      </w:r>
      <w:bookmarkEnd w:id="72"/>
      <w:bookmarkEnd w:id="73"/>
    </w:p>
    <w:p w14:paraId="533C4E12"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Participants will be asked about concomitant medications at the screening/baseline evaluation visit. During the study, participants will be asked to complete Surveys (Daily Survey and Exit Contact Survey) that include information regarding any medication or vaccine (including over</w:t>
      </w:r>
      <w:r w:rsidRPr="00371DCB">
        <w:rPr>
          <w:rFonts w:ascii="Arial" w:hAnsi="Arial" w:cs="Arial"/>
          <w:sz w:val="22"/>
          <w:szCs w:val="22"/>
        </w:rPr>
        <w:noBreakHyphen/>
        <w:t>the</w:t>
      </w:r>
      <w:r w:rsidRPr="00371DCB">
        <w:rPr>
          <w:rFonts w:ascii="Arial" w:hAnsi="Arial" w:cs="Arial"/>
          <w:sz w:val="22"/>
          <w:szCs w:val="22"/>
        </w:rPr>
        <w:noBreakHyphen/>
        <w:t>counter or prescription medicines, vitamins, and/or herbal supplements) that the participant receives during the study. At each contact, the Investigator should question the participant about any medication taken. Participants taking hormonal contraceptives to prevent pregnancy will be educated that they will need to use a backup form of birth control during the study period.</w:t>
      </w:r>
    </w:p>
    <w:p w14:paraId="072CE314" w14:textId="77777777" w:rsidR="00F554D1" w:rsidRPr="00371DCB" w:rsidRDefault="00F554D1" w:rsidP="00FB2D39">
      <w:pPr>
        <w:pStyle w:val="Heading2"/>
        <w:jc w:val="both"/>
      </w:pPr>
      <w:bookmarkStart w:id="74" w:name="_Toc36029520"/>
      <w:bookmarkStart w:id="75" w:name="_Toc38818770"/>
      <w:r w:rsidRPr="00371DCB">
        <w:t>Treatment After the End of the Study</w:t>
      </w:r>
      <w:bookmarkEnd w:id="74"/>
      <w:bookmarkEnd w:id="75"/>
    </w:p>
    <w:p w14:paraId="60102F96"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No additional treatment will be provided at the end of the study.</w:t>
      </w:r>
    </w:p>
    <w:p w14:paraId="0940B5F7" w14:textId="77777777" w:rsidR="00B609BB" w:rsidRPr="00371DCB" w:rsidRDefault="00B609BB" w:rsidP="00FB2D39">
      <w:pPr>
        <w:pStyle w:val="Heading1"/>
        <w:rPr>
          <w:rFonts w:ascii="Arial" w:hAnsi="Arial" w:cs="Arial"/>
          <w:sz w:val="22"/>
        </w:rPr>
      </w:pPr>
      <w:bookmarkStart w:id="76" w:name="_Toc38818771"/>
      <w:r w:rsidRPr="00371DCB">
        <w:rPr>
          <w:rFonts w:ascii="Arial" w:hAnsi="Arial" w:cs="Arial"/>
          <w:sz w:val="22"/>
        </w:rPr>
        <w:lastRenderedPageBreak/>
        <w:t>Discontinuation/Withdrawal Criteria</w:t>
      </w:r>
      <w:bookmarkEnd w:id="76"/>
    </w:p>
    <w:p w14:paraId="3094B290" w14:textId="77777777" w:rsidR="00F554D1" w:rsidRPr="00371DCB" w:rsidRDefault="00F554D1" w:rsidP="00FB2D39">
      <w:pPr>
        <w:pStyle w:val="Heading2"/>
        <w:jc w:val="both"/>
      </w:pPr>
      <w:bookmarkStart w:id="77" w:name="_Toc421709258"/>
      <w:bookmarkStart w:id="78" w:name="_Ref449945552"/>
      <w:bookmarkStart w:id="79" w:name="_Toc36029522"/>
      <w:bookmarkStart w:id="80" w:name="_Toc38818772"/>
      <w:r w:rsidRPr="00371DCB">
        <w:t>Discontinuation of Study Treatment</w:t>
      </w:r>
      <w:bookmarkEnd w:id="77"/>
      <w:bookmarkEnd w:id="78"/>
      <w:bookmarkEnd w:id="79"/>
      <w:bookmarkEnd w:id="80"/>
    </w:p>
    <w:p w14:paraId="53930A24" w14:textId="77777777" w:rsidR="00F554D1" w:rsidRPr="00371DCB" w:rsidRDefault="00F554D1" w:rsidP="00FB2D39">
      <w:pPr>
        <w:jc w:val="both"/>
        <w:rPr>
          <w:rFonts w:ascii="Arial" w:hAnsi="Arial" w:cs="Arial"/>
          <w:sz w:val="22"/>
          <w:szCs w:val="22"/>
        </w:rPr>
      </w:pPr>
      <w:bookmarkStart w:id="81" w:name="_Toc421709257"/>
      <w:bookmarkStart w:id="82" w:name="_Ref436919059"/>
      <w:bookmarkEnd w:id="81"/>
      <w:bookmarkEnd w:id="82"/>
      <w:r w:rsidRPr="00371DCB">
        <w:rPr>
          <w:rFonts w:ascii="Arial" w:hAnsi="Arial" w:cs="Arial"/>
          <w:sz w:val="22"/>
          <w:szCs w:val="22"/>
        </w:rPr>
        <w:t>Study treatment will be discontinued for the following reasons:</w:t>
      </w:r>
    </w:p>
    <w:p w14:paraId="4AF8DA06"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Hospitalization</w:t>
      </w:r>
    </w:p>
    <w:p w14:paraId="47D0F4F1"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Requirement for prohibited concomitant medications or other contraindication to study product</w:t>
      </w:r>
    </w:p>
    <w:p w14:paraId="36519672"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Occurrence of an AE requiring discontinuation of study product</w:t>
      </w:r>
    </w:p>
    <w:p w14:paraId="73056588"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Request by participant to terminate study treatment</w:t>
      </w:r>
    </w:p>
    <w:p w14:paraId="3115159B"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 xml:space="preserve">Clinical reasons believed to be life-threatening by the physician, even if not addressed in </w:t>
      </w:r>
      <w:r w:rsidRPr="00371DCB">
        <w:rPr>
          <w:rFonts w:ascii="Arial" w:hAnsi="Arial" w:cs="Arial"/>
          <w:color w:val="0000FF"/>
          <w:sz w:val="22"/>
          <w:szCs w:val="22"/>
        </w:rPr>
        <w:t xml:space="preserve">Section </w:t>
      </w:r>
      <w:r w:rsidRPr="00371DCB">
        <w:rPr>
          <w:rFonts w:ascii="Arial" w:hAnsi="Arial" w:cs="Arial"/>
          <w:color w:val="0000FF"/>
          <w:sz w:val="22"/>
          <w:szCs w:val="22"/>
        </w:rPr>
        <w:fldChar w:fldCharType="begin"/>
      </w:r>
      <w:r w:rsidRPr="00371DCB">
        <w:rPr>
          <w:rFonts w:ascii="Arial" w:hAnsi="Arial" w:cs="Arial"/>
          <w:color w:val="0000FF"/>
          <w:sz w:val="22"/>
          <w:szCs w:val="22"/>
        </w:rPr>
        <w:instrText xml:space="preserve"> REF _Ref35193653 \r \h  \* MERGEFORMAT </w:instrText>
      </w:r>
      <w:r w:rsidRPr="00371DCB">
        <w:rPr>
          <w:rFonts w:ascii="Arial" w:hAnsi="Arial" w:cs="Arial"/>
          <w:color w:val="0000FF"/>
          <w:sz w:val="22"/>
          <w:szCs w:val="22"/>
        </w:rPr>
      </w:r>
      <w:r w:rsidRPr="00371DCB">
        <w:rPr>
          <w:rFonts w:ascii="Arial" w:hAnsi="Arial" w:cs="Arial"/>
          <w:color w:val="0000FF"/>
          <w:sz w:val="22"/>
          <w:szCs w:val="22"/>
        </w:rPr>
        <w:fldChar w:fldCharType="separate"/>
      </w:r>
      <w:r w:rsidRPr="00371DCB">
        <w:rPr>
          <w:rFonts w:ascii="Arial" w:hAnsi="Arial" w:cs="Arial"/>
          <w:color w:val="0000FF"/>
          <w:sz w:val="22"/>
          <w:szCs w:val="22"/>
        </w:rPr>
        <w:t>7.2</w:t>
      </w:r>
      <w:r w:rsidRPr="00371DCB">
        <w:rPr>
          <w:rFonts w:ascii="Arial" w:hAnsi="Arial" w:cs="Arial"/>
          <w:color w:val="0000FF"/>
          <w:sz w:val="22"/>
          <w:szCs w:val="22"/>
        </w:rPr>
        <w:fldChar w:fldCharType="end"/>
      </w:r>
    </w:p>
    <w:p w14:paraId="10EAB740"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Participants who stop study product should continue study participation off study product with continued evaluations as per the </w:t>
      </w:r>
      <w:proofErr w:type="spellStart"/>
      <w:r w:rsidRPr="00371DCB">
        <w:rPr>
          <w:rFonts w:ascii="Arial" w:hAnsi="Arial" w:cs="Arial"/>
          <w:sz w:val="22"/>
          <w:szCs w:val="22"/>
        </w:rPr>
        <w:t>SoA</w:t>
      </w:r>
      <w:proofErr w:type="spellEnd"/>
      <w:r w:rsidRPr="00371DCB">
        <w:rPr>
          <w:rFonts w:ascii="Arial" w:hAnsi="Arial" w:cs="Arial"/>
          <w:sz w:val="22"/>
          <w:szCs w:val="22"/>
        </w:rPr>
        <w:t>. The reason for study product discontinuation should be recorded.</w:t>
      </w:r>
    </w:p>
    <w:p w14:paraId="1784C0DC" w14:textId="77777777" w:rsidR="00F554D1" w:rsidRPr="00371DCB" w:rsidRDefault="00F554D1" w:rsidP="00FB2D39">
      <w:pPr>
        <w:pStyle w:val="Heading2"/>
        <w:jc w:val="both"/>
      </w:pPr>
      <w:bookmarkStart w:id="83" w:name="_Toc36029523"/>
      <w:bookmarkStart w:id="84" w:name="_Toc36029524"/>
      <w:bookmarkStart w:id="85" w:name="_Toc38818773"/>
      <w:bookmarkEnd w:id="83"/>
      <w:r w:rsidRPr="00371DCB">
        <w:t>Withdrawal from the Study</w:t>
      </w:r>
      <w:bookmarkEnd w:id="84"/>
      <w:bookmarkEnd w:id="85"/>
    </w:p>
    <w:p w14:paraId="5AE76AA6"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A participant may withdraw from the study at any time at his/her own request or may be withdrawn at any time for the following reasons:</w:t>
      </w:r>
    </w:p>
    <w:p w14:paraId="7AF33B04" w14:textId="77777777" w:rsidR="00F554D1" w:rsidRPr="00371DCB" w:rsidRDefault="00F554D1" w:rsidP="00FB2D39">
      <w:pPr>
        <w:pStyle w:val="ListParagraph"/>
        <w:numPr>
          <w:ilvl w:val="1"/>
          <w:numId w:val="1"/>
        </w:numPr>
        <w:rPr>
          <w:rFonts w:ascii="Arial" w:hAnsi="Arial" w:cs="Arial"/>
          <w:sz w:val="22"/>
          <w:szCs w:val="22"/>
        </w:rPr>
      </w:pPr>
      <w:r w:rsidRPr="00371DCB">
        <w:rPr>
          <w:rFonts w:ascii="Arial" w:hAnsi="Arial" w:cs="Arial"/>
          <w:sz w:val="22"/>
          <w:szCs w:val="22"/>
        </w:rPr>
        <w:t>At the request of the primary care provider if he/she thinks the study is no longer in the best interest of the participant</w:t>
      </w:r>
    </w:p>
    <w:p w14:paraId="602C0B0D" w14:textId="77777777" w:rsidR="00F554D1" w:rsidRPr="00371DCB" w:rsidRDefault="00F554D1" w:rsidP="00FB2D39">
      <w:pPr>
        <w:pStyle w:val="ListParagraph"/>
        <w:numPr>
          <w:ilvl w:val="1"/>
          <w:numId w:val="1"/>
        </w:numPr>
        <w:rPr>
          <w:rFonts w:ascii="Arial" w:hAnsi="Arial" w:cs="Arial"/>
          <w:sz w:val="22"/>
          <w:szCs w:val="22"/>
        </w:rPr>
      </w:pPr>
      <w:r w:rsidRPr="00371DCB">
        <w:rPr>
          <w:rFonts w:ascii="Arial" w:hAnsi="Arial" w:cs="Arial"/>
          <w:sz w:val="22"/>
          <w:szCs w:val="22"/>
        </w:rPr>
        <w:t>Participant is judged by the Investigator to be at significant risk of failing to comply with the provisions of the protocol as to cause harm to self or seriously interfere with the validity of the study results</w:t>
      </w:r>
    </w:p>
    <w:p w14:paraId="14B0E2A4" w14:textId="77777777" w:rsidR="00F554D1" w:rsidRPr="00371DCB" w:rsidRDefault="00F554D1" w:rsidP="00FB2D39">
      <w:pPr>
        <w:pStyle w:val="ListParagraph"/>
        <w:numPr>
          <w:ilvl w:val="1"/>
          <w:numId w:val="1"/>
        </w:numPr>
        <w:rPr>
          <w:rFonts w:ascii="Arial" w:hAnsi="Arial" w:cs="Arial"/>
          <w:sz w:val="22"/>
          <w:szCs w:val="22"/>
        </w:rPr>
      </w:pPr>
      <w:r w:rsidRPr="00371DCB">
        <w:rPr>
          <w:rFonts w:ascii="Arial" w:hAnsi="Arial" w:cs="Arial"/>
          <w:sz w:val="22"/>
          <w:szCs w:val="22"/>
        </w:rPr>
        <w:t>At the discretion of the Institutional Review Board/Ethics Committee or government agencies as part of their duties, Investigator, or industry supporter</w:t>
      </w:r>
    </w:p>
    <w:p w14:paraId="60F37D26"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If the participant withdraws consent for disclosure of future information, the sponsor may retain and continue to use any data collected before such withdrawal of consent.</w:t>
      </w:r>
    </w:p>
    <w:p w14:paraId="78151742"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If a participant withdraws from the study, he/she may request destruction of any samples taken and not tested, and the Investigator must document this in the site study records.</w:t>
      </w:r>
    </w:p>
    <w:p w14:paraId="5C2A33DD"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 xml:space="preserve">See </w:t>
      </w:r>
      <w:proofErr w:type="spellStart"/>
      <w:r w:rsidRPr="00371DCB">
        <w:rPr>
          <w:rFonts w:ascii="Arial" w:hAnsi="Arial" w:cs="Arial"/>
          <w:sz w:val="22"/>
          <w:szCs w:val="22"/>
        </w:rPr>
        <w:t>SoA</w:t>
      </w:r>
      <w:proofErr w:type="spellEnd"/>
      <w:r w:rsidRPr="00371DCB">
        <w:rPr>
          <w:rFonts w:ascii="Arial" w:hAnsi="Arial" w:cs="Arial"/>
          <w:sz w:val="22"/>
          <w:szCs w:val="22"/>
        </w:rPr>
        <w:t xml:space="preserve"> for data to be collected at the time of study discontinuation and follow-up and for any further evaluations that need to be completed.</w:t>
      </w:r>
    </w:p>
    <w:p w14:paraId="5A148CE9" w14:textId="77777777" w:rsidR="00F554D1" w:rsidRPr="00371DCB" w:rsidRDefault="00F554D1" w:rsidP="00FB2D39">
      <w:pPr>
        <w:pStyle w:val="Heading2"/>
        <w:jc w:val="both"/>
      </w:pPr>
      <w:bookmarkStart w:id="86" w:name="_Toc36029525"/>
      <w:bookmarkStart w:id="87" w:name="_Toc38818774"/>
      <w:r w:rsidRPr="00371DCB">
        <w:t>Lost to Follow-up</w:t>
      </w:r>
      <w:bookmarkEnd w:id="86"/>
      <w:bookmarkEnd w:id="87"/>
    </w:p>
    <w:p w14:paraId="616EA880" w14:textId="77777777" w:rsidR="00F554D1" w:rsidRPr="00371DCB" w:rsidRDefault="00F554D1" w:rsidP="00FB2D39">
      <w:pPr>
        <w:keepNext/>
        <w:keepLines/>
        <w:jc w:val="both"/>
        <w:rPr>
          <w:rFonts w:ascii="Arial" w:hAnsi="Arial" w:cs="Arial"/>
          <w:sz w:val="22"/>
          <w:szCs w:val="22"/>
          <w:lang w:eastAsia="ja-JP"/>
        </w:rPr>
      </w:pPr>
      <w:r w:rsidRPr="00371DCB">
        <w:rPr>
          <w:rFonts w:ascii="Arial" w:hAnsi="Arial" w:cs="Arial"/>
          <w:sz w:val="22"/>
          <w:szCs w:val="22"/>
          <w:lang w:eastAsia="ja-JP"/>
        </w:rPr>
        <w:t xml:space="preserve">A </w:t>
      </w:r>
      <w:r w:rsidRPr="00371DCB">
        <w:rPr>
          <w:rFonts w:ascii="Arial" w:hAnsi="Arial" w:cs="Arial"/>
          <w:sz w:val="22"/>
          <w:szCs w:val="22"/>
        </w:rPr>
        <w:t>participant</w:t>
      </w:r>
      <w:r w:rsidRPr="00371DCB">
        <w:rPr>
          <w:rFonts w:ascii="Arial" w:hAnsi="Arial" w:cs="Arial"/>
          <w:sz w:val="22"/>
          <w:szCs w:val="22"/>
          <w:lang w:eastAsia="ja-JP"/>
        </w:rPr>
        <w:t xml:space="preserve"> will be considered lost to follow-up if he/she is unable to be contacted by the study site.</w:t>
      </w:r>
    </w:p>
    <w:p w14:paraId="6D4318E1"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The following actions must be taken if a participant fails to comply with required study procedures:</w:t>
      </w:r>
    </w:p>
    <w:p w14:paraId="421E5C89"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The site must attempt to contact the participant as soon as possible and counsel the participant on the importance of maintaining the assigned procedure schedule and ascertain whether or not the participant wishes to and/or should continue in the study.</w:t>
      </w:r>
    </w:p>
    <w:p w14:paraId="21D0C3B8"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 xml:space="preserve">Before a participant is deemed lost to follow-up, the Investigator or designee must make every effort to regain contact with the participant (where possible, 3 telephone calls and, if necessary, a certified letter to the participant’s last known mailing address or local </w:t>
      </w:r>
      <w:r w:rsidRPr="00371DCB">
        <w:rPr>
          <w:rFonts w:ascii="Arial" w:hAnsi="Arial" w:cs="Arial"/>
          <w:sz w:val="22"/>
          <w:szCs w:val="22"/>
        </w:rPr>
        <w:lastRenderedPageBreak/>
        <w:t>equivalent methods). These contact attempts should be documented in the participant’s medical record.</w:t>
      </w:r>
    </w:p>
    <w:p w14:paraId="60F13C6A" w14:textId="77777777" w:rsidR="00F554D1" w:rsidRPr="00371DCB" w:rsidRDefault="00F554D1" w:rsidP="00FB2D39">
      <w:pPr>
        <w:pStyle w:val="ListParagraph"/>
        <w:numPr>
          <w:ilvl w:val="0"/>
          <w:numId w:val="1"/>
        </w:numPr>
        <w:ind w:left="720"/>
        <w:rPr>
          <w:rFonts w:ascii="Arial" w:hAnsi="Arial" w:cs="Arial"/>
          <w:sz w:val="22"/>
          <w:szCs w:val="22"/>
        </w:rPr>
      </w:pPr>
      <w:r w:rsidRPr="00371DCB">
        <w:rPr>
          <w:rFonts w:ascii="Arial" w:hAnsi="Arial" w:cs="Arial"/>
          <w:sz w:val="22"/>
          <w:szCs w:val="22"/>
        </w:rPr>
        <w:t>Should the participant continue to be unreachable, he/she will be considered to have withdrawn from the study with a primary reason of lost to follow-up.</w:t>
      </w:r>
    </w:p>
    <w:p w14:paraId="42574B18" w14:textId="77777777" w:rsidR="00381D18" w:rsidRPr="00371DCB" w:rsidRDefault="00FC4C3A" w:rsidP="00FB2D39">
      <w:pPr>
        <w:pStyle w:val="Heading1"/>
        <w:rPr>
          <w:rFonts w:ascii="Arial" w:hAnsi="Arial" w:cs="Arial"/>
          <w:sz w:val="22"/>
        </w:rPr>
      </w:pPr>
      <w:bookmarkStart w:id="88" w:name="_Toc38818775"/>
      <w:r w:rsidRPr="00371DCB">
        <w:rPr>
          <w:rFonts w:ascii="Arial" w:hAnsi="Arial" w:cs="Arial"/>
          <w:bCs/>
          <w:sz w:val="22"/>
        </w:rPr>
        <w:lastRenderedPageBreak/>
        <w:t>Study Encounters</w:t>
      </w:r>
      <w:bookmarkEnd w:id="88"/>
    </w:p>
    <w:p w14:paraId="3CD8CC9D" w14:textId="5878B61B"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The current COVID-19 pandemic has placed a significant burden on the healthcare system. For this study, specimen and data collection will be conducted to minimize impact of non-ill participants within the healthcare system. </w:t>
      </w:r>
    </w:p>
    <w:p w14:paraId="642E6C50" w14:textId="77777777" w:rsidR="00F554D1" w:rsidRPr="00371DCB" w:rsidRDefault="00F554D1" w:rsidP="00FB2D39">
      <w:pPr>
        <w:jc w:val="both"/>
        <w:rPr>
          <w:rFonts w:ascii="Arial" w:hAnsi="Arial" w:cs="Arial"/>
          <w:sz w:val="22"/>
          <w:szCs w:val="22"/>
        </w:rPr>
      </w:pPr>
      <w:r w:rsidRPr="00371DCB">
        <w:rPr>
          <w:rFonts w:ascii="Arial" w:hAnsi="Arial" w:cs="Arial"/>
          <w:color w:val="000000"/>
          <w:sz w:val="22"/>
          <w:szCs w:val="22"/>
        </w:rPr>
        <w:t>Participants will be instructed to seek clinical care should they manifest any signs or symptoms of LRTI requiring medical intervention.</w:t>
      </w:r>
    </w:p>
    <w:p w14:paraId="63FE2BA0" w14:textId="77777777" w:rsidR="00F554D1" w:rsidRPr="00371DCB" w:rsidRDefault="00F554D1" w:rsidP="00FB2D39">
      <w:pPr>
        <w:pStyle w:val="Heading2"/>
        <w:jc w:val="both"/>
      </w:pPr>
      <w:bookmarkStart w:id="89" w:name="_Toc36029527"/>
      <w:bookmarkStart w:id="90" w:name="_Toc38818776"/>
      <w:r w:rsidRPr="00371DCB">
        <w:t>Screening/Baseline Evaluation: Day 0/1</w:t>
      </w:r>
      <w:bookmarkEnd w:id="89"/>
      <w:bookmarkEnd w:id="90"/>
    </w:p>
    <w:p w14:paraId="28DC8EEA" w14:textId="1E2E25FB" w:rsidR="00F554D1" w:rsidRPr="00371DCB" w:rsidRDefault="007F2B48" w:rsidP="00FB2D39">
      <w:pPr>
        <w:widowControl w:val="0"/>
        <w:jc w:val="both"/>
        <w:rPr>
          <w:rFonts w:ascii="Arial" w:hAnsi="Arial" w:cs="Arial"/>
          <w:bCs/>
          <w:iCs/>
          <w:sz w:val="22"/>
          <w:szCs w:val="22"/>
        </w:rPr>
      </w:pPr>
      <w:r w:rsidRPr="00371DCB">
        <w:rPr>
          <w:rFonts w:ascii="Arial" w:hAnsi="Arial" w:cs="Arial"/>
          <w:sz w:val="22"/>
          <w:szCs w:val="22"/>
        </w:rPr>
        <w:t xml:space="preserve">Screening </w:t>
      </w:r>
      <w:r w:rsidR="00B72062">
        <w:rPr>
          <w:rFonts w:ascii="Arial" w:hAnsi="Arial" w:cs="Arial"/>
          <w:sz w:val="22"/>
          <w:szCs w:val="22"/>
        </w:rPr>
        <w:t xml:space="preserve">and enrolment </w:t>
      </w:r>
      <w:r w:rsidRPr="00371DCB">
        <w:rPr>
          <w:rFonts w:ascii="Arial" w:hAnsi="Arial" w:cs="Arial"/>
          <w:sz w:val="22"/>
          <w:szCs w:val="22"/>
        </w:rPr>
        <w:t xml:space="preserve">will be done with the participant physically present. </w:t>
      </w:r>
    </w:p>
    <w:p w14:paraId="30636F2A" w14:textId="77777777" w:rsidR="00F554D1" w:rsidRPr="00371DCB" w:rsidRDefault="00F554D1" w:rsidP="00FB2D39">
      <w:pPr>
        <w:widowControl w:val="0"/>
        <w:jc w:val="both"/>
        <w:rPr>
          <w:rFonts w:ascii="Arial" w:hAnsi="Arial" w:cs="Arial"/>
          <w:b/>
          <w:bCs/>
          <w:iCs/>
          <w:sz w:val="22"/>
          <w:szCs w:val="22"/>
        </w:rPr>
      </w:pPr>
      <w:r w:rsidRPr="00371DCB">
        <w:rPr>
          <w:rFonts w:ascii="Arial" w:hAnsi="Arial" w:cs="Arial"/>
          <w:b/>
          <w:bCs/>
          <w:sz w:val="22"/>
          <w:szCs w:val="22"/>
        </w:rPr>
        <w:t>Day 0 evaluations are as follows:</w:t>
      </w:r>
    </w:p>
    <w:p w14:paraId="71AC7506" w14:textId="77777777" w:rsidR="00F554D1" w:rsidRPr="00371DCB" w:rsidRDefault="00F554D1" w:rsidP="00FB2D39">
      <w:pPr>
        <w:pStyle w:val="ListParagraph"/>
        <w:numPr>
          <w:ilvl w:val="0"/>
          <w:numId w:val="11"/>
        </w:numPr>
        <w:rPr>
          <w:rFonts w:ascii="Arial" w:hAnsi="Arial" w:cs="Arial"/>
          <w:i/>
          <w:iCs/>
          <w:sz w:val="22"/>
          <w:szCs w:val="22"/>
        </w:rPr>
      </w:pPr>
      <w:r w:rsidRPr="00371DCB">
        <w:rPr>
          <w:rFonts w:ascii="Arial" w:hAnsi="Arial" w:cs="Arial"/>
          <w:sz w:val="22"/>
          <w:szCs w:val="22"/>
        </w:rPr>
        <w:t>Informed consent</w:t>
      </w:r>
    </w:p>
    <w:p w14:paraId="00124E0F" w14:textId="77777777"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Collection of demographic information</w:t>
      </w:r>
    </w:p>
    <w:p w14:paraId="6DC423A5" w14:textId="77777777"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Collection of past and current medical conditions, including known pregnancy and/or lactation status</w:t>
      </w:r>
    </w:p>
    <w:p w14:paraId="18986382" w14:textId="77777777"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Collection of concomitant medication information</w:t>
      </w:r>
    </w:p>
    <w:p w14:paraId="292E41BA" w14:textId="77777777"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Collection of information regarding exposure to the index case</w:t>
      </w:r>
    </w:p>
    <w:p w14:paraId="6E9C4BB1" w14:textId="31BBBAC7" w:rsidR="00F554D1"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Check of inclusion and exclusion criteria</w:t>
      </w:r>
    </w:p>
    <w:p w14:paraId="09F926FC" w14:textId="0C0C6662" w:rsidR="00A66BEC" w:rsidRPr="00371DCB" w:rsidRDefault="00A66BEC" w:rsidP="00FB2D39">
      <w:pPr>
        <w:pStyle w:val="ListParagraph"/>
        <w:numPr>
          <w:ilvl w:val="0"/>
          <w:numId w:val="11"/>
        </w:numPr>
        <w:rPr>
          <w:rFonts w:ascii="Arial" w:hAnsi="Arial" w:cs="Arial"/>
          <w:sz w:val="22"/>
          <w:szCs w:val="22"/>
        </w:rPr>
      </w:pPr>
      <w:r w:rsidRPr="00371DCB">
        <w:rPr>
          <w:rFonts w:ascii="Arial" w:hAnsi="Arial" w:cs="Arial"/>
          <w:sz w:val="22"/>
          <w:szCs w:val="22"/>
        </w:rPr>
        <w:t>Collect mid-nasal swab for PCR</w:t>
      </w:r>
    </w:p>
    <w:p w14:paraId="7D10BE4E" w14:textId="5C0C4BAD"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Eligible participants will be randomized. </w:t>
      </w:r>
      <w:r w:rsidR="001663F3" w:rsidRPr="00371DCB">
        <w:rPr>
          <w:rFonts w:ascii="Arial" w:hAnsi="Arial" w:cs="Arial"/>
          <w:sz w:val="22"/>
          <w:szCs w:val="22"/>
        </w:rPr>
        <w:t xml:space="preserve">Participants will receive a monitoring kit </w:t>
      </w:r>
      <w:r w:rsidR="0054615A" w:rsidRPr="00371DCB">
        <w:rPr>
          <w:rFonts w:ascii="Arial" w:hAnsi="Arial" w:cs="Arial"/>
          <w:sz w:val="22"/>
          <w:szCs w:val="22"/>
        </w:rPr>
        <w:t>at enrolment</w:t>
      </w:r>
      <w:r w:rsidR="001663F3" w:rsidRPr="00371DCB">
        <w:rPr>
          <w:rFonts w:ascii="Arial" w:hAnsi="Arial" w:cs="Arial"/>
          <w:sz w:val="22"/>
          <w:szCs w:val="22"/>
        </w:rPr>
        <w:t>, which will include thermometer</w:t>
      </w:r>
      <w:r w:rsidR="0054615A" w:rsidRPr="00371DCB">
        <w:rPr>
          <w:rFonts w:ascii="Arial" w:hAnsi="Arial" w:cs="Arial"/>
          <w:sz w:val="22"/>
          <w:szCs w:val="22"/>
        </w:rPr>
        <w:t xml:space="preserve"> and</w:t>
      </w:r>
      <w:r w:rsidR="001663F3" w:rsidRPr="00371DCB">
        <w:rPr>
          <w:rFonts w:ascii="Arial" w:hAnsi="Arial" w:cs="Arial"/>
          <w:sz w:val="22"/>
          <w:szCs w:val="22"/>
        </w:rPr>
        <w:t xml:space="preserve"> SpO</w:t>
      </w:r>
      <w:r w:rsidR="001663F3" w:rsidRPr="00371DCB">
        <w:rPr>
          <w:rFonts w:ascii="Arial" w:hAnsi="Arial" w:cs="Arial"/>
          <w:sz w:val="22"/>
          <w:szCs w:val="22"/>
          <w:vertAlign w:val="subscript"/>
        </w:rPr>
        <w:t>2</w:t>
      </w:r>
      <w:r w:rsidR="001663F3" w:rsidRPr="00371DCB">
        <w:rPr>
          <w:rFonts w:ascii="Arial" w:hAnsi="Arial" w:cs="Arial"/>
          <w:sz w:val="22"/>
          <w:szCs w:val="22"/>
        </w:rPr>
        <w:t xml:space="preserve"> device</w:t>
      </w:r>
      <w:r w:rsidR="0054615A" w:rsidRPr="00371DCB">
        <w:rPr>
          <w:rFonts w:ascii="Arial" w:hAnsi="Arial" w:cs="Arial"/>
          <w:sz w:val="22"/>
          <w:szCs w:val="22"/>
        </w:rPr>
        <w:t>. Participants</w:t>
      </w:r>
      <w:r w:rsidRPr="00371DCB">
        <w:rPr>
          <w:rFonts w:ascii="Arial" w:hAnsi="Arial" w:cs="Arial"/>
          <w:sz w:val="22"/>
          <w:szCs w:val="22"/>
        </w:rPr>
        <w:t xml:space="preserve"> will be instructed how to self-assess respiratory rate</w:t>
      </w:r>
      <w:r w:rsidR="00421838" w:rsidRPr="00371DCB">
        <w:rPr>
          <w:rFonts w:ascii="Arial" w:hAnsi="Arial" w:cs="Arial"/>
          <w:sz w:val="22"/>
          <w:szCs w:val="22"/>
        </w:rPr>
        <w:t>, temperature and oxygen saturation</w:t>
      </w:r>
      <w:r w:rsidRPr="00371DCB">
        <w:rPr>
          <w:rFonts w:ascii="Arial" w:hAnsi="Arial" w:cs="Arial"/>
          <w:sz w:val="22"/>
          <w:szCs w:val="22"/>
        </w:rPr>
        <w:t xml:space="preserve">. </w:t>
      </w:r>
      <w:r w:rsidR="0054615A" w:rsidRPr="00371DCB">
        <w:rPr>
          <w:rFonts w:ascii="Arial" w:hAnsi="Arial" w:cs="Arial"/>
          <w:sz w:val="22"/>
          <w:szCs w:val="22"/>
        </w:rPr>
        <w:t xml:space="preserve">A study driver </w:t>
      </w:r>
      <w:r w:rsidR="009A455B" w:rsidRPr="00371DCB">
        <w:rPr>
          <w:rFonts w:ascii="Arial" w:hAnsi="Arial" w:cs="Arial"/>
          <w:sz w:val="22"/>
          <w:szCs w:val="22"/>
        </w:rPr>
        <w:t xml:space="preserve">wearing personal protective equipment </w:t>
      </w:r>
      <w:r w:rsidR="0054615A" w:rsidRPr="00371DCB">
        <w:rPr>
          <w:rFonts w:ascii="Arial" w:hAnsi="Arial" w:cs="Arial"/>
          <w:sz w:val="22"/>
          <w:szCs w:val="22"/>
        </w:rPr>
        <w:t xml:space="preserve">will deliver and collect study </w:t>
      </w:r>
      <w:r w:rsidR="009A455B" w:rsidRPr="00371DCB">
        <w:rPr>
          <w:rFonts w:ascii="Arial" w:hAnsi="Arial" w:cs="Arial"/>
          <w:sz w:val="22"/>
          <w:szCs w:val="22"/>
        </w:rPr>
        <w:t xml:space="preserve">related mid-nasal swabs and DBS cards as needed. </w:t>
      </w:r>
    </w:p>
    <w:p w14:paraId="0661C407" w14:textId="77777777" w:rsidR="00F554D1" w:rsidRPr="00371DCB" w:rsidRDefault="00F554D1" w:rsidP="00FB2D39">
      <w:pPr>
        <w:jc w:val="both"/>
        <w:rPr>
          <w:rFonts w:ascii="Arial" w:hAnsi="Arial" w:cs="Arial"/>
          <w:b/>
          <w:bCs/>
          <w:sz w:val="22"/>
          <w:szCs w:val="22"/>
        </w:rPr>
      </w:pPr>
      <w:r w:rsidRPr="00371DCB">
        <w:rPr>
          <w:rFonts w:ascii="Arial" w:hAnsi="Arial" w:cs="Arial"/>
          <w:b/>
          <w:bCs/>
          <w:sz w:val="22"/>
          <w:szCs w:val="22"/>
        </w:rPr>
        <w:t>The participant will do the following on Day 1:</w:t>
      </w:r>
    </w:p>
    <w:p w14:paraId="68CC156A" w14:textId="077D259A"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Take study therapy (</w:t>
      </w:r>
      <w:r w:rsidR="00A811FC" w:rsidRPr="00371DCB">
        <w:rPr>
          <w:rFonts w:ascii="Arial" w:hAnsi="Arial" w:cs="Arial"/>
          <w:sz w:val="22"/>
          <w:szCs w:val="22"/>
        </w:rPr>
        <w:t>as</w:t>
      </w:r>
      <w:r w:rsidRPr="00371DCB">
        <w:rPr>
          <w:rFonts w:ascii="Arial" w:hAnsi="Arial" w:cs="Arial"/>
          <w:sz w:val="22"/>
          <w:szCs w:val="22"/>
        </w:rPr>
        <w:t xml:space="preserve"> assigned)</w:t>
      </w:r>
    </w:p>
    <w:p w14:paraId="785E6AD5" w14:textId="0B3ED93B"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Complete Daily Survey (online, telephone, or text messaging). This Survey will include confirmation of adherence to study therapy dosing and daily swab collection, concomitant medication review, and symptoms review and objective measures including SpO</w:t>
      </w:r>
      <w:r w:rsidRPr="00371DCB">
        <w:rPr>
          <w:rFonts w:ascii="Arial" w:hAnsi="Arial" w:cs="Arial"/>
          <w:sz w:val="22"/>
          <w:szCs w:val="22"/>
          <w:vertAlign w:val="subscript"/>
        </w:rPr>
        <w:t>2</w:t>
      </w:r>
      <w:r w:rsidRPr="00371DCB">
        <w:rPr>
          <w:rFonts w:ascii="Arial" w:hAnsi="Arial" w:cs="Arial"/>
          <w:sz w:val="22"/>
          <w:szCs w:val="22"/>
        </w:rPr>
        <w:t>, respiratory rate, temperature</w:t>
      </w:r>
      <w:r w:rsidR="009A455B" w:rsidRPr="00371DCB">
        <w:rPr>
          <w:rFonts w:ascii="Arial" w:hAnsi="Arial" w:cs="Arial"/>
          <w:sz w:val="22"/>
          <w:szCs w:val="22"/>
        </w:rPr>
        <w:t xml:space="preserve"> and </w:t>
      </w:r>
      <w:r w:rsidRPr="00371DCB">
        <w:rPr>
          <w:rFonts w:ascii="Arial" w:hAnsi="Arial" w:cs="Arial"/>
          <w:sz w:val="22"/>
          <w:szCs w:val="22"/>
        </w:rPr>
        <w:t>pulse. In addition, the Baseline Dyspnea Index survey will be completed.</w:t>
      </w:r>
    </w:p>
    <w:p w14:paraId="593559B9" w14:textId="4C3632B3" w:rsidR="00F554D1" w:rsidRPr="00371DCB" w:rsidRDefault="00F554D1" w:rsidP="00FB2D39">
      <w:pPr>
        <w:jc w:val="both"/>
        <w:rPr>
          <w:rFonts w:ascii="Arial" w:hAnsi="Arial" w:cs="Arial"/>
          <w:i/>
          <w:sz w:val="22"/>
          <w:szCs w:val="22"/>
        </w:rPr>
      </w:pPr>
      <w:r w:rsidRPr="00371DCB">
        <w:rPr>
          <w:rFonts w:ascii="Arial" w:hAnsi="Arial" w:cs="Arial"/>
          <w:i/>
          <w:sz w:val="22"/>
          <w:szCs w:val="22"/>
        </w:rPr>
        <w:t xml:space="preserve">Instructions for skin puncture and DBS sample preparation are provided in </w:t>
      </w:r>
      <w:r w:rsidR="00744BB3" w:rsidRPr="00371DCB">
        <w:rPr>
          <w:rFonts w:ascii="Arial" w:hAnsi="Arial" w:cs="Arial"/>
          <w:i/>
          <w:sz w:val="22"/>
          <w:szCs w:val="22"/>
        </w:rPr>
        <w:t xml:space="preserve">Appendix 4. </w:t>
      </w:r>
      <w:r w:rsidRPr="00371DCB">
        <w:rPr>
          <w:rFonts w:ascii="Arial" w:hAnsi="Arial" w:cs="Arial"/>
          <w:i/>
          <w:sz w:val="22"/>
          <w:szCs w:val="22"/>
        </w:rPr>
        <w:t>A study team member will be available via Telehealth, telephone, or text messaging to provide support for completion of this study procedure.</w:t>
      </w:r>
    </w:p>
    <w:p w14:paraId="6EC00138" w14:textId="77777777" w:rsidR="00F554D1" w:rsidRPr="00371DCB" w:rsidRDefault="00F554D1" w:rsidP="00FB2D39">
      <w:pPr>
        <w:keepNext/>
        <w:widowControl w:val="0"/>
        <w:jc w:val="both"/>
        <w:rPr>
          <w:rFonts w:ascii="Arial" w:hAnsi="Arial" w:cs="Arial"/>
          <w:b/>
          <w:iCs/>
          <w:sz w:val="22"/>
          <w:szCs w:val="22"/>
        </w:rPr>
      </w:pPr>
      <w:r w:rsidRPr="00371DCB">
        <w:rPr>
          <w:rFonts w:ascii="Arial" w:hAnsi="Arial" w:cs="Arial"/>
          <w:b/>
          <w:iCs/>
          <w:sz w:val="22"/>
          <w:szCs w:val="22"/>
        </w:rPr>
        <w:t>Screening/Day 0 and Day 1 procedures can occur on the same day.</w:t>
      </w:r>
    </w:p>
    <w:p w14:paraId="56FBBA94" w14:textId="77777777" w:rsidR="00F554D1" w:rsidRPr="00371DCB" w:rsidRDefault="00F554D1" w:rsidP="00FB2D39">
      <w:pPr>
        <w:widowControl w:val="0"/>
        <w:jc w:val="both"/>
        <w:rPr>
          <w:rFonts w:ascii="Arial" w:hAnsi="Arial" w:cs="Arial"/>
          <w:sz w:val="22"/>
          <w:szCs w:val="22"/>
        </w:rPr>
      </w:pPr>
      <w:r w:rsidRPr="00371DCB">
        <w:rPr>
          <w:rFonts w:ascii="Arial" w:hAnsi="Arial" w:cs="Arial"/>
          <w:sz w:val="22"/>
          <w:szCs w:val="22"/>
        </w:rPr>
        <w:t>The SARS-CoV-2 positive test results will be confirmed through laboratory records.</w:t>
      </w:r>
    </w:p>
    <w:p w14:paraId="123195B6" w14:textId="77777777" w:rsidR="00F554D1" w:rsidRPr="00371DCB" w:rsidRDefault="00F554D1" w:rsidP="00FB2D39">
      <w:pPr>
        <w:pStyle w:val="Heading2"/>
        <w:jc w:val="both"/>
      </w:pPr>
      <w:bookmarkStart w:id="91" w:name="_Toc36029528"/>
      <w:bookmarkStart w:id="92" w:name="_Toc38818777"/>
      <w:r w:rsidRPr="00371DCB">
        <w:t>Day 2 Through Day 13</w:t>
      </w:r>
      <w:bookmarkEnd w:id="91"/>
      <w:bookmarkEnd w:id="92"/>
    </w:p>
    <w:p w14:paraId="134927B5"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The participant will do the following every day from Day 1 through Day 13, inclusive:</w:t>
      </w:r>
    </w:p>
    <w:p w14:paraId="08C0ABBB" w14:textId="359BF54B" w:rsidR="00447F9C" w:rsidRPr="00447F9C" w:rsidRDefault="001663F3" w:rsidP="00447F9C">
      <w:pPr>
        <w:pStyle w:val="TableText"/>
        <w:numPr>
          <w:ilvl w:val="0"/>
          <w:numId w:val="36"/>
        </w:numPr>
        <w:tabs>
          <w:tab w:val="clear" w:pos="576"/>
          <w:tab w:val="left" w:pos="695"/>
        </w:tabs>
        <w:rPr>
          <w:rFonts w:ascii="Arial" w:hAnsi="Arial" w:cs="Arial"/>
          <w:sz w:val="22"/>
          <w:szCs w:val="22"/>
        </w:rPr>
      </w:pPr>
      <w:r w:rsidRPr="00371DCB">
        <w:rPr>
          <w:rFonts w:ascii="Arial" w:hAnsi="Arial" w:cs="Arial"/>
          <w:sz w:val="22"/>
          <w:szCs w:val="22"/>
        </w:rPr>
        <w:t>Collect mid-nasal swab for PCR</w:t>
      </w:r>
      <w:r w:rsidR="00007DFA" w:rsidRPr="00371DCB">
        <w:rPr>
          <w:rFonts w:ascii="Arial" w:hAnsi="Arial" w:cs="Arial"/>
          <w:sz w:val="22"/>
          <w:szCs w:val="22"/>
        </w:rPr>
        <w:t xml:space="preserve"> </w:t>
      </w:r>
      <w:r w:rsidR="00A66BEC">
        <w:rPr>
          <w:rFonts w:ascii="Arial" w:hAnsi="Arial" w:cs="Arial"/>
          <w:sz w:val="22"/>
          <w:szCs w:val="22"/>
        </w:rPr>
        <w:t xml:space="preserve">on </w:t>
      </w:r>
      <w:r w:rsidR="00276012">
        <w:rPr>
          <w:rFonts w:ascii="Arial" w:hAnsi="Arial" w:cs="Arial"/>
          <w:sz w:val="22"/>
          <w:szCs w:val="22"/>
        </w:rPr>
        <w:t>Day 3,</w:t>
      </w:r>
      <w:r w:rsidR="00276012" w:rsidRPr="00881BB0">
        <w:rPr>
          <w:rFonts w:ascii="Arial" w:hAnsi="Arial" w:cs="Arial"/>
          <w:sz w:val="22"/>
          <w:szCs w:val="22"/>
        </w:rPr>
        <w:t xml:space="preserve"> Day 5</w:t>
      </w:r>
      <w:r w:rsidR="00BD5622">
        <w:rPr>
          <w:rFonts w:ascii="Arial" w:hAnsi="Arial" w:cs="Arial"/>
          <w:sz w:val="22"/>
          <w:szCs w:val="22"/>
        </w:rPr>
        <w:t xml:space="preserve">, Day 7 </w:t>
      </w:r>
      <w:r w:rsidR="00447F9C">
        <w:rPr>
          <w:rFonts w:ascii="Arial" w:hAnsi="Arial" w:cs="Arial"/>
          <w:sz w:val="22"/>
          <w:szCs w:val="22"/>
        </w:rPr>
        <w:t xml:space="preserve">and </w:t>
      </w:r>
      <w:r w:rsidR="00276012">
        <w:rPr>
          <w:rFonts w:ascii="Arial" w:hAnsi="Arial" w:cs="Arial"/>
          <w:sz w:val="22"/>
          <w:szCs w:val="22"/>
        </w:rPr>
        <w:t xml:space="preserve">Day 10. </w:t>
      </w:r>
      <w:r w:rsidR="00A66BEC">
        <w:rPr>
          <w:rFonts w:ascii="Arial" w:hAnsi="Arial" w:cs="Arial"/>
          <w:sz w:val="22"/>
          <w:szCs w:val="22"/>
        </w:rPr>
        <w:t>(</w:t>
      </w:r>
      <w:r w:rsidR="00276012" w:rsidRPr="00276012">
        <w:rPr>
          <w:rFonts w:ascii="Arial" w:hAnsi="Arial" w:cs="Arial"/>
          <w:sz w:val="22"/>
          <w:szCs w:val="22"/>
        </w:rPr>
        <w:t>Swab collection may be decreased to Day 5 and Day 10 in participants where multiple swabbing is not feasible</w:t>
      </w:r>
      <w:r w:rsidR="00A66BEC">
        <w:rPr>
          <w:rFonts w:ascii="Arial" w:hAnsi="Arial" w:cs="Arial"/>
          <w:sz w:val="22"/>
          <w:szCs w:val="22"/>
        </w:rPr>
        <w:t>.)</w:t>
      </w:r>
    </w:p>
    <w:p w14:paraId="24670916" w14:textId="57BCDE8F"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Take study therapy (</w:t>
      </w:r>
      <w:r w:rsidR="00A811FC" w:rsidRPr="00371DCB">
        <w:rPr>
          <w:rFonts w:ascii="Arial" w:hAnsi="Arial" w:cs="Arial"/>
          <w:sz w:val="22"/>
          <w:szCs w:val="22"/>
        </w:rPr>
        <w:t>as</w:t>
      </w:r>
      <w:r w:rsidRPr="00371DCB">
        <w:rPr>
          <w:rFonts w:ascii="Arial" w:hAnsi="Arial" w:cs="Arial"/>
          <w:sz w:val="22"/>
          <w:szCs w:val="22"/>
        </w:rPr>
        <w:t xml:space="preserve"> assigned)</w:t>
      </w:r>
    </w:p>
    <w:p w14:paraId="1FD4540E" w14:textId="7A9133BE"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Complete Daily Survey (online, telephone, or text messaging). This Survey will include confirmation of adherence to study therapy dosing and daily swab collection, concomitant medication review, AEs, and symptoms review and objective measures including</w:t>
      </w:r>
      <w:r w:rsidR="00D3671B" w:rsidRPr="00371DCB">
        <w:rPr>
          <w:rFonts w:ascii="Arial" w:hAnsi="Arial" w:cs="Arial"/>
          <w:sz w:val="22"/>
          <w:szCs w:val="22"/>
        </w:rPr>
        <w:t xml:space="preserve"> </w:t>
      </w:r>
      <w:r w:rsidRPr="00371DCB">
        <w:rPr>
          <w:rFonts w:ascii="Arial" w:hAnsi="Arial" w:cs="Arial"/>
          <w:sz w:val="22"/>
          <w:szCs w:val="22"/>
        </w:rPr>
        <w:t>SpO</w:t>
      </w:r>
      <w:r w:rsidRPr="00371DCB">
        <w:rPr>
          <w:rFonts w:ascii="Arial" w:hAnsi="Arial" w:cs="Arial"/>
          <w:sz w:val="22"/>
          <w:szCs w:val="22"/>
          <w:vertAlign w:val="subscript"/>
        </w:rPr>
        <w:t>2</w:t>
      </w:r>
      <w:r w:rsidRPr="00371DCB">
        <w:rPr>
          <w:rFonts w:ascii="Arial" w:hAnsi="Arial" w:cs="Arial"/>
          <w:sz w:val="22"/>
          <w:szCs w:val="22"/>
        </w:rPr>
        <w:t xml:space="preserve">, </w:t>
      </w:r>
      <w:r w:rsidRPr="00371DCB">
        <w:rPr>
          <w:rFonts w:ascii="Arial" w:hAnsi="Arial" w:cs="Arial"/>
          <w:sz w:val="22"/>
          <w:szCs w:val="22"/>
        </w:rPr>
        <w:lastRenderedPageBreak/>
        <w:t>respiratory rate, temperature</w:t>
      </w:r>
      <w:r w:rsidR="009A455B" w:rsidRPr="00371DCB">
        <w:rPr>
          <w:rFonts w:ascii="Arial" w:hAnsi="Arial" w:cs="Arial"/>
          <w:sz w:val="22"/>
          <w:szCs w:val="22"/>
        </w:rPr>
        <w:t xml:space="preserve"> and</w:t>
      </w:r>
      <w:r w:rsidRPr="00371DCB">
        <w:rPr>
          <w:rFonts w:ascii="Arial" w:hAnsi="Arial" w:cs="Arial"/>
          <w:sz w:val="22"/>
          <w:szCs w:val="22"/>
        </w:rPr>
        <w:t xml:space="preserve"> pulse.  In addition, the Transitional Dyspnea Survey will be completed.</w:t>
      </w:r>
    </w:p>
    <w:p w14:paraId="2FA9665E" w14:textId="122ACE0E" w:rsidR="00F554D1" w:rsidRPr="00371DCB" w:rsidRDefault="00F554D1" w:rsidP="00FB2D39">
      <w:pPr>
        <w:pStyle w:val="ListParagraph"/>
        <w:numPr>
          <w:ilvl w:val="0"/>
          <w:numId w:val="11"/>
        </w:numPr>
        <w:rPr>
          <w:rFonts w:ascii="Arial" w:hAnsi="Arial" w:cs="Arial"/>
          <w:i/>
          <w:sz w:val="22"/>
          <w:szCs w:val="22"/>
        </w:rPr>
      </w:pPr>
      <w:r w:rsidRPr="00371DCB">
        <w:rPr>
          <w:rFonts w:ascii="Arial" w:hAnsi="Arial" w:cs="Arial"/>
          <w:i/>
          <w:iCs/>
          <w:sz w:val="22"/>
          <w:szCs w:val="22"/>
        </w:rPr>
        <w:t>If in DBS Sub-study, collect DBS samples for analysis of concentration</w:t>
      </w:r>
      <w:r w:rsidRPr="00371DCB">
        <w:rPr>
          <w:rFonts w:ascii="Arial" w:hAnsi="Arial" w:cs="Arial"/>
          <w:i/>
          <w:sz w:val="22"/>
          <w:szCs w:val="22"/>
        </w:rPr>
        <w:t xml:space="preserve"> </w:t>
      </w:r>
      <w:r w:rsidR="00873CF8" w:rsidRPr="00371DCB">
        <w:rPr>
          <w:rFonts w:ascii="Arial" w:hAnsi="Arial" w:cs="Arial"/>
          <w:i/>
          <w:sz w:val="22"/>
          <w:szCs w:val="22"/>
        </w:rPr>
        <w:t xml:space="preserve">of assigned experimental intervention </w:t>
      </w:r>
      <w:r w:rsidRPr="00371DCB">
        <w:rPr>
          <w:rFonts w:ascii="Arial" w:hAnsi="Arial" w:cs="Arial"/>
          <w:i/>
          <w:sz w:val="22"/>
          <w:szCs w:val="22"/>
        </w:rPr>
        <w:t>at any time during this period (1 to 5 times) after study drug dosing has commenced. No more than 1 sample per day should be collected.</w:t>
      </w:r>
    </w:p>
    <w:p w14:paraId="10C8F05B" w14:textId="30A111F2"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A study team member will be available via Telehealth, text messaging, or telephone to provide support for completion of study procedures. The </w:t>
      </w:r>
      <w:r w:rsidR="00371DCB">
        <w:rPr>
          <w:rFonts w:ascii="Arial" w:hAnsi="Arial" w:cs="Arial"/>
          <w:sz w:val="22"/>
          <w:szCs w:val="22"/>
        </w:rPr>
        <w:t>driver</w:t>
      </w:r>
      <w:r w:rsidRPr="00371DCB">
        <w:rPr>
          <w:rFonts w:ascii="Arial" w:hAnsi="Arial" w:cs="Arial"/>
          <w:sz w:val="22"/>
          <w:szCs w:val="22"/>
        </w:rPr>
        <w:t xml:space="preserve"> will collect the swabs as </w:t>
      </w:r>
      <w:r w:rsidR="00371DCB">
        <w:rPr>
          <w:rFonts w:ascii="Arial" w:hAnsi="Arial" w:cs="Arial"/>
          <w:sz w:val="22"/>
          <w:szCs w:val="22"/>
        </w:rPr>
        <w:t>required.</w:t>
      </w:r>
    </w:p>
    <w:p w14:paraId="1F32A304" w14:textId="2E3A388C" w:rsidR="00703EF8" w:rsidRPr="00371DCB" w:rsidRDefault="00703EF8" w:rsidP="00FB2D39">
      <w:pPr>
        <w:pStyle w:val="Heading2"/>
        <w:jc w:val="both"/>
      </w:pPr>
      <w:bookmarkStart w:id="93" w:name="_Toc38818778"/>
      <w:bookmarkStart w:id="94" w:name="_Toc36029529"/>
      <w:r w:rsidRPr="00371DCB">
        <w:t xml:space="preserve">Days </w:t>
      </w:r>
      <w:r w:rsidR="00373815" w:rsidRPr="00371DCB">
        <w:t>3</w:t>
      </w:r>
      <w:r w:rsidRPr="00371DCB">
        <w:t xml:space="preserve">, </w:t>
      </w:r>
      <w:r w:rsidR="00373815" w:rsidRPr="00371DCB">
        <w:t xml:space="preserve">8 and </w:t>
      </w:r>
      <w:r w:rsidRPr="00371DCB">
        <w:t>14 (+/-1 day)</w:t>
      </w:r>
      <w:bookmarkEnd w:id="93"/>
    </w:p>
    <w:p w14:paraId="6F38E0B2" w14:textId="77777777" w:rsidR="001663F3" w:rsidRPr="00371DCB" w:rsidRDefault="001663F3" w:rsidP="00FB2D39">
      <w:pPr>
        <w:jc w:val="both"/>
        <w:rPr>
          <w:rFonts w:ascii="Arial" w:hAnsi="Arial" w:cs="Arial"/>
          <w:sz w:val="22"/>
          <w:szCs w:val="22"/>
        </w:rPr>
      </w:pPr>
      <w:r w:rsidRPr="00371DCB">
        <w:rPr>
          <w:rFonts w:ascii="Arial" w:hAnsi="Arial" w:cs="Arial"/>
          <w:sz w:val="22"/>
          <w:szCs w:val="22"/>
        </w:rPr>
        <w:t>Contact with study clinician or staff will be conducted via telemedicine (Telehealth) or telephone. Participants will be clinically assessed for signs and symptoms of respiratory distress and will have in person assessment of AEs. As needed, additional contact with the study clinician or staff will be conducted at the request of the participant (e.g., if developing concerning symptoms or an adverse event) or if needed to clarify study procedures or follow-up symptoms.</w:t>
      </w:r>
    </w:p>
    <w:p w14:paraId="0BCDD4A4" w14:textId="77777777" w:rsidR="00F554D1" w:rsidRPr="00371DCB" w:rsidRDefault="00F554D1" w:rsidP="00FB2D39">
      <w:pPr>
        <w:pStyle w:val="Heading2"/>
        <w:jc w:val="both"/>
      </w:pPr>
      <w:bookmarkStart w:id="95" w:name="_Toc36029530"/>
      <w:bookmarkStart w:id="96" w:name="_Toc38818779"/>
      <w:bookmarkEnd w:id="94"/>
      <w:r w:rsidRPr="00371DCB">
        <w:t>Day 14</w:t>
      </w:r>
      <w:bookmarkEnd w:id="95"/>
      <w:bookmarkEnd w:id="96"/>
    </w:p>
    <w:p w14:paraId="7263583D"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The participant will do the following on Day 14:</w:t>
      </w:r>
    </w:p>
    <w:p w14:paraId="23298CCB" w14:textId="2BBEFE5B" w:rsidR="00BD5622" w:rsidRPr="00BD5622" w:rsidRDefault="00BD5622" w:rsidP="00BD5622">
      <w:pPr>
        <w:pStyle w:val="TableText"/>
        <w:numPr>
          <w:ilvl w:val="0"/>
          <w:numId w:val="11"/>
        </w:numPr>
        <w:tabs>
          <w:tab w:val="clear" w:pos="576"/>
          <w:tab w:val="left" w:pos="695"/>
        </w:tabs>
        <w:rPr>
          <w:rFonts w:ascii="Arial" w:hAnsi="Arial" w:cs="Arial"/>
          <w:sz w:val="22"/>
          <w:szCs w:val="22"/>
        </w:rPr>
      </w:pPr>
      <w:r w:rsidRPr="00371DCB">
        <w:rPr>
          <w:rFonts w:ascii="Arial" w:hAnsi="Arial" w:cs="Arial"/>
          <w:sz w:val="22"/>
          <w:szCs w:val="22"/>
        </w:rPr>
        <w:t>Collect mid-nasal swab for PCR (</w:t>
      </w:r>
      <w:r>
        <w:rPr>
          <w:rFonts w:ascii="Arial" w:hAnsi="Arial" w:cs="Arial"/>
          <w:sz w:val="22"/>
          <w:szCs w:val="22"/>
        </w:rPr>
        <w:t>May be omitted in</w:t>
      </w:r>
      <w:r w:rsidRPr="00276012">
        <w:rPr>
          <w:rFonts w:ascii="Arial" w:hAnsi="Arial" w:cs="Arial"/>
          <w:sz w:val="22"/>
          <w:szCs w:val="22"/>
        </w:rPr>
        <w:t xml:space="preserve"> participants where multiple swabbing is not feasible</w:t>
      </w:r>
      <w:r>
        <w:rPr>
          <w:rFonts w:ascii="Arial" w:hAnsi="Arial" w:cs="Arial"/>
          <w:sz w:val="22"/>
          <w:szCs w:val="22"/>
        </w:rPr>
        <w:t>)</w:t>
      </w:r>
      <w:r w:rsidRPr="00276012">
        <w:rPr>
          <w:rFonts w:ascii="Arial" w:hAnsi="Arial" w:cs="Arial"/>
          <w:sz w:val="22"/>
          <w:szCs w:val="22"/>
        </w:rPr>
        <w:t>.</w:t>
      </w:r>
    </w:p>
    <w:p w14:paraId="0A0E9DC7" w14:textId="67898E6B"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sz w:val="22"/>
          <w:szCs w:val="22"/>
        </w:rPr>
        <w:t>Complete Daily Survey (online, telephone, or text messaging). This Survey will include confirmation of adherence to study therapy dosing and daily swab collection, concomitant medication review, and symptoms review and objective measures including SpO</w:t>
      </w:r>
      <w:r w:rsidRPr="00371DCB">
        <w:rPr>
          <w:rFonts w:ascii="Arial" w:hAnsi="Arial" w:cs="Arial"/>
          <w:sz w:val="22"/>
          <w:szCs w:val="22"/>
          <w:vertAlign w:val="subscript"/>
        </w:rPr>
        <w:t>2</w:t>
      </w:r>
      <w:r w:rsidRPr="00371DCB">
        <w:rPr>
          <w:rFonts w:ascii="Arial" w:hAnsi="Arial" w:cs="Arial"/>
          <w:sz w:val="22"/>
          <w:szCs w:val="22"/>
        </w:rPr>
        <w:t>, temperature</w:t>
      </w:r>
      <w:r w:rsidR="009A455B" w:rsidRPr="00371DCB">
        <w:rPr>
          <w:rFonts w:ascii="Arial" w:hAnsi="Arial" w:cs="Arial"/>
          <w:sz w:val="22"/>
          <w:szCs w:val="22"/>
        </w:rPr>
        <w:t xml:space="preserve"> and </w:t>
      </w:r>
      <w:r w:rsidRPr="00371DCB">
        <w:rPr>
          <w:rFonts w:ascii="Arial" w:hAnsi="Arial" w:cs="Arial"/>
          <w:sz w:val="22"/>
          <w:szCs w:val="22"/>
        </w:rPr>
        <w:t>pulse.</w:t>
      </w:r>
    </w:p>
    <w:p w14:paraId="6DC7864D" w14:textId="77777777" w:rsidR="00F554D1" w:rsidRPr="00371DCB" w:rsidRDefault="00F554D1" w:rsidP="00FB2D39">
      <w:pPr>
        <w:pStyle w:val="ListParagraph"/>
        <w:rPr>
          <w:rFonts w:ascii="Arial" w:hAnsi="Arial" w:cs="Arial"/>
          <w:sz w:val="22"/>
          <w:szCs w:val="22"/>
        </w:rPr>
      </w:pPr>
    </w:p>
    <w:p w14:paraId="1A781BDB" w14:textId="6954F4A2" w:rsidR="00F554D1" w:rsidRPr="00371DCB" w:rsidRDefault="00F554D1" w:rsidP="00FB2D39">
      <w:pPr>
        <w:pStyle w:val="ListParagraph"/>
        <w:numPr>
          <w:ilvl w:val="0"/>
          <w:numId w:val="11"/>
        </w:numPr>
        <w:rPr>
          <w:rFonts w:ascii="Arial" w:hAnsi="Arial" w:cs="Arial"/>
          <w:sz w:val="22"/>
          <w:szCs w:val="22"/>
        </w:rPr>
      </w:pPr>
      <w:r w:rsidRPr="00371DCB">
        <w:rPr>
          <w:rFonts w:ascii="Arial" w:hAnsi="Arial" w:cs="Arial"/>
          <w:i/>
          <w:sz w:val="22"/>
          <w:szCs w:val="22"/>
        </w:rPr>
        <w:t>If in DBS Sub-study</w:t>
      </w:r>
      <w:r w:rsidRPr="00371DCB">
        <w:rPr>
          <w:rFonts w:ascii="Arial" w:hAnsi="Arial" w:cs="Arial"/>
          <w:sz w:val="22"/>
          <w:szCs w:val="22"/>
        </w:rPr>
        <w:t xml:space="preserve">, </w:t>
      </w:r>
      <w:r w:rsidRPr="00371DCB">
        <w:rPr>
          <w:rFonts w:ascii="Arial" w:hAnsi="Arial" w:cs="Arial"/>
          <w:i/>
          <w:iCs/>
          <w:sz w:val="22"/>
          <w:szCs w:val="22"/>
        </w:rPr>
        <w:t xml:space="preserve">collect DBS samples for analysis of </w:t>
      </w:r>
      <w:r w:rsidR="00873CF8" w:rsidRPr="00371DCB">
        <w:rPr>
          <w:rFonts w:ascii="Arial" w:hAnsi="Arial" w:cs="Arial"/>
          <w:i/>
          <w:iCs/>
          <w:sz w:val="22"/>
          <w:szCs w:val="22"/>
        </w:rPr>
        <w:t>concentration</w:t>
      </w:r>
      <w:r w:rsidR="00873CF8" w:rsidRPr="00371DCB">
        <w:rPr>
          <w:rFonts w:ascii="Arial" w:hAnsi="Arial" w:cs="Arial"/>
          <w:i/>
          <w:sz w:val="22"/>
          <w:szCs w:val="22"/>
        </w:rPr>
        <w:t xml:space="preserve"> of assigned experimental intervention</w:t>
      </w:r>
      <w:r w:rsidRPr="00371DCB">
        <w:rPr>
          <w:rFonts w:ascii="Arial" w:hAnsi="Arial" w:cs="Arial"/>
          <w:i/>
          <w:iCs/>
          <w:sz w:val="22"/>
          <w:szCs w:val="22"/>
        </w:rPr>
        <w:t>, if not already collected.</w:t>
      </w:r>
    </w:p>
    <w:p w14:paraId="0CD158FC"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A study team member will be available via Telehealth, text messaging, or telephone to provide support for completion of study procedures.</w:t>
      </w:r>
    </w:p>
    <w:p w14:paraId="3F1879B9"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Clinical outcomes will be confirmed through the electronic health record, if possible.</w:t>
      </w:r>
    </w:p>
    <w:p w14:paraId="29029529" w14:textId="77777777" w:rsidR="00F554D1" w:rsidRPr="00371DCB" w:rsidRDefault="00F554D1" w:rsidP="00FB2D39">
      <w:pPr>
        <w:pStyle w:val="Heading2"/>
        <w:jc w:val="both"/>
      </w:pPr>
      <w:bookmarkStart w:id="97" w:name="_Toc36029531"/>
      <w:bookmarkStart w:id="98" w:name="_Toc36029532"/>
      <w:bookmarkStart w:id="99" w:name="_Toc38818780"/>
      <w:bookmarkEnd w:id="97"/>
      <w:r w:rsidRPr="00371DCB">
        <w:t>Optional Day 56:  DBS for antibody development</w:t>
      </w:r>
      <w:bookmarkEnd w:id="98"/>
      <w:bookmarkEnd w:id="99"/>
    </w:p>
    <w:p w14:paraId="63210F66" w14:textId="77777777" w:rsidR="00F554D1" w:rsidRPr="00371DCB" w:rsidRDefault="00F554D1" w:rsidP="00FB2D39">
      <w:pPr>
        <w:pStyle w:val="Heading2"/>
        <w:numPr>
          <w:ilvl w:val="0"/>
          <w:numId w:val="0"/>
        </w:numPr>
        <w:ind w:left="1260"/>
        <w:jc w:val="both"/>
      </w:pPr>
      <w:bookmarkStart w:id="100" w:name="_Toc36029533"/>
      <w:bookmarkStart w:id="101" w:name="_Toc38818781"/>
      <w:r w:rsidRPr="00371DCB">
        <w:t>Participant Reimbursement</w:t>
      </w:r>
      <w:bookmarkEnd w:id="100"/>
      <w:bookmarkEnd w:id="101"/>
    </w:p>
    <w:p w14:paraId="06589D2A" w14:textId="77777777" w:rsidR="00F554D1" w:rsidRPr="00371DCB" w:rsidRDefault="00F554D1" w:rsidP="00FB2D39">
      <w:pPr>
        <w:jc w:val="both"/>
        <w:rPr>
          <w:rFonts w:ascii="Arial" w:hAnsi="Arial" w:cs="Arial"/>
          <w:sz w:val="22"/>
          <w:szCs w:val="22"/>
          <w:lang w:eastAsia="ja-JP"/>
        </w:rPr>
      </w:pPr>
      <w:r w:rsidRPr="00371DCB">
        <w:rPr>
          <w:rFonts w:ascii="Arial" w:hAnsi="Arial" w:cs="Arial"/>
          <w:sz w:val="22"/>
          <w:szCs w:val="22"/>
        </w:rPr>
        <w:t>Participants will be reimbursed on Day 14. No reimbursement will be provided to index cases for questionnaire completion and referral of their close contacts. No reimbursement will be provided for unscheduled Telehealth visits requested by the participants for support with study procedures.</w:t>
      </w:r>
    </w:p>
    <w:p w14:paraId="764E9B71" w14:textId="158C3063" w:rsidR="00381D18" w:rsidRPr="00371DCB" w:rsidRDefault="00FC4C3A" w:rsidP="00FB2D39">
      <w:pPr>
        <w:pStyle w:val="Heading1"/>
        <w:rPr>
          <w:rFonts w:ascii="Arial" w:hAnsi="Arial" w:cs="Arial"/>
          <w:sz w:val="22"/>
        </w:rPr>
      </w:pPr>
      <w:bookmarkStart w:id="102" w:name="_Toc38818782"/>
      <w:bookmarkStart w:id="103" w:name="_GoBack"/>
      <w:bookmarkEnd w:id="103"/>
      <w:r w:rsidRPr="00371DCB">
        <w:rPr>
          <w:rFonts w:ascii="Arial" w:hAnsi="Arial" w:cs="Arial"/>
          <w:sz w:val="22"/>
        </w:rPr>
        <w:lastRenderedPageBreak/>
        <w:t>Study Assessments and Procedures</w:t>
      </w:r>
      <w:bookmarkEnd w:id="102"/>
    </w:p>
    <w:p w14:paraId="1BBD2AD2" w14:textId="77777777" w:rsidR="00F554D1" w:rsidRPr="00371DCB" w:rsidRDefault="00F554D1" w:rsidP="00FB2D39">
      <w:pPr>
        <w:pStyle w:val="CPTInstructional"/>
        <w:keepNext/>
        <w:numPr>
          <w:ilvl w:val="0"/>
          <w:numId w:val="4"/>
        </w:numPr>
        <w:rPr>
          <w:rFonts w:ascii="Arial" w:hAnsi="Arial"/>
          <w:vanish w:val="0"/>
          <w:color w:val="auto"/>
          <w:szCs w:val="22"/>
        </w:rPr>
      </w:pPr>
      <w:r w:rsidRPr="00371DCB">
        <w:rPr>
          <w:rFonts w:ascii="Arial" w:hAnsi="Arial"/>
          <w:vanish w:val="0"/>
          <w:color w:val="auto"/>
          <w:szCs w:val="22"/>
        </w:rPr>
        <w:t xml:space="preserve">Study procedures and their timing are summarized in the </w:t>
      </w:r>
      <w:proofErr w:type="spellStart"/>
      <w:r w:rsidRPr="00371DCB">
        <w:rPr>
          <w:rFonts w:ascii="Arial" w:hAnsi="Arial"/>
          <w:vanish w:val="0"/>
          <w:color w:val="auto"/>
          <w:szCs w:val="22"/>
        </w:rPr>
        <w:t>SoA</w:t>
      </w:r>
      <w:proofErr w:type="spellEnd"/>
      <w:r w:rsidRPr="00371DCB">
        <w:rPr>
          <w:rFonts w:ascii="Arial" w:hAnsi="Arial"/>
          <w:vanish w:val="0"/>
          <w:color w:val="auto"/>
          <w:szCs w:val="22"/>
        </w:rPr>
        <w:t>.</w:t>
      </w:r>
    </w:p>
    <w:p w14:paraId="4320781B" w14:textId="77777777" w:rsidR="00F554D1" w:rsidRPr="00371DCB" w:rsidRDefault="00F554D1" w:rsidP="00FB2D39">
      <w:pPr>
        <w:pStyle w:val="ListParagraph"/>
        <w:numPr>
          <w:ilvl w:val="0"/>
          <w:numId w:val="4"/>
        </w:numPr>
        <w:rPr>
          <w:rFonts w:ascii="Arial" w:hAnsi="Arial" w:cs="Arial"/>
          <w:sz w:val="22"/>
          <w:szCs w:val="22"/>
          <w:lang w:eastAsia="ja-JP"/>
        </w:rPr>
      </w:pPr>
      <w:r w:rsidRPr="00371DCB">
        <w:rPr>
          <w:rFonts w:ascii="Arial" w:hAnsi="Arial" w:cs="Arial"/>
          <w:sz w:val="22"/>
          <w:szCs w:val="22"/>
          <w:lang w:eastAsia="ja-JP"/>
        </w:rPr>
        <w:t>Protocol waivers or exemptions are not allowed.</w:t>
      </w:r>
    </w:p>
    <w:p w14:paraId="4FAC7807" w14:textId="77777777" w:rsidR="00F554D1" w:rsidRPr="00371DCB" w:rsidRDefault="00F554D1" w:rsidP="00FB2D39">
      <w:pPr>
        <w:pStyle w:val="ListParagraph"/>
        <w:numPr>
          <w:ilvl w:val="0"/>
          <w:numId w:val="4"/>
        </w:numPr>
        <w:rPr>
          <w:rFonts w:ascii="Arial" w:hAnsi="Arial" w:cs="Arial"/>
          <w:sz w:val="22"/>
          <w:szCs w:val="22"/>
          <w:lang w:eastAsia="ja-JP"/>
        </w:rPr>
      </w:pPr>
      <w:r w:rsidRPr="00371DCB">
        <w:rPr>
          <w:rFonts w:ascii="Arial" w:hAnsi="Arial" w:cs="Arial"/>
          <w:sz w:val="22"/>
          <w:szCs w:val="22"/>
          <w:lang w:eastAsia="ja-JP"/>
        </w:rPr>
        <w:t>Immediate safety concerns should be discussed with the sponsor immediately upon occurrence or awareness to determine if the participant should continue or discontinue study treatment.</w:t>
      </w:r>
    </w:p>
    <w:p w14:paraId="268584AE" w14:textId="77777777" w:rsidR="00F554D1" w:rsidRPr="00371DCB" w:rsidRDefault="00F554D1" w:rsidP="00FB2D39">
      <w:pPr>
        <w:pStyle w:val="ListParagraph"/>
        <w:numPr>
          <w:ilvl w:val="0"/>
          <w:numId w:val="4"/>
        </w:numPr>
        <w:rPr>
          <w:rFonts w:ascii="Arial" w:hAnsi="Arial" w:cs="Arial"/>
          <w:sz w:val="22"/>
          <w:szCs w:val="22"/>
          <w:lang w:eastAsia="ja-JP"/>
        </w:rPr>
      </w:pPr>
      <w:r w:rsidRPr="00371DCB">
        <w:rPr>
          <w:rFonts w:ascii="Arial" w:hAnsi="Arial" w:cs="Arial"/>
          <w:sz w:val="22"/>
          <w:szCs w:val="22"/>
          <w:lang w:eastAsia="ja-JP"/>
        </w:rPr>
        <w:t xml:space="preserve">Adherence to the study design requirements, including those specified in the </w:t>
      </w:r>
      <w:proofErr w:type="spellStart"/>
      <w:r w:rsidRPr="00371DCB">
        <w:rPr>
          <w:rFonts w:ascii="Arial" w:hAnsi="Arial" w:cs="Arial"/>
          <w:sz w:val="22"/>
          <w:szCs w:val="22"/>
          <w:lang w:eastAsia="ja-JP"/>
        </w:rPr>
        <w:t>SoA</w:t>
      </w:r>
      <w:proofErr w:type="spellEnd"/>
      <w:r w:rsidRPr="00371DCB">
        <w:rPr>
          <w:rFonts w:ascii="Arial" w:hAnsi="Arial" w:cs="Arial"/>
          <w:sz w:val="22"/>
          <w:szCs w:val="22"/>
          <w:lang w:eastAsia="ja-JP"/>
        </w:rPr>
        <w:t>, is essential and required for study conduct.</w:t>
      </w:r>
    </w:p>
    <w:p w14:paraId="6B3FBC68" w14:textId="77777777" w:rsidR="00F554D1" w:rsidRPr="00371DCB" w:rsidRDefault="00F554D1" w:rsidP="00FB2D39">
      <w:pPr>
        <w:pStyle w:val="ListParagraph"/>
        <w:numPr>
          <w:ilvl w:val="0"/>
          <w:numId w:val="3"/>
        </w:numPr>
        <w:rPr>
          <w:rFonts w:ascii="Arial" w:hAnsi="Arial" w:cs="Arial"/>
          <w:sz w:val="22"/>
          <w:szCs w:val="22"/>
          <w:lang w:eastAsia="ja-JP"/>
        </w:rPr>
      </w:pPr>
      <w:r w:rsidRPr="00371DCB">
        <w:rPr>
          <w:rFonts w:ascii="Arial" w:hAnsi="Arial" w:cs="Arial"/>
          <w:sz w:val="22"/>
          <w:szCs w:val="22"/>
          <w:lang w:eastAsia="ja-JP"/>
        </w:rPr>
        <w:t>All baseline evaluations must be completed and reviewed to confirm that potential participants meet all eligibility criteria. The Investigator will maintain a screening log to record details of all participants screened and to confirm eligibility or record reasons for screening failure, as applicable.</w:t>
      </w:r>
    </w:p>
    <w:p w14:paraId="072BE0A3" w14:textId="77777777" w:rsidR="00F554D1" w:rsidRPr="00371DCB" w:rsidRDefault="00F554D1" w:rsidP="00FB2D39">
      <w:pPr>
        <w:pStyle w:val="ListParagraph"/>
        <w:numPr>
          <w:ilvl w:val="0"/>
          <w:numId w:val="3"/>
        </w:numPr>
        <w:rPr>
          <w:rFonts w:ascii="Arial" w:hAnsi="Arial" w:cs="Arial"/>
          <w:sz w:val="22"/>
          <w:szCs w:val="22"/>
          <w:lang w:eastAsia="ja-JP"/>
        </w:rPr>
      </w:pPr>
      <w:r w:rsidRPr="00371DCB">
        <w:rPr>
          <w:rFonts w:ascii="Arial" w:hAnsi="Arial" w:cs="Arial"/>
          <w:sz w:val="22"/>
          <w:szCs w:val="22"/>
          <w:lang w:eastAsia="ja-JP"/>
        </w:rPr>
        <w:t xml:space="preserve">Procedures conducted as part of the </w:t>
      </w:r>
      <w:r w:rsidRPr="00371DCB">
        <w:rPr>
          <w:rFonts w:ascii="Arial" w:hAnsi="Arial" w:cs="Arial"/>
          <w:color w:val="000000" w:themeColor="text1"/>
          <w:sz w:val="22"/>
          <w:szCs w:val="22"/>
          <w:lang w:eastAsia="ja-JP"/>
        </w:rPr>
        <w:t xml:space="preserve">participant’s routine clinical management and obtained before signing of the informed consent form </w:t>
      </w:r>
      <w:r w:rsidRPr="00371DCB">
        <w:rPr>
          <w:rFonts w:ascii="Arial" w:hAnsi="Arial" w:cs="Arial"/>
          <w:sz w:val="22"/>
          <w:szCs w:val="22"/>
          <w:lang w:eastAsia="ja-JP"/>
        </w:rPr>
        <w:t xml:space="preserve">may be utilized for screening or baseline purposes provided the procedures met the protocol-specified criteria and were performed within the time frame defined in the </w:t>
      </w:r>
      <w:proofErr w:type="spellStart"/>
      <w:r w:rsidRPr="00371DCB">
        <w:rPr>
          <w:rFonts w:ascii="Arial" w:hAnsi="Arial" w:cs="Arial"/>
          <w:sz w:val="22"/>
          <w:szCs w:val="22"/>
          <w:lang w:eastAsia="ja-JP"/>
        </w:rPr>
        <w:t>SoA</w:t>
      </w:r>
      <w:proofErr w:type="spellEnd"/>
      <w:r w:rsidRPr="00371DCB">
        <w:rPr>
          <w:rFonts w:ascii="Arial" w:hAnsi="Arial" w:cs="Arial"/>
          <w:sz w:val="22"/>
          <w:szCs w:val="22"/>
          <w:lang w:eastAsia="ja-JP"/>
        </w:rPr>
        <w:t>.</w:t>
      </w:r>
    </w:p>
    <w:p w14:paraId="3955949F" w14:textId="77777777" w:rsidR="00F554D1" w:rsidRPr="00371DCB" w:rsidRDefault="00F554D1" w:rsidP="00FB2D39">
      <w:pPr>
        <w:pStyle w:val="ListParagraph"/>
        <w:numPr>
          <w:ilvl w:val="0"/>
          <w:numId w:val="3"/>
        </w:numPr>
        <w:rPr>
          <w:rFonts w:ascii="Arial" w:hAnsi="Arial" w:cs="Arial"/>
          <w:i/>
          <w:sz w:val="22"/>
          <w:szCs w:val="22"/>
        </w:rPr>
      </w:pPr>
      <w:r w:rsidRPr="00371DCB">
        <w:rPr>
          <w:rFonts w:ascii="Arial" w:hAnsi="Arial" w:cs="Arial"/>
          <w:i/>
          <w:sz w:val="22"/>
          <w:szCs w:val="22"/>
        </w:rPr>
        <w:t xml:space="preserve">Blood samples will only be collected as a part of a sub-study. The maximum amount of blood collected from each participant over the duration of the study, including any extra assessments that may be required, will not exceed 10 </w:t>
      </w:r>
      <w:proofErr w:type="spellStart"/>
      <w:r w:rsidRPr="00371DCB">
        <w:rPr>
          <w:rFonts w:ascii="Arial" w:hAnsi="Arial" w:cs="Arial"/>
          <w:i/>
          <w:sz w:val="22"/>
          <w:szCs w:val="22"/>
        </w:rPr>
        <w:t>mL.</w:t>
      </w:r>
      <w:proofErr w:type="spellEnd"/>
    </w:p>
    <w:p w14:paraId="23337593" w14:textId="77777777" w:rsidR="00F554D1" w:rsidRPr="00371DCB" w:rsidRDefault="00F554D1" w:rsidP="00FB2D39">
      <w:pPr>
        <w:pStyle w:val="Heading2"/>
        <w:jc w:val="both"/>
      </w:pPr>
      <w:bookmarkStart w:id="104" w:name="_Toc36029535"/>
      <w:bookmarkStart w:id="105" w:name="_Toc38818783"/>
      <w:r w:rsidRPr="00371DCB">
        <w:t>Efficacy Assessments</w:t>
      </w:r>
      <w:bookmarkEnd w:id="104"/>
      <w:bookmarkEnd w:id="105"/>
    </w:p>
    <w:p w14:paraId="08324BC4" w14:textId="77777777" w:rsidR="00F554D1" w:rsidRPr="00371DCB" w:rsidRDefault="00F554D1" w:rsidP="00FB2D39">
      <w:pPr>
        <w:pStyle w:val="Heading3"/>
        <w:jc w:val="both"/>
      </w:pPr>
      <w:bookmarkStart w:id="106" w:name="_Toc36029536"/>
      <w:bookmarkStart w:id="107" w:name="_Toc38818784"/>
      <w:r w:rsidRPr="00371DCB">
        <w:t>Mid-nasal Swab</w:t>
      </w:r>
      <w:bookmarkEnd w:id="106"/>
      <w:bookmarkEnd w:id="107"/>
    </w:p>
    <w:p w14:paraId="0C915CFF" w14:textId="4B0A6EFA" w:rsidR="00F554D1" w:rsidRPr="00371DCB" w:rsidRDefault="00F554D1" w:rsidP="00FB2D39">
      <w:pPr>
        <w:jc w:val="both"/>
        <w:rPr>
          <w:rFonts w:ascii="Arial" w:hAnsi="Arial" w:cs="Arial"/>
          <w:color w:val="000000" w:themeColor="text1"/>
          <w:sz w:val="22"/>
          <w:szCs w:val="22"/>
        </w:rPr>
      </w:pPr>
      <w:r w:rsidRPr="00371DCB">
        <w:rPr>
          <w:rFonts w:ascii="Arial" w:hAnsi="Arial" w:cs="Arial"/>
          <w:color w:val="000000" w:themeColor="text1"/>
          <w:sz w:val="22"/>
          <w:szCs w:val="22"/>
        </w:rPr>
        <w:t>Participants will collect mid-nasal swabs for</w:t>
      </w:r>
      <w:r w:rsidR="00721B0D">
        <w:rPr>
          <w:rFonts w:ascii="Arial" w:hAnsi="Arial" w:cs="Arial"/>
          <w:color w:val="000000" w:themeColor="text1"/>
          <w:sz w:val="22"/>
          <w:szCs w:val="22"/>
        </w:rPr>
        <w:t xml:space="preserve"> </w:t>
      </w:r>
      <w:r w:rsidRPr="00371DCB">
        <w:rPr>
          <w:rFonts w:ascii="Arial" w:hAnsi="Arial" w:cs="Arial"/>
          <w:color w:val="000000" w:themeColor="text1"/>
          <w:sz w:val="22"/>
          <w:szCs w:val="22"/>
        </w:rPr>
        <w:t>viral detection</w:t>
      </w:r>
      <w:r w:rsidR="00D268BD" w:rsidRPr="00371DCB">
        <w:rPr>
          <w:rFonts w:ascii="Arial" w:hAnsi="Arial" w:cs="Arial"/>
          <w:color w:val="000000" w:themeColor="text1"/>
          <w:sz w:val="22"/>
          <w:szCs w:val="22"/>
        </w:rPr>
        <w:t xml:space="preserve"> at Day 1, Day 5 and Day 10</w:t>
      </w:r>
      <w:r w:rsidRPr="00371DCB">
        <w:rPr>
          <w:rFonts w:ascii="Arial" w:hAnsi="Arial" w:cs="Arial"/>
          <w:color w:val="000000" w:themeColor="text1"/>
          <w:sz w:val="22"/>
          <w:szCs w:val="22"/>
        </w:rPr>
        <w:t>.</w:t>
      </w:r>
      <w:r w:rsidR="00C91144" w:rsidRPr="00371DCB">
        <w:rPr>
          <w:rFonts w:ascii="Arial" w:hAnsi="Arial" w:cs="Arial"/>
          <w:color w:val="000000" w:themeColor="text1"/>
          <w:sz w:val="22"/>
          <w:szCs w:val="22"/>
        </w:rPr>
        <w:t xml:space="preserve"> If the preliminary reports prove reproducible, these could be replaced by saliva samples which would be preferable for a number of reasons.</w:t>
      </w:r>
    </w:p>
    <w:p w14:paraId="3FA95E5B" w14:textId="0ECACC70" w:rsidR="00F554D1" w:rsidRPr="00371DCB" w:rsidRDefault="00F554D1" w:rsidP="00FB2D39">
      <w:pPr>
        <w:jc w:val="both"/>
        <w:rPr>
          <w:rFonts w:ascii="Arial" w:hAnsi="Arial" w:cs="Arial"/>
          <w:sz w:val="22"/>
          <w:szCs w:val="22"/>
        </w:rPr>
      </w:pPr>
      <w:r w:rsidRPr="00371DCB">
        <w:rPr>
          <w:rFonts w:ascii="Arial" w:hAnsi="Arial" w:cs="Arial"/>
          <w:sz w:val="22"/>
          <w:szCs w:val="22"/>
        </w:rPr>
        <w:t>Participants will receive a swab kit</w:t>
      </w:r>
      <w:r w:rsidR="009A455B" w:rsidRPr="00371DCB">
        <w:rPr>
          <w:rFonts w:ascii="Arial" w:hAnsi="Arial" w:cs="Arial"/>
          <w:sz w:val="22"/>
          <w:szCs w:val="22"/>
        </w:rPr>
        <w:t>.</w:t>
      </w:r>
    </w:p>
    <w:p w14:paraId="5F9599FB" w14:textId="5D4793D4"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Participants will collect and store their nasal swabs in a box for </w:t>
      </w:r>
      <w:r w:rsidR="009A455B" w:rsidRPr="00371DCB">
        <w:rPr>
          <w:rFonts w:ascii="Arial" w:hAnsi="Arial" w:cs="Arial"/>
          <w:sz w:val="22"/>
          <w:szCs w:val="22"/>
        </w:rPr>
        <w:t>pick up</w:t>
      </w:r>
      <w:r w:rsidRPr="00371DCB">
        <w:rPr>
          <w:rFonts w:ascii="Arial" w:hAnsi="Arial" w:cs="Arial"/>
          <w:sz w:val="22"/>
          <w:szCs w:val="22"/>
        </w:rPr>
        <w:t>.</w:t>
      </w:r>
    </w:p>
    <w:p w14:paraId="0941129F" w14:textId="1DFF184A"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The used swabs will be collected by the </w:t>
      </w:r>
      <w:r w:rsidR="009A455B" w:rsidRPr="00371DCB">
        <w:rPr>
          <w:rFonts w:ascii="Arial" w:hAnsi="Arial" w:cs="Arial"/>
          <w:sz w:val="22"/>
          <w:szCs w:val="22"/>
        </w:rPr>
        <w:t>study drivers</w:t>
      </w:r>
      <w:r w:rsidRPr="00371DCB">
        <w:rPr>
          <w:rFonts w:ascii="Arial" w:hAnsi="Arial" w:cs="Arial"/>
          <w:sz w:val="22"/>
          <w:szCs w:val="22"/>
        </w:rPr>
        <w:t>.</w:t>
      </w:r>
    </w:p>
    <w:p w14:paraId="20740879" w14:textId="5C2BDD94" w:rsidR="00F554D1" w:rsidRPr="00371DCB" w:rsidRDefault="00F554D1" w:rsidP="00FB2D39">
      <w:pPr>
        <w:jc w:val="both"/>
        <w:rPr>
          <w:rFonts w:ascii="Arial" w:hAnsi="Arial" w:cs="Arial"/>
          <w:sz w:val="22"/>
          <w:szCs w:val="22"/>
        </w:rPr>
      </w:pPr>
      <w:r w:rsidRPr="00371DCB">
        <w:rPr>
          <w:rFonts w:ascii="Arial" w:hAnsi="Arial" w:cs="Arial"/>
          <w:sz w:val="22"/>
          <w:szCs w:val="22"/>
        </w:rPr>
        <w:t>Swabs will be subjected to</w:t>
      </w:r>
      <w:r w:rsidR="00721B0D">
        <w:rPr>
          <w:rFonts w:ascii="Arial" w:hAnsi="Arial" w:cs="Arial"/>
          <w:sz w:val="22"/>
          <w:szCs w:val="22"/>
        </w:rPr>
        <w:t xml:space="preserve"> quantitative</w:t>
      </w:r>
      <w:r w:rsidRPr="00371DCB">
        <w:rPr>
          <w:rFonts w:ascii="Arial" w:hAnsi="Arial" w:cs="Arial"/>
          <w:sz w:val="22"/>
          <w:szCs w:val="22"/>
        </w:rPr>
        <w:t xml:space="preserve"> RNA amplification and tested for SARS-CoV</w:t>
      </w:r>
      <w:r w:rsidRPr="00371DCB">
        <w:rPr>
          <w:rFonts w:ascii="Arial" w:hAnsi="Arial" w:cs="Arial"/>
          <w:sz w:val="22"/>
          <w:szCs w:val="22"/>
        </w:rPr>
        <w:noBreakHyphen/>
        <w:t>2.</w:t>
      </w:r>
    </w:p>
    <w:p w14:paraId="1E75D1F7" w14:textId="77777777" w:rsidR="00F554D1" w:rsidRPr="00371DCB" w:rsidRDefault="00F554D1" w:rsidP="00FB2D39">
      <w:pPr>
        <w:pStyle w:val="Heading3"/>
        <w:jc w:val="both"/>
      </w:pPr>
      <w:bookmarkStart w:id="108" w:name="_Toc36029537"/>
      <w:bookmarkStart w:id="109" w:name="_Toc38818785"/>
      <w:r w:rsidRPr="00371DCB">
        <w:t>Participant Survey</w:t>
      </w:r>
      <w:bookmarkEnd w:id="108"/>
      <w:bookmarkEnd w:id="109"/>
    </w:p>
    <w:p w14:paraId="2904B990"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Participants will be asked to complete Surveys (Daily Survey and Exit Contact Survey) that will include questions about symptoms from both the drug regimen, review of concomitant medications. A modified baseline and transitional </w:t>
      </w:r>
      <w:proofErr w:type="spellStart"/>
      <w:r w:rsidRPr="00371DCB">
        <w:rPr>
          <w:rFonts w:ascii="Arial" w:hAnsi="Arial" w:cs="Arial"/>
          <w:sz w:val="22"/>
          <w:szCs w:val="22"/>
        </w:rPr>
        <w:t>dyspnea</w:t>
      </w:r>
      <w:proofErr w:type="spellEnd"/>
      <w:r w:rsidRPr="00371DCB">
        <w:rPr>
          <w:rFonts w:ascii="Arial" w:hAnsi="Arial" w:cs="Arial"/>
          <w:sz w:val="22"/>
          <w:szCs w:val="22"/>
        </w:rPr>
        <w:t xml:space="preserve"> index survey will be utilized on a daily basis to assess </w:t>
      </w:r>
      <w:proofErr w:type="spellStart"/>
      <w:r w:rsidRPr="00371DCB">
        <w:rPr>
          <w:rFonts w:ascii="Arial" w:hAnsi="Arial" w:cs="Arial"/>
          <w:sz w:val="22"/>
          <w:szCs w:val="22"/>
        </w:rPr>
        <w:t>dyspnea</w:t>
      </w:r>
      <w:proofErr w:type="spellEnd"/>
      <w:r w:rsidRPr="00371DCB">
        <w:rPr>
          <w:rFonts w:ascii="Arial" w:hAnsi="Arial" w:cs="Arial"/>
          <w:sz w:val="22"/>
          <w:szCs w:val="22"/>
        </w:rPr>
        <w:t>.</w:t>
      </w:r>
    </w:p>
    <w:p w14:paraId="6FCA6956" w14:textId="77777777" w:rsidR="00373815" w:rsidRPr="00371DCB" w:rsidRDefault="00373815" w:rsidP="00FB2D39">
      <w:pPr>
        <w:pStyle w:val="Heading2"/>
        <w:jc w:val="both"/>
      </w:pPr>
      <w:bookmarkStart w:id="110" w:name="_Ref35201388"/>
      <w:bookmarkStart w:id="111" w:name="_Toc37576927"/>
      <w:bookmarkStart w:id="112" w:name="_Toc38818786"/>
      <w:r w:rsidRPr="00371DCB">
        <w:t>Adverse Events</w:t>
      </w:r>
      <w:bookmarkEnd w:id="110"/>
      <w:bookmarkEnd w:id="111"/>
      <w:bookmarkEnd w:id="112"/>
    </w:p>
    <w:p w14:paraId="48A37E53"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Participants will be asked to complete Surveys (Daily Survey and Exit Contact Survey) that include information on any symptoms that they are experiencing. In addition, AE review by a staff member (via telephone, Telehealth, or text messaging) will be performed.</w:t>
      </w:r>
    </w:p>
    <w:p w14:paraId="4332226D"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All AEs must be recorded on electronic case report forms (eCRFs) if any of the following criteria have been met:</w:t>
      </w:r>
    </w:p>
    <w:p w14:paraId="755F7521" w14:textId="77777777" w:rsidR="00F554D1" w:rsidRPr="00371DCB" w:rsidRDefault="00F554D1" w:rsidP="00FB2D39">
      <w:pPr>
        <w:pStyle w:val="ListParagraph"/>
        <w:numPr>
          <w:ilvl w:val="0"/>
          <w:numId w:val="2"/>
        </w:numPr>
        <w:rPr>
          <w:rFonts w:ascii="Arial" w:hAnsi="Arial" w:cs="Arial"/>
          <w:sz w:val="22"/>
          <w:szCs w:val="22"/>
        </w:rPr>
      </w:pPr>
      <w:r w:rsidRPr="00371DCB">
        <w:rPr>
          <w:rFonts w:ascii="Arial" w:hAnsi="Arial" w:cs="Arial"/>
          <w:sz w:val="22"/>
          <w:szCs w:val="22"/>
        </w:rPr>
        <w:t>All AEs meeting SAE definition</w:t>
      </w:r>
    </w:p>
    <w:p w14:paraId="04550D85" w14:textId="77777777" w:rsidR="00F554D1" w:rsidRPr="00371DCB" w:rsidRDefault="00F554D1" w:rsidP="00FB2D39">
      <w:pPr>
        <w:pStyle w:val="Heading3"/>
        <w:jc w:val="both"/>
      </w:pPr>
      <w:bookmarkStart w:id="113" w:name="_Toc36029539"/>
      <w:bookmarkStart w:id="114" w:name="_Toc38818787"/>
      <w:r w:rsidRPr="00371DCB">
        <w:lastRenderedPageBreak/>
        <w:t>Serious Adverse Events</w:t>
      </w:r>
      <w:bookmarkEnd w:id="113"/>
      <w:bookmarkEnd w:id="114"/>
    </w:p>
    <w:p w14:paraId="4DF463B5"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An SAE is defined as any untoward medical occurrence that:</w:t>
      </w:r>
    </w:p>
    <w:p w14:paraId="33A20007" w14:textId="77777777" w:rsidR="00F554D1" w:rsidRPr="00371DCB" w:rsidRDefault="00F554D1" w:rsidP="00FB2D39">
      <w:pPr>
        <w:pStyle w:val="ListParagraph"/>
        <w:numPr>
          <w:ilvl w:val="0"/>
          <w:numId w:val="2"/>
        </w:numPr>
        <w:rPr>
          <w:rFonts w:ascii="Arial" w:hAnsi="Arial" w:cs="Arial"/>
          <w:sz w:val="22"/>
          <w:szCs w:val="22"/>
        </w:rPr>
      </w:pPr>
      <w:r w:rsidRPr="00371DCB">
        <w:rPr>
          <w:rFonts w:ascii="Arial" w:hAnsi="Arial" w:cs="Arial"/>
          <w:sz w:val="22"/>
          <w:szCs w:val="22"/>
        </w:rPr>
        <w:t>Results in death</w:t>
      </w:r>
    </w:p>
    <w:p w14:paraId="68E7EE3F" w14:textId="77777777" w:rsidR="00F554D1" w:rsidRPr="00371DCB" w:rsidRDefault="00F554D1" w:rsidP="00FB2D39">
      <w:pPr>
        <w:pStyle w:val="ListParagraph"/>
        <w:numPr>
          <w:ilvl w:val="0"/>
          <w:numId w:val="2"/>
        </w:numPr>
        <w:rPr>
          <w:rFonts w:ascii="Arial" w:hAnsi="Arial" w:cs="Arial"/>
          <w:sz w:val="22"/>
          <w:szCs w:val="22"/>
        </w:rPr>
      </w:pPr>
      <w:r w:rsidRPr="00371DCB">
        <w:rPr>
          <w:rFonts w:ascii="Arial" w:hAnsi="Arial" w:cs="Arial"/>
          <w:sz w:val="22"/>
          <w:szCs w:val="22"/>
        </w:rPr>
        <w:t>Is life-threatening</w:t>
      </w:r>
    </w:p>
    <w:p w14:paraId="24ABE1B2" w14:textId="77777777" w:rsidR="00F554D1" w:rsidRPr="00371DCB" w:rsidRDefault="00F554D1" w:rsidP="00FB2D39">
      <w:pPr>
        <w:pStyle w:val="ListParagraph"/>
        <w:numPr>
          <w:ilvl w:val="0"/>
          <w:numId w:val="2"/>
        </w:numPr>
        <w:rPr>
          <w:rFonts w:ascii="Arial" w:hAnsi="Arial" w:cs="Arial"/>
          <w:sz w:val="22"/>
          <w:szCs w:val="22"/>
        </w:rPr>
      </w:pPr>
      <w:r w:rsidRPr="00371DCB">
        <w:rPr>
          <w:rFonts w:ascii="Arial" w:hAnsi="Arial" w:cs="Arial"/>
          <w:sz w:val="22"/>
          <w:szCs w:val="22"/>
        </w:rPr>
        <w:t>Requires inpatient hospitalization or prolongation of existing hospitalization</w:t>
      </w:r>
    </w:p>
    <w:p w14:paraId="70FE3856" w14:textId="77777777" w:rsidR="00F554D1" w:rsidRPr="00371DCB" w:rsidRDefault="00F554D1" w:rsidP="00FB2D39">
      <w:pPr>
        <w:pStyle w:val="ListParagraph"/>
        <w:numPr>
          <w:ilvl w:val="0"/>
          <w:numId w:val="2"/>
        </w:numPr>
        <w:rPr>
          <w:rFonts w:ascii="Arial" w:hAnsi="Arial" w:cs="Arial"/>
          <w:sz w:val="22"/>
          <w:szCs w:val="22"/>
        </w:rPr>
      </w:pPr>
      <w:r w:rsidRPr="00371DCB">
        <w:rPr>
          <w:rFonts w:ascii="Arial" w:hAnsi="Arial" w:cs="Arial"/>
          <w:sz w:val="22"/>
          <w:szCs w:val="22"/>
        </w:rPr>
        <w:t>Results in persistent or significant disability/incapacity</w:t>
      </w:r>
    </w:p>
    <w:p w14:paraId="63C430CE" w14:textId="77777777" w:rsidR="00F554D1" w:rsidRPr="00371DCB" w:rsidRDefault="00F554D1" w:rsidP="00FB2D39">
      <w:pPr>
        <w:pStyle w:val="ListParagraph"/>
        <w:numPr>
          <w:ilvl w:val="0"/>
          <w:numId w:val="2"/>
        </w:numPr>
        <w:rPr>
          <w:rFonts w:ascii="Arial" w:hAnsi="Arial" w:cs="Arial"/>
          <w:sz w:val="22"/>
          <w:szCs w:val="22"/>
        </w:rPr>
      </w:pPr>
      <w:r w:rsidRPr="00371DCB">
        <w:rPr>
          <w:rFonts w:ascii="Arial" w:hAnsi="Arial" w:cs="Arial"/>
          <w:sz w:val="22"/>
          <w:szCs w:val="22"/>
        </w:rPr>
        <w:t>Is an important medical event that may not be immediately life-threatening or result in death or hospitalization but may jeopardize the patient or may require intervention to prevent one of the other outcomes listed in the definition above</w:t>
      </w:r>
    </w:p>
    <w:p w14:paraId="78912886"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All AEs that are recorded must have their severity graded. To grade AEs, sites should refer to the DAIDS AE Grading Table, corrected Version 2.1, July 2017, which can be found on the DAIDS Regulatory Support </w:t>
      </w:r>
      <w:proofErr w:type="spellStart"/>
      <w:r w:rsidRPr="00371DCB">
        <w:rPr>
          <w:rFonts w:ascii="Arial" w:hAnsi="Arial" w:cs="Arial"/>
          <w:sz w:val="22"/>
          <w:szCs w:val="22"/>
        </w:rPr>
        <w:t>Center</w:t>
      </w:r>
      <w:proofErr w:type="spellEnd"/>
      <w:r w:rsidRPr="00371DCB">
        <w:rPr>
          <w:rFonts w:ascii="Arial" w:hAnsi="Arial" w:cs="Arial"/>
          <w:sz w:val="22"/>
          <w:szCs w:val="22"/>
        </w:rPr>
        <w:t xml:space="preserve"> website at </w:t>
      </w:r>
      <w:bookmarkStart w:id="115" w:name="_Hlk35193289"/>
      <w:r w:rsidRPr="00371DCB">
        <w:fldChar w:fldCharType="begin"/>
      </w:r>
      <w:r w:rsidRPr="00371DCB">
        <w:rPr>
          <w:rFonts w:ascii="Arial" w:hAnsi="Arial" w:cs="Arial"/>
          <w:sz w:val="22"/>
          <w:szCs w:val="22"/>
        </w:rPr>
        <w:instrText xml:space="preserve"> HYPERLINK "https://rsc.tech-res.com/docs/default-source/safety/division-of-aids-(daids)-table-for-grading-the-severity-of-adult-and-pediatric-adverse-events-corrected-v-2-1.pdf" </w:instrText>
      </w:r>
      <w:r w:rsidRPr="00371DCB">
        <w:fldChar w:fldCharType="separate"/>
      </w:r>
      <w:r w:rsidRPr="00371DCB">
        <w:rPr>
          <w:rStyle w:val="Hyperlink"/>
          <w:rFonts w:ascii="Arial" w:hAnsi="Arial" w:cs="Arial"/>
          <w:sz w:val="22"/>
          <w:szCs w:val="22"/>
        </w:rPr>
        <w:t>https://rsc.tech-res.com/docs/default-source/safety/division-of-aids-(daids)-table-for-grading-the-severity-of-adult-and-pediatric-adverse-events-corrected-v-2-1.pdf</w:t>
      </w:r>
      <w:r w:rsidRPr="00371DCB">
        <w:rPr>
          <w:rStyle w:val="Hyperlink"/>
          <w:rFonts w:ascii="Arial" w:hAnsi="Arial" w:cs="Arial"/>
          <w:sz w:val="22"/>
          <w:szCs w:val="22"/>
        </w:rPr>
        <w:fldChar w:fldCharType="end"/>
      </w:r>
      <w:bookmarkEnd w:id="115"/>
      <w:r w:rsidRPr="00371DCB">
        <w:rPr>
          <w:rStyle w:val="Hyperlink"/>
          <w:rFonts w:ascii="Arial" w:hAnsi="Arial" w:cs="Arial"/>
          <w:sz w:val="22"/>
          <w:szCs w:val="22"/>
        </w:rPr>
        <w:t>.</w:t>
      </w:r>
    </w:p>
    <w:p w14:paraId="73CC86C6" w14:textId="06FC0AD5" w:rsidR="00F554D1" w:rsidRPr="00371DCB" w:rsidRDefault="00F554D1" w:rsidP="00FB2D39">
      <w:pPr>
        <w:pStyle w:val="Heading3"/>
        <w:jc w:val="both"/>
      </w:pPr>
      <w:bookmarkStart w:id="116" w:name="_Toc36029540"/>
      <w:bookmarkStart w:id="117" w:name="_Toc38818788"/>
      <w:r w:rsidRPr="00371DCB">
        <w:t xml:space="preserve">AE and SAE Attribution to </w:t>
      </w:r>
      <w:bookmarkEnd w:id="116"/>
      <w:r w:rsidRPr="00371DCB">
        <w:t>LPV/r</w:t>
      </w:r>
      <w:bookmarkEnd w:id="117"/>
      <w:r w:rsidR="009A455B" w:rsidRPr="00371DCB">
        <w:t xml:space="preserve"> or azithromycin</w:t>
      </w:r>
    </w:p>
    <w:p w14:paraId="085B61EE" w14:textId="5929C4D9" w:rsidR="00F554D1" w:rsidRPr="00371DCB" w:rsidRDefault="00F554D1" w:rsidP="00FB2D39">
      <w:pPr>
        <w:jc w:val="both"/>
        <w:rPr>
          <w:rFonts w:ascii="Arial" w:hAnsi="Arial" w:cs="Arial"/>
          <w:sz w:val="22"/>
          <w:szCs w:val="22"/>
          <w:highlight w:val="yellow"/>
        </w:rPr>
      </w:pPr>
      <w:r w:rsidRPr="00371DCB">
        <w:rPr>
          <w:rFonts w:ascii="Arial" w:hAnsi="Arial" w:cs="Arial"/>
          <w:sz w:val="22"/>
          <w:szCs w:val="22"/>
        </w:rPr>
        <w:t>In those randomized to receive LPV/r</w:t>
      </w:r>
      <w:r w:rsidR="009A455B" w:rsidRPr="00371DCB">
        <w:rPr>
          <w:rFonts w:ascii="Arial" w:hAnsi="Arial" w:cs="Arial"/>
          <w:sz w:val="22"/>
          <w:szCs w:val="22"/>
        </w:rPr>
        <w:t xml:space="preserve"> or azithromycin</w:t>
      </w:r>
      <w:r w:rsidRPr="00371DCB">
        <w:rPr>
          <w:rFonts w:ascii="Arial" w:hAnsi="Arial" w:cs="Arial"/>
          <w:sz w:val="22"/>
          <w:szCs w:val="22"/>
        </w:rPr>
        <w:t xml:space="preserve">, all AEs and SAEs should have attribution recorded as </w:t>
      </w:r>
      <w:r w:rsidR="009A455B" w:rsidRPr="00371DCB">
        <w:rPr>
          <w:rFonts w:ascii="Arial" w:hAnsi="Arial" w:cs="Arial"/>
          <w:sz w:val="22"/>
          <w:szCs w:val="22"/>
        </w:rPr>
        <w:t xml:space="preserve">LPV/r or azithromycin </w:t>
      </w:r>
      <w:r w:rsidRPr="00371DCB">
        <w:rPr>
          <w:rFonts w:ascii="Arial" w:hAnsi="Arial" w:cs="Arial"/>
          <w:sz w:val="22"/>
          <w:szCs w:val="22"/>
        </w:rPr>
        <w:t>related or not related, in the judgment of the site Investigator.</w:t>
      </w:r>
    </w:p>
    <w:p w14:paraId="34C88EA6" w14:textId="77777777" w:rsidR="00F554D1" w:rsidRPr="00371DCB" w:rsidRDefault="00F554D1" w:rsidP="00FB2D39">
      <w:pPr>
        <w:pStyle w:val="Heading2"/>
        <w:jc w:val="both"/>
      </w:pPr>
      <w:bookmarkStart w:id="118" w:name="_Toc36029541"/>
      <w:bookmarkStart w:id="119" w:name="_Toc38818789"/>
      <w:bookmarkStart w:id="120" w:name="_Toc379459706"/>
      <w:r w:rsidRPr="00371DCB">
        <w:t>Treatment of Overdose</w:t>
      </w:r>
      <w:bookmarkEnd w:id="118"/>
      <w:bookmarkEnd w:id="119"/>
    </w:p>
    <w:p w14:paraId="0D155012" w14:textId="47B9F8CA"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Overdose of </w:t>
      </w:r>
      <w:r w:rsidR="007A7C87" w:rsidRPr="00371DCB">
        <w:rPr>
          <w:rFonts w:ascii="Arial" w:hAnsi="Arial" w:cs="Arial"/>
          <w:sz w:val="22"/>
          <w:szCs w:val="22"/>
        </w:rPr>
        <w:t>experimental regimens</w:t>
      </w:r>
      <w:r w:rsidRPr="00371DCB">
        <w:rPr>
          <w:rFonts w:ascii="Arial" w:hAnsi="Arial" w:cs="Arial"/>
          <w:sz w:val="22"/>
          <w:szCs w:val="22"/>
        </w:rPr>
        <w:t xml:space="preserve"> should be managed according to the </w:t>
      </w:r>
      <w:proofErr w:type="spellStart"/>
      <w:r w:rsidRPr="00371DCB">
        <w:rPr>
          <w:rFonts w:ascii="Arial" w:hAnsi="Arial" w:cs="Arial"/>
          <w:sz w:val="22"/>
          <w:szCs w:val="22"/>
        </w:rPr>
        <w:t>labeling</w:t>
      </w:r>
      <w:proofErr w:type="spellEnd"/>
      <w:r w:rsidRPr="00371DCB">
        <w:rPr>
          <w:rFonts w:ascii="Arial" w:hAnsi="Arial" w:cs="Arial"/>
          <w:sz w:val="22"/>
          <w:szCs w:val="22"/>
        </w:rPr>
        <w:t xml:space="preserve"> information (see </w:t>
      </w:r>
      <w:r w:rsidR="00744BB3" w:rsidRPr="00371DCB">
        <w:rPr>
          <w:rFonts w:ascii="Arial" w:hAnsi="Arial" w:cs="Arial"/>
          <w:sz w:val="22"/>
          <w:szCs w:val="22"/>
        </w:rPr>
        <w:t>appendices)</w:t>
      </w:r>
    </w:p>
    <w:p w14:paraId="05AD8D3F"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Ascorbic acid exhibits low toxicity; risks from overdose are expected to be minimal.</w:t>
      </w:r>
      <w:bookmarkStart w:id="121" w:name="_Toc421709273"/>
      <w:bookmarkEnd w:id="120"/>
    </w:p>
    <w:p w14:paraId="6E106108" w14:textId="77777777" w:rsidR="00F554D1" w:rsidRPr="00371DCB" w:rsidRDefault="00F554D1" w:rsidP="00FB2D39">
      <w:pPr>
        <w:pStyle w:val="Heading2"/>
        <w:jc w:val="both"/>
      </w:pPr>
      <w:bookmarkStart w:id="122" w:name="_Toc36029542"/>
      <w:bookmarkStart w:id="123" w:name="_Toc38818790"/>
      <w:r w:rsidRPr="00371DCB">
        <w:t>Safety Assessments</w:t>
      </w:r>
      <w:bookmarkEnd w:id="122"/>
      <w:bookmarkEnd w:id="123"/>
    </w:p>
    <w:bookmarkEnd w:id="121"/>
    <w:p w14:paraId="05676420"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Safety will be assessed via participant Surveys, as shown in the </w:t>
      </w:r>
      <w:proofErr w:type="spellStart"/>
      <w:r w:rsidRPr="00371DCB">
        <w:rPr>
          <w:rFonts w:ascii="Arial" w:hAnsi="Arial" w:cs="Arial"/>
          <w:sz w:val="22"/>
          <w:szCs w:val="22"/>
        </w:rPr>
        <w:t>SoA</w:t>
      </w:r>
      <w:proofErr w:type="spellEnd"/>
      <w:r w:rsidRPr="00371DCB">
        <w:rPr>
          <w:rFonts w:ascii="Arial" w:hAnsi="Arial" w:cs="Arial"/>
          <w:sz w:val="22"/>
          <w:szCs w:val="22"/>
        </w:rPr>
        <w:t>.</w:t>
      </w:r>
    </w:p>
    <w:p w14:paraId="6A78C89C"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Participants will be asked to complete Surveys (Daily Survey and Exit Contact Survey) that include questions about their health, healthcare seeking, symptoms, illness within their household, contact, and mobility. Qualifying events will be recorded on the eCRF and reported as AEs, as described in </w:t>
      </w:r>
      <w:r w:rsidRPr="00371DCB">
        <w:rPr>
          <w:rFonts w:ascii="Arial" w:hAnsi="Arial" w:cs="Arial"/>
          <w:color w:val="0000FF"/>
          <w:sz w:val="22"/>
          <w:szCs w:val="22"/>
        </w:rPr>
        <w:t xml:space="preserve">Section </w:t>
      </w:r>
      <w:r w:rsidRPr="00371DCB">
        <w:rPr>
          <w:rFonts w:ascii="Arial" w:hAnsi="Arial" w:cs="Arial"/>
          <w:color w:val="0000FF"/>
          <w:sz w:val="22"/>
          <w:szCs w:val="22"/>
        </w:rPr>
        <w:fldChar w:fldCharType="begin"/>
      </w:r>
      <w:r w:rsidRPr="00371DCB">
        <w:rPr>
          <w:rFonts w:ascii="Arial" w:hAnsi="Arial" w:cs="Arial"/>
          <w:color w:val="0000FF"/>
          <w:sz w:val="22"/>
          <w:szCs w:val="22"/>
        </w:rPr>
        <w:instrText xml:space="preserve"> REF _Ref35201388 \r \h  \* MERGEFORMAT </w:instrText>
      </w:r>
      <w:r w:rsidRPr="00371DCB">
        <w:rPr>
          <w:rFonts w:ascii="Arial" w:hAnsi="Arial" w:cs="Arial"/>
          <w:color w:val="0000FF"/>
          <w:sz w:val="22"/>
          <w:szCs w:val="22"/>
        </w:rPr>
      </w:r>
      <w:r w:rsidRPr="00371DCB">
        <w:rPr>
          <w:rFonts w:ascii="Arial" w:hAnsi="Arial" w:cs="Arial"/>
          <w:color w:val="0000FF"/>
          <w:sz w:val="22"/>
          <w:szCs w:val="22"/>
        </w:rPr>
        <w:fldChar w:fldCharType="separate"/>
      </w:r>
      <w:r w:rsidRPr="00371DCB">
        <w:rPr>
          <w:rFonts w:ascii="Arial" w:hAnsi="Arial" w:cs="Arial"/>
          <w:color w:val="0000FF"/>
          <w:sz w:val="22"/>
          <w:szCs w:val="22"/>
        </w:rPr>
        <w:t>10.2</w:t>
      </w:r>
      <w:r w:rsidRPr="00371DCB">
        <w:rPr>
          <w:rFonts w:ascii="Arial" w:hAnsi="Arial" w:cs="Arial"/>
          <w:color w:val="0000FF"/>
          <w:sz w:val="22"/>
          <w:szCs w:val="22"/>
        </w:rPr>
        <w:fldChar w:fldCharType="end"/>
      </w:r>
      <w:r w:rsidRPr="00371DCB">
        <w:rPr>
          <w:rFonts w:ascii="Arial" w:hAnsi="Arial" w:cs="Arial"/>
          <w:sz w:val="22"/>
          <w:szCs w:val="22"/>
        </w:rPr>
        <w:t>.</w:t>
      </w:r>
    </w:p>
    <w:p w14:paraId="36B4F039" w14:textId="77777777" w:rsidR="00F554D1" w:rsidRPr="00371DCB" w:rsidRDefault="00F554D1" w:rsidP="00FB2D39">
      <w:pPr>
        <w:pStyle w:val="Heading2"/>
        <w:jc w:val="both"/>
      </w:pPr>
      <w:bookmarkStart w:id="124" w:name="_Toc36029543"/>
      <w:bookmarkStart w:id="125" w:name="_Toc38818791"/>
      <w:r w:rsidRPr="00371DCB">
        <w:t>Dried Blood Spot Optional Sub-study</w:t>
      </w:r>
      <w:bookmarkEnd w:id="124"/>
      <w:bookmarkEnd w:id="125"/>
    </w:p>
    <w:p w14:paraId="6A325543" w14:textId="0A111A7B" w:rsidR="00F554D1" w:rsidRDefault="00DC3DD7" w:rsidP="00FB2D39">
      <w:pPr>
        <w:jc w:val="both"/>
        <w:rPr>
          <w:rFonts w:ascii="Arial" w:hAnsi="Arial" w:cs="Arial"/>
          <w:sz w:val="22"/>
          <w:szCs w:val="22"/>
        </w:rPr>
      </w:pPr>
      <w:r w:rsidRPr="00407E17">
        <w:rPr>
          <w:rFonts w:ascii="Arial" w:hAnsi="Arial" w:cs="Arial"/>
          <w:sz w:val="22"/>
          <w:szCs w:val="22"/>
        </w:rPr>
        <w:t xml:space="preserve">Participants </w:t>
      </w:r>
      <w:r w:rsidR="00FE4859">
        <w:rPr>
          <w:rFonts w:ascii="Arial" w:hAnsi="Arial" w:cs="Arial"/>
          <w:sz w:val="22"/>
          <w:szCs w:val="22"/>
        </w:rPr>
        <w:t>will</w:t>
      </w:r>
      <w:r w:rsidRPr="00407E17">
        <w:rPr>
          <w:rFonts w:ascii="Arial" w:hAnsi="Arial" w:cs="Arial"/>
          <w:sz w:val="22"/>
          <w:szCs w:val="22"/>
        </w:rPr>
        <w:t xml:space="preserve"> be </w:t>
      </w:r>
      <w:r w:rsidR="00FE4859">
        <w:rPr>
          <w:rFonts w:ascii="Arial" w:hAnsi="Arial" w:cs="Arial"/>
          <w:sz w:val="22"/>
          <w:szCs w:val="22"/>
        </w:rPr>
        <w:t>invited</w:t>
      </w:r>
      <w:r w:rsidRPr="00407E17">
        <w:rPr>
          <w:rFonts w:ascii="Arial" w:hAnsi="Arial" w:cs="Arial"/>
          <w:sz w:val="22"/>
          <w:szCs w:val="22"/>
        </w:rPr>
        <w:t xml:space="preserve"> to provide a dried blood spot (DBS) sample for therapy concentration and pharmacokinetics of the medications as well as for SARS-CoV-2 antibody testing. These samples will be collected and stored. </w:t>
      </w:r>
      <w:r w:rsidR="00F554D1" w:rsidRPr="00614658">
        <w:rPr>
          <w:rFonts w:ascii="Arial" w:hAnsi="Arial" w:cs="Arial"/>
          <w:sz w:val="22"/>
          <w:szCs w:val="22"/>
        </w:rPr>
        <w:t xml:space="preserve">For </w:t>
      </w:r>
      <w:r w:rsidR="00FE4859">
        <w:rPr>
          <w:rFonts w:ascii="Arial" w:hAnsi="Arial" w:cs="Arial"/>
          <w:sz w:val="22"/>
          <w:szCs w:val="22"/>
        </w:rPr>
        <w:t>participants</w:t>
      </w:r>
      <w:r w:rsidR="00F554D1" w:rsidRPr="00614658">
        <w:rPr>
          <w:rFonts w:ascii="Arial" w:hAnsi="Arial" w:cs="Arial"/>
          <w:sz w:val="22"/>
          <w:szCs w:val="22"/>
        </w:rPr>
        <w:t xml:space="preserve"> not wis</w:t>
      </w:r>
      <w:r w:rsidR="00DB60FE">
        <w:rPr>
          <w:rFonts w:ascii="Arial" w:hAnsi="Arial" w:cs="Arial"/>
          <w:sz w:val="22"/>
          <w:szCs w:val="22"/>
        </w:rPr>
        <w:t>hing to participate in the DBS s</w:t>
      </w:r>
      <w:r w:rsidR="00F554D1" w:rsidRPr="00614658">
        <w:rPr>
          <w:rFonts w:ascii="Arial" w:hAnsi="Arial" w:cs="Arial"/>
          <w:sz w:val="22"/>
          <w:szCs w:val="22"/>
        </w:rPr>
        <w:t>ub</w:t>
      </w:r>
      <w:r w:rsidR="00F554D1" w:rsidRPr="00614658">
        <w:rPr>
          <w:rFonts w:ascii="Arial" w:hAnsi="Arial" w:cs="Arial"/>
          <w:sz w:val="22"/>
          <w:szCs w:val="22"/>
        </w:rPr>
        <w:noBreakHyphen/>
        <w:t>study, this will not be considered a protocol deviation.</w:t>
      </w:r>
      <w:r w:rsidR="00DB60FE">
        <w:rPr>
          <w:rFonts w:ascii="Arial" w:hAnsi="Arial" w:cs="Arial"/>
          <w:sz w:val="22"/>
          <w:szCs w:val="22"/>
        </w:rPr>
        <w:t xml:space="preserve"> </w:t>
      </w:r>
      <w:r w:rsidR="00F554D1" w:rsidRPr="00614658">
        <w:rPr>
          <w:rFonts w:ascii="Arial" w:hAnsi="Arial" w:cs="Arial"/>
          <w:sz w:val="22"/>
          <w:szCs w:val="22"/>
        </w:rPr>
        <w:t>Participants will receive instructions for DBS self-collection in writing, with telephone, Telehealth, and text messaging options as support. Once cards have been dried, they will be collected by the study courier and returned to the laboratory.</w:t>
      </w:r>
      <w:r w:rsidR="00FE4859">
        <w:rPr>
          <w:rFonts w:ascii="Arial" w:hAnsi="Arial" w:cs="Arial"/>
          <w:sz w:val="22"/>
          <w:szCs w:val="22"/>
        </w:rPr>
        <w:t xml:space="preserve"> </w:t>
      </w:r>
      <w:r w:rsidR="00F554D1" w:rsidRPr="00614658">
        <w:rPr>
          <w:rFonts w:ascii="Arial" w:hAnsi="Arial" w:cs="Arial"/>
          <w:sz w:val="22"/>
          <w:szCs w:val="22"/>
        </w:rPr>
        <w:t xml:space="preserve">The aim of the DBS Sub-study is to evaluate </w:t>
      </w:r>
      <w:r w:rsidR="009A455B" w:rsidRPr="00614658">
        <w:rPr>
          <w:rFonts w:ascii="Arial" w:hAnsi="Arial" w:cs="Arial"/>
          <w:sz w:val="22"/>
          <w:szCs w:val="22"/>
        </w:rPr>
        <w:t xml:space="preserve">investigational </w:t>
      </w:r>
      <w:r w:rsidR="00F554D1" w:rsidRPr="00614658">
        <w:rPr>
          <w:rFonts w:ascii="Arial" w:hAnsi="Arial" w:cs="Arial"/>
          <w:sz w:val="22"/>
          <w:szCs w:val="22"/>
        </w:rPr>
        <w:t>drug concentrations as an adherence measure and the PK of LPV/r</w:t>
      </w:r>
      <w:r w:rsidR="007066B7" w:rsidRPr="00614658">
        <w:rPr>
          <w:rFonts w:ascii="Arial" w:hAnsi="Arial" w:cs="Arial"/>
          <w:sz w:val="22"/>
          <w:szCs w:val="22"/>
        </w:rPr>
        <w:t xml:space="preserve"> azithromycin</w:t>
      </w:r>
      <w:r w:rsidR="00F554D1" w:rsidRPr="00614658">
        <w:rPr>
          <w:rFonts w:ascii="Arial" w:hAnsi="Arial" w:cs="Arial"/>
          <w:sz w:val="22"/>
          <w:szCs w:val="22"/>
        </w:rPr>
        <w:t xml:space="preserve">. If serological assays for SARS-CoV-2 are available, </w:t>
      </w:r>
      <w:r w:rsidR="00DB60FE">
        <w:rPr>
          <w:rFonts w:ascii="Arial" w:hAnsi="Arial" w:cs="Arial"/>
          <w:sz w:val="22"/>
          <w:szCs w:val="22"/>
        </w:rPr>
        <w:t xml:space="preserve">stored </w:t>
      </w:r>
      <w:r w:rsidR="00F554D1" w:rsidRPr="00614658">
        <w:rPr>
          <w:rFonts w:ascii="Arial" w:hAnsi="Arial" w:cs="Arial"/>
          <w:sz w:val="22"/>
          <w:szCs w:val="22"/>
        </w:rPr>
        <w:t>DBS may be tested for SARS-CoV-2 antibodies.</w:t>
      </w:r>
    </w:p>
    <w:p w14:paraId="7484691D" w14:textId="77777777" w:rsidR="00DB60FE" w:rsidRPr="00614658" w:rsidRDefault="00DB60FE" w:rsidP="00FB2D39">
      <w:pPr>
        <w:jc w:val="both"/>
        <w:rPr>
          <w:rFonts w:ascii="Arial" w:hAnsi="Arial" w:cs="Arial"/>
          <w:iCs/>
          <w:sz w:val="22"/>
          <w:szCs w:val="22"/>
        </w:rPr>
      </w:pPr>
    </w:p>
    <w:p w14:paraId="27FDE52D" w14:textId="77777777" w:rsidR="00F554D1" w:rsidRPr="00DB60FE" w:rsidRDefault="00F554D1" w:rsidP="00FB2D39">
      <w:pPr>
        <w:jc w:val="both"/>
        <w:rPr>
          <w:rFonts w:ascii="Arial" w:hAnsi="Arial" w:cs="Arial"/>
          <w:i/>
          <w:iCs/>
          <w:sz w:val="22"/>
          <w:szCs w:val="22"/>
        </w:rPr>
      </w:pPr>
      <w:r w:rsidRPr="00DB60FE">
        <w:rPr>
          <w:rFonts w:ascii="Arial" w:hAnsi="Arial" w:cs="Arial"/>
          <w:b/>
          <w:bCs/>
          <w:i/>
          <w:sz w:val="22"/>
          <w:szCs w:val="22"/>
        </w:rPr>
        <w:t>Pharmacokinetics</w:t>
      </w:r>
    </w:p>
    <w:p w14:paraId="096BF34F" w14:textId="009B510B" w:rsidR="00F554D1" w:rsidRPr="00614658" w:rsidRDefault="00F554D1" w:rsidP="00FB2D39">
      <w:pPr>
        <w:jc w:val="both"/>
        <w:rPr>
          <w:rFonts w:ascii="Arial" w:hAnsi="Arial" w:cs="Arial"/>
          <w:sz w:val="22"/>
          <w:szCs w:val="22"/>
        </w:rPr>
      </w:pPr>
      <w:r w:rsidRPr="00614658">
        <w:rPr>
          <w:rFonts w:ascii="Arial" w:hAnsi="Arial" w:cs="Arial"/>
          <w:sz w:val="22"/>
          <w:szCs w:val="22"/>
        </w:rPr>
        <w:t xml:space="preserve">The exposure-response relationship of </w:t>
      </w:r>
      <w:r w:rsidR="009A455B" w:rsidRPr="00614658">
        <w:rPr>
          <w:rFonts w:ascii="Arial" w:hAnsi="Arial" w:cs="Arial"/>
          <w:sz w:val="22"/>
          <w:szCs w:val="22"/>
        </w:rPr>
        <w:t>investigational therapies</w:t>
      </w:r>
      <w:r w:rsidRPr="00614658">
        <w:rPr>
          <w:rFonts w:ascii="Arial" w:hAnsi="Arial" w:cs="Arial"/>
          <w:sz w:val="22"/>
          <w:szCs w:val="22"/>
        </w:rPr>
        <w:t xml:space="preserve"> of treated for SARS-CoV-2 has not been established. Population PK analyses can be used to further inform dose selection in other populations and support concentration-response investigations with efficacy and safety outcomes.</w:t>
      </w:r>
      <w:r w:rsidR="00DC3DD7">
        <w:rPr>
          <w:rFonts w:ascii="Arial" w:hAnsi="Arial" w:cs="Arial"/>
          <w:sz w:val="22"/>
          <w:szCs w:val="22"/>
        </w:rPr>
        <w:t xml:space="preserve"> </w:t>
      </w:r>
      <w:r w:rsidRPr="00614658">
        <w:rPr>
          <w:rFonts w:ascii="Arial" w:hAnsi="Arial" w:cs="Arial"/>
          <w:sz w:val="22"/>
          <w:szCs w:val="22"/>
        </w:rPr>
        <w:t xml:space="preserve">To accomplish this, sparse PK sampling techniques can be employed. This would </w:t>
      </w:r>
      <w:r w:rsidRPr="00614658">
        <w:rPr>
          <w:rFonts w:ascii="Arial" w:hAnsi="Arial" w:cs="Arial"/>
          <w:sz w:val="22"/>
          <w:szCs w:val="22"/>
        </w:rPr>
        <w:lastRenderedPageBreak/>
        <w:t>involve collection of whole blood at 1 to 5 times after dosing has commenced. The time of collection post-dose can be random; however, no more than 1 sample per day should be collected.</w:t>
      </w:r>
    </w:p>
    <w:p w14:paraId="7BDF05CF" w14:textId="77777777" w:rsidR="00F554D1" w:rsidRPr="00614658" w:rsidRDefault="00F554D1" w:rsidP="00FB2D39">
      <w:pPr>
        <w:jc w:val="both"/>
        <w:rPr>
          <w:rFonts w:ascii="Arial" w:hAnsi="Arial" w:cs="Arial"/>
          <w:iCs/>
          <w:sz w:val="22"/>
          <w:szCs w:val="22"/>
        </w:rPr>
      </w:pPr>
      <w:r w:rsidRPr="00614658">
        <w:rPr>
          <w:rFonts w:ascii="Arial" w:hAnsi="Arial" w:cs="Arial"/>
          <w:iCs/>
          <w:sz w:val="22"/>
          <w:szCs w:val="22"/>
        </w:rPr>
        <w:t>The basic requirements for PK sampling are as follows:</w:t>
      </w:r>
    </w:p>
    <w:p w14:paraId="35EEE1A4" w14:textId="77777777" w:rsidR="00F554D1" w:rsidRPr="00614658" w:rsidRDefault="00F554D1" w:rsidP="00FB2D39">
      <w:pPr>
        <w:pStyle w:val="ListParagraph"/>
        <w:numPr>
          <w:ilvl w:val="0"/>
          <w:numId w:val="12"/>
        </w:numPr>
        <w:rPr>
          <w:rFonts w:ascii="Arial" w:hAnsi="Arial" w:cs="Arial"/>
          <w:iCs/>
          <w:sz w:val="22"/>
          <w:szCs w:val="22"/>
        </w:rPr>
      </w:pPr>
      <w:r w:rsidRPr="00614658">
        <w:rPr>
          <w:rFonts w:ascii="Arial" w:hAnsi="Arial" w:cs="Arial"/>
          <w:sz w:val="22"/>
          <w:szCs w:val="22"/>
        </w:rPr>
        <w:t>Accurate record of time of the dose prior to the blood sampling (</w:t>
      </w:r>
      <w:proofErr w:type="spellStart"/>
      <w:r w:rsidRPr="00614658">
        <w:rPr>
          <w:rFonts w:ascii="Arial" w:hAnsi="Arial" w:cs="Arial"/>
          <w:sz w:val="22"/>
          <w:szCs w:val="22"/>
        </w:rPr>
        <w:t>dd:</w:t>
      </w:r>
      <w:proofErr w:type="gramStart"/>
      <w:r w:rsidRPr="00614658">
        <w:rPr>
          <w:rFonts w:ascii="Arial" w:hAnsi="Arial" w:cs="Arial"/>
          <w:sz w:val="22"/>
          <w:szCs w:val="22"/>
        </w:rPr>
        <w:t>mm:yy</w:t>
      </w:r>
      <w:proofErr w:type="spellEnd"/>
      <w:proofErr w:type="gramEnd"/>
      <w:r w:rsidRPr="00614658">
        <w:rPr>
          <w:rFonts w:ascii="Arial" w:hAnsi="Arial" w:cs="Arial"/>
          <w:sz w:val="22"/>
          <w:szCs w:val="22"/>
        </w:rPr>
        <w:t xml:space="preserve">; </w:t>
      </w:r>
      <w:proofErr w:type="spellStart"/>
      <w:r w:rsidRPr="00614658">
        <w:rPr>
          <w:rFonts w:ascii="Arial" w:hAnsi="Arial" w:cs="Arial"/>
          <w:sz w:val="22"/>
          <w:szCs w:val="22"/>
        </w:rPr>
        <w:t>hh:mm</w:t>
      </w:r>
      <w:proofErr w:type="spellEnd"/>
      <w:r w:rsidRPr="00614658">
        <w:rPr>
          <w:rFonts w:ascii="Arial" w:hAnsi="Arial" w:cs="Arial"/>
          <w:sz w:val="22"/>
          <w:szCs w:val="22"/>
        </w:rPr>
        <w:t>)</w:t>
      </w:r>
    </w:p>
    <w:p w14:paraId="28532BC5" w14:textId="77777777" w:rsidR="00F554D1" w:rsidRPr="00614658" w:rsidRDefault="00F554D1" w:rsidP="00FB2D39">
      <w:pPr>
        <w:pStyle w:val="ListParagraph"/>
        <w:numPr>
          <w:ilvl w:val="0"/>
          <w:numId w:val="12"/>
        </w:numPr>
        <w:rPr>
          <w:rFonts w:ascii="Arial" w:hAnsi="Arial" w:cs="Arial"/>
          <w:sz w:val="22"/>
          <w:szCs w:val="22"/>
        </w:rPr>
      </w:pPr>
      <w:r w:rsidRPr="00614658">
        <w:rPr>
          <w:rFonts w:ascii="Arial" w:hAnsi="Arial" w:cs="Arial"/>
          <w:sz w:val="22"/>
          <w:szCs w:val="22"/>
        </w:rPr>
        <w:t>Accurate recording of time of blood sampling (</w:t>
      </w:r>
      <w:proofErr w:type="spellStart"/>
      <w:r w:rsidRPr="00614658">
        <w:rPr>
          <w:rFonts w:ascii="Arial" w:hAnsi="Arial" w:cs="Arial"/>
          <w:sz w:val="22"/>
          <w:szCs w:val="22"/>
        </w:rPr>
        <w:t>dd:</w:t>
      </w:r>
      <w:proofErr w:type="gramStart"/>
      <w:r w:rsidRPr="00614658">
        <w:rPr>
          <w:rFonts w:ascii="Arial" w:hAnsi="Arial" w:cs="Arial"/>
          <w:sz w:val="22"/>
          <w:szCs w:val="22"/>
        </w:rPr>
        <w:t>mm:yy</w:t>
      </w:r>
      <w:proofErr w:type="spellEnd"/>
      <w:proofErr w:type="gramEnd"/>
      <w:r w:rsidRPr="00614658">
        <w:rPr>
          <w:rFonts w:ascii="Arial" w:hAnsi="Arial" w:cs="Arial"/>
          <w:sz w:val="22"/>
          <w:szCs w:val="22"/>
        </w:rPr>
        <w:t xml:space="preserve">; </w:t>
      </w:r>
      <w:proofErr w:type="spellStart"/>
      <w:r w:rsidRPr="00614658">
        <w:rPr>
          <w:rFonts w:ascii="Arial" w:hAnsi="Arial" w:cs="Arial"/>
          <w:sz w:val="22"/>
          <w:szCs w:val="22"/>
        </w:rPr>
        <w:t>hh:mm</w:t>
      </w:r>
      <w:proofErr w:type="spellEnd"/>
      <w:r w:rsidRPr="00614658">
        <w:rPr>
          <w:rFonts w:ascii="Arial" w:hAnsi="Arial" w:cs="Arial"/>
          <w:sz w:val="22"/>
          <w:szCs w:val="22"/>
        </w:rPr>
        <w:t>) for each blood sampling.</w:t>
      </w:r>
    </w:p>
    <w:p w14:paraId="19C2DA38" w14:textId="77777777" w:rsidR="00F554D1" w:rsidRPr="00614658" w:rsidRDefault="00F554D1" w:rsidP="00FB2D39">
      <w:pPr>
        <w:pStyle w:val="ListParagraph"/>
        <w:numPr>
          <w:ilvl w:val="0"/>
          <w:numId w:val="12"/>
        </w:numPr>
        <w:rPr>
          <w:rFonts w:ascii="Arial" w:hAnsi="Arial" w:cs="Arial"/>
          <w:iCs/>
          <w:sz w:val="22"/>
          <w:szCs w:val="22"/>
        </w:rPr>
      </w:pPr>
      <w:r w:rsidRPr="00614658">
        <w:rPr>
          <w:rFonts w:ascii="Arial" w:hAnsi="Arial" w:cs="Arial"/>
          <w:iCs/>
          <w:sz w:val="22"/>
          <w:szCs w:val="22"/>
        </w:rPr>
        <w:t>Whole blood can be obtained by venipuncture or capillary blood by skin puncture using a lancet.</w:t>
      </w:r>
    </w:p>
    <w:p w14:paraId="633A4BEA" w14:textId="49B8837A" w:rsidR="00F554D1" w:rsidRPr="00DC3DD7" w:rsidRDefault="00F554D1" w:rsidP="00FB2D39">
      <w:pPr>
        <w:pStyle w:val="ListParagraph"/>
        <w:numPr>
          <w:ilvl w:val="0"/>
          <w:numId w:val="12"/>
        </w:numPr>
        <w:rPr>
          <w:rFonts w:ascii="Arial" w:hAnsi="Arial" w:cs="Arial"/>
          <w:iCs/>
          <w:sz w:val="22"/>
          <w:szCs w:val="22"/>
        </w:rPr>
      </w:pPr>
      <w:r w:rsidRPr="00614658">
        <w:rPr>
          <w:rFonts w:ascii="Arial" w:hAnsi="Arial" w:cs="Arial"/>
          <w:sz w:val="22"/>
          <w:szCs w:val="22"/>
        </w:rPr>
        <w:t>Approximately 100 µL of blood is then applied to filter paper as outlined in</w:t>
      </w:r>
      <w:r w:rsidR="00377738" w:rsidRPr="00614658">
        <w:rPr>
          <w:rFonts w:ascii="Arial" w:hAnsi="Arial" w:cs="Arial"/>
          <w:sz w:val="22"/>
          <w:szCs w:val="22"/>
        </w:rPr>
        <w:t xml:space="preserve"> </w:t>
      </w:r>
      <w:r w:rsidR="00744BB3" w:rsidRPr="00614658">
        <w:rPr>
          <w:rFonts w:ascii="Arial" w:hAnsi="Arial" w:cs="Arial"/>
          <w:sz w:val="22"/>
          <w:szCs w:val="22"/>
        </w:rPr>
        <w:t>the appendix.</w:t>
      </w:r>
    </w:p>
    <w:p w14:paraId="4698C599" w14:textId="35AE15B8" w:rsidR="00DC3DD7" w:rsidRPr="00DC3DD7" w:rsidRDefault="00DC3DD7" w:rsidP="00DC3DD7">
      <w:pPr>
        <w:rPr>
          <w:rFonts w:ascii="Arial" w:hAnsi="Arial" w:cs="Arial"/>
          <w:iCs/>
          <w:sz w:val="22"/>
          <w:szCs w:val="22"/>
        </w:rPr>
      </w:pPr>
      <w:r w:rsidRPr="00407E17">
        <w:rPr>
          <w:rFonts w:ascii="Arial" w:hAnsi="Arial" w:cs="Arial"/>
          <w:sz w:val="22"/>
          <w:szCs w:val="22"/>
        </w:rPr>
        <w:t>The DBS analysis will be performed by the Division of Clinical Pharmacology, Stellenbosch University.</w:t>
      </w:r>
    </w:p>
    <w:p w14:paraId="4E7F4B57" w14:textId="77777777" w:rsidR="00F554D1" w:rsidRPr="00371DCB" w:rsidRDefault="00F554D1" w:rsidP="00FB2D39">
      <w:pPr>
        <w:jc w:val="both"/>
        <w:rPr>
          <w:rFonts w:ascii="Arial" w:hAnsi="Arial" w:cs="Arial"/>
          <w:b/>
          <w:bCs/>
          <w:i/>
          <w:sz w:val="22"/>
          <w:szCs w:val="22"/>
        </w:rPr>
      </w:pPr>
      <w:r w:rsidRPr="00371DCB">
        <w:rPr>
          <w:rFonts w:ascii="Arial" w:hAnsi="Arial" w:cs="Arial"/>
          <w:b/>
          <w:bCs/>
          <w:i/>
          <w:sz w:val="22"/>
          <w:szCs w:val="22"/>
        </w:rPr>
        <w:t>Anti-SARS-CoV-2 Antibody Testing</w:t>
      </w:r>
    </w:p>
    <w:p w14:paraId="50503B6B" w14:textId="77777777" w:rsidR="000B1A76" w:rsidRPr="00407E17" w:rsidRDefault="00F554D1" w:rsidP="000B1A76">
      <w:pPr>
        <w:jc w:val="both"/>
        <w:rPr>
          <w:rFonts w:ascii="Arial" w:hAnsi="Arial" w:cs="Arial"/>
          <w:sz w:val="22"/>
          <w:szCs w:val="22"/>
        </w:rPr>
      </w:pPr>
      <w:r w:rsidRPr="00E50A4E">
        <w:rPr>
          <w:rFonts w:ascii="Arial" w:hAnsi="Arial" w:cs="Arial"/>
          <w:sz w:val="22"/>
          <w:szCs w:val="22"/>
        </w:rPr>
        <w:t>DBS sample for serology will be collected at Day 56 and tested for SARS-CoV-2 antibodies provided that an appropriate test is available.</w:t>
      </w:r>
      <w:r w:rsidR="000B1A76">
        <w:rPr>
          <w:rFonts w:ascii="Arial" w:hAnsi="Arial" w:cs="Arial"/>
          <w:sz w:val="22"/>
          <w:szCs w:val="22"/>
        </w:rPr>
        <w:t xml:space="preserve"> </w:t>
      </w:r>
      <w:r w:rsidR="000B1A76" w:rsidRPr="00407E17">
        <w:rPr>
          <w:rFonts w:ascii="Arial" w:hAnsi="Arial" w:cs="Arial"/>
          <w:sz w:val="22"/>
          <w:szCs w:val="22"/>
        </w:rPr>
        <w:t>The relevant permits including a material transfer agreement (MTA) will be applied for / drafted should SARS-CoV-2 analysis be performed outside Stellenbosch University.</w:t>
      </w:r>
    </w:p>
    <w:p w14:paraId="5C6B8261" w14:textId="77777777" w:rsidR="00F554D1" w:rsidRPr="00371DCB" w:rsidRDefault="00F554D1" w:rsidP="00FB2D39">
      <w:pPr>
        <w:pStyle w:val="Heading2"/>
        <w:jc w:val="both"/>
      </w:pPr>
      <w:bookmarkStart w:id="126" w:name="_Toc36029544"/>
      <w:bookmarkStart w:id="127" w:name="_Toc38818792"/>
      <w:r w:rsidRPr="00371DCB">
        <w:t>Biohazard Containment</w:t>
      </w:r>
      <w:bookmarkEnd w:id="126"/>
      <w:bookmarkEnd w:id="127"/>
    </w:p>
    <w:p w14:paraId="23759F7A"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As the transmission of SARS-CoV-2 and other respiratory droplet pathogens can occur through contact with respiratory droplets and contaminated surfaces, precautions will be employed by all personnel in the handling of all specimens for this study, as currently recommended by the </w:t>
      </w:r>
      <w:proofErr w:type="spellStart"/>
      <w:r w:rsidRPr="00371DCB">
        <w:rPr>
          <w:rFonts w:ascii="Arial" w:hAnsi="Arial" w:cs="Arial"/>
          <w:sz w:val="22"/>
          <w:szCs w:val="22"/>
        </w:rPr>
        <w:t>Centers</w:t>
      </w:r>
      <w:proofErr w:type="spellEnd"/>
      <w:r w:rsidRPr="00371DCB">
        <w:rPr>
          <w:rFonts w:ascii="Arial" w:hAnsi="Arial" w:cs="Arial"/>
          <w:sz w:val="22"/>
          <w:szCs w:val="22"/>
        </w:rPr>
        <w:t xml:space="preserve"> for Disease Control and Prevention and the National Institutes of Health.</w:t>
      </w:r>
    </w:p>
    <w:p w14:paraId="52186F1E" w14:textId="77777777" w:rsidR="00F554D1" w:rsidRPr="00371DCB" w:rsidRDefault="00F554D1" w:rsidP="00FB2D39">
      <w:pPr>
        <w:jc w:val="both"/>
        <w:rPr>
          <w:rFonts w:ascii="Arial" w:eastAsia="MS Gothic" w:hAnsi="Arial" w:cs="Arial"/>
          <w:b/>
          <w:sz w:val="22"/>
          <w:szCs w:val="22"/>
          <w:lang w:eastAsia="ja-JP"/>
        </w:rPr>
      </w:pPr>
      <w:r w:rsidRPr="00371DCB">
        <w:rPr>
          <w:rFonts w:ascii="Arial" w:hAnsi="Arial" w:cs="Arial"/>
          <w:sz w:val="22"/>
          <w:szCs w:val="22"/>
        </w:rPr>
        <w:br w:type="page"/>
      </w:r>
    </w:p>
    <w:p w14:paraId="609C46E7" w14:textId="2B3CAF29" w:rsidR="007C799B" w:rsidRPr="00371DCB" w:rsidRDefault="007C799B" w:rsidP="00FB2D39">
      <w:pPr>
        <w:pStyle w:val="Heading1"/>
        <w:pageBreakBefore w:val="0"/>
        <w:numPr>
          <w:ilvl w:val="0"/>
          <w:numId w:val="7"/>
        </w:numPr>
        <w:rPr>
          <w:rFonts w:ascii="Arial" w:hAnsi="Arial" w:cs="Arial"/>
          <w:sz w:val="22"/>
        </w:rPr>
      </w:pPr>
      <w:bookmarkStart w:id="128" w:name="_Toc38818793"/>
      <w:r w:rsidRPr="00371DCB">
        <w:rPr>
          <w:rFonts w:ascii="Arial" w:hAnsi="Arial" w:cs="Arial"/>
          <w:sz w:val="22"/>
        </w:rPr>
        <w:lastRenderedPageBreak/>
        <w:t>Statistical Considerations</w:t>
      </w:r>
      <w:bookmarkEnd w:id="128"/>
    </w:p>
    <w:p w14:paraId="64FCF746" w14:textId="5F07D398" w:rsidR="00C55832" w:rsidRPr="00371DCB" w:rsidRDefault="00F554D1" w:rsidP="00FB2D39">
      <w:pPr>
        <w:pStyle w:val="Heading2"/>
        <w:jc w:val="both"/>
      </w:pPr>
      <w:bookmarkStart w:id="129" w:name="_Toc36029546"/>
      <w:bookmarkStart w:id="130" w:name="_Toc38818794"/>
      <w:r w:rsidRPr="00371DCB">
        <w:t>Sample Size Determination</w:t>
      </w:r>
      <w:bookmarkEnd w:id="129"/>
      <w:bookmarkEnd w:id="130"/>
    </w:p>
    <w:p w14:paraId="4971218F" w14:textId="4DE85475" w:rsidR="00F554D1" w:rsidRPr="00371DCB" w:rsidRDefault="00F554D1" w:rsidP="00FB2D39">
      <w:pPr>
        <w:jc w:val="both"/>
        <w:rPr>
          <w:rFonts w:ascii="Arial" w:hAnsi="Arial" w:cs="Arial"/>
          <w:sz w:val="22"/>
          <w:szCs w:val="22"/>
        </w:rPr>
      </w:pPr>
      <w:r w:rsidRPr="00371DCB">
        <w:rPr>
          <w:rFonts w:ascii="Arial" w:hAnsi="Arial" w:cs="Arial"/>
          <w:sz w:val="22"/>
          <w:szCs w:val="22"/>
        </w:rPr>
        <w:t>The sample size required to show a 50% treatment efficacy (i.e. relative risk reduction of 50%) is entirely dependent on the control event rate (CER). Sample size calculations used an estimated 30% CER.</w:t>
      </w:r>
    </w:p>
    <w:p w14:paraId="1421435E" w14:textId="23ED8086" w:rsidR="00F554D1" w:rsidRPr="00371DCB" w:rsidRDefault="00F554D1" w:rsidP="00FB2D39">
      <w:pPr>
        <w:jc w:val="both"/>
        <w:rPr>
          <w:rFonts w:ascii="Arial" w:hAnsi="Arial" w:cs="Arial"/>
          <w:sz w:val="22"/>
          <w:szCs w:val="22"/>
        </w:rPr>
      </w:pPr>
      <w:r w:rsidRPr="00371DCB">
        <w:rPr>
          <w:rFonts w:ascii="Arial" w:hAnsi="Arial" w:cs="Arial"/>
          <w:sz w:val="22"/>
          <w:szCs w:val="22"/>
        </w:rPr>
        <w:t>The table below shows the sample size required at various treatment effects, CER, and drop-out rates for operating characteristics of 90% statistical power and two-sided type I error rate of 5%. Power may be lower depending on CER and drop-out rate (</w:t>
      </w:r>
      <w:r w:rsidRPr="00371DCB">
        <w:rPr>
          <w:rFonts w:ascii="Arial" w:hAnsi="Arial" w:cs="Arial"/>
          <w:sz w:val="22"/>
          <w:szCs w:val="22"/>
        </w:rPr>
        <w:fldChar w:fldCharType="begin"/>
      </w:r>
      <w:r w:rsidRPr="00371DCB">
        <w:rPr>
          <w:rFonts w:ascii="Arial" w:hAnsi="Arial" w:cs="Arial"/>
          <w:sz w:val="22"/>
          <w:szCs w:val="22"/>
        </w:rPr>
        <w:instrText xml:space="preserve"> REF _Ref36453940 \h  \* MERGEFORMAT </w:instrText>
      </w:r>
      <w:r w:rsidRPr="00371DCB">
        <w:rPr>
          <w:rFonts w:ascii="Arial" w:hAnsi="Arial" w:cs="Arial"/>
          <w:sz w:val="22"/>
          <w:szCs w:val="22"/>
        </w:rPr>
      </w:r>
      <w:r w:rsidRPr="00371DCB">
        <w:rPr>
          <w:rFonts w:ascii="Arial" w:hAnsi="Arial" w:cs="Arial"/>
          <w:sz w:val="22"/>
          <w:szCs w:val="22"/>
        </w:rPr>
        <w:fldChar w:fldCharType="separate"/>
      </w:r>
      <w:r w:rsidRPr="00371DCB">
        <w:rPr>
          <w:rFonts w:ascii="Arial" w:hAnsi="Arial" w:cs="Arial"/>
          <w:sz w:val="22"/>
          <w:szCs w:val="22"/>
        </w:rPr>
        <w:t xml:space="preserve">Table </w:t>
      </w:r>
      <w:r w:rsidRPr="00371DCB">
        <w:rPr>
          <w:rFonts w:ascii="Arial" w:hAnsi="Arial" w:cs="Arial"/>
          <w:noProof/>
          <w:sz w:val="22"/>
          <w:szCs w:val="22"/>
        </w:rPr>
        <w:t>1</w:t>
      </w:r>
      <w:r w:rsidRPr="00371DCB">
        <w:rPr>
          <w:rFonts w:ascii="Arial" w:hAnsi="Arial" w:cs="Arial"/>
          <w:sz w:val="22"/>
          <w:szCs w:val="22"/>
        </w:rPr>
        <w:fldChar w:fldCharType="end"/>
      </w:r>
      <w:r w:rsidRPr="00371DCB">
        <w:rPr>
          <w:rFonts w:ascii="Arial" w:hAnsi="Arial" w:cs="Arial"/>
          <w:sz w:val="22"/>
          <w:szCs w:val="22"/>
        </w:rPr>
        <w:t>). As the initial sample size target, 165 per arm has been initially chosen for each experimental group to achieve 90% power with 0.05 two</w:t>
      </w:r>
      <w:r w:rsidRPr="00371DCB">
        <w:rPr>
          <w:rFonts w:ascii="Arial" w:hAnsi="Arial" w:cs="Arial"/>
          <w:sz w:val="22"/>
          <w:szCs w:val="22"/>
        </w:rPr>
        <w:noBreakHyphen/>
        <w:t>sided Type 1 error for a pairwise comparison against the control (ascorbic acid) to detect at least 50% treatment efficacy in reducing the progression to LRTI (primary endpoint) assuming a CER of 30% and 5% drop-out rate.</w:t>
      </w:r>
    </w:p>
    <w:p w14:paraId="5B222D83" w14:textId="77777777" w:rsidR="00F554D1" w:rsidRPr="00371DCB" w:rsidRDefault="00F554D1" w:rsidP="00FB2D39">
      <w:pPr>
        <w:pStyle w:val="Caption"/>
        <w:ind w:left="1418" w:hanging="1418"/>
        <w:rPr>
          <w:rFonts w:ascii="Arial" w:hAnsi="Arial" w:cs="Arial"/>
          <w:color w:val="auto"/>
          <w:sz w:val="22"/>
          <w:szCs w:val="22"/>
        </w:rPr>
      </w:pPr>
      <w:bookmarkStart w:id="131" w:name="_Ref36453940"/>
      <w:r w:rsidRPr="00371DCB">
        <w:rPr>
          <w:rFonts w:ascii="Arial" w:hAnsi="Arial" w:cs="Arial"/>
          <w:color w:val="auto"/>
          <w:sz w:val="22"/>
          <w:szCs w:val="22"/>
        </w:rPr>
        <w:t xml:space="preserve">Table </w:t>
      </w:r>
      <w:r w:rsidRPr="00371DCB">
        <w:rPr>
          <w:rFonts w:ascii="Arial" w:hAnsi="Arial" w:cs="Arial"/>
          <w:color w:val="auto"/>
          <w:sz w:val="22"/>
          <w:szCs w:val="22"/>
        </w:rPr>
        <w:fldChar w:fldCharType="begin"/>
      </w:r>
      <w:r w:rsidRPr="00371DCB">
        <w:rPr>
          <w:rFonts w:ascii="Arial" w:hAnsi="Arial" w:cs="Arial"/>
          <w:color w:val="auto"/>
          <w:sz w:val="22"/>
          <w:szCs w:val="22"/>
        </w:rPr>
        <w:instrText xml:space="preserve"> SEQ Table \* ARABIC </w:instrText>
      </w:r>
      <w:r w:rsidRPr="00371DCB">
        <w:rPr>
          <w:rFonts w:ascii="Arial" w:hAnsi="Arial" w:cs="Arial"/>
          <w:color w:val="auto"/>
          <w:sz w:val="22"/>
          <w:szCs w:val="22"/>
        </w:rPr>
        <w:fldChar w:fldCharType="separate"/>
      </w:r>
      <w:r w:rsidRPr="00371DCB">
        <w:rPr>
          <w:rFonts w:ascii="Arial" w:hAnsi="Arial" w:cs="Arial"/>
          <w:noProof/>
          <w:color w:val="auto"/>
          <w:sz w:val="22"/>
          <w:szCs w:val="22"/>
        </w:rPr>
        <w:t>1</w:t>
      </w:r>
      <w:r w:rsidRPr="00371DCB">
        <w:rPr>
          <w:rFonts w:ascii="Arial" w:hAnsi="Arial" w:cs="Arial"/>
          <w:color w:val="auto"/>
          <w:sz w:val="22"/>
          <w:szCs w:val="22"/>
        </w:rPr>
        <w:fldChar w:fldCharType="end"/>
      </w:r>
      <w:bookmarkEnd w:id="131"/>
      <w:r w:rsidRPr="00371DCB">
        <w:rPr>
          <w:rFonts w:ascii="Arial" w:hAnsi="Arial" w:cs="Arial"/>
          <w:color w:val="auto"/>
          <w:sz w:val="22"/>
          <w:szCs w:val="22"/>
        </w:rPr>
        <w:tab/>
        <w:t>Sample Size Per Arm Required to Detect a Relative Risk Reduction of 40% to 60% Under Various Control Event and Drop-out Rates</w:t>
      </w:r>
    </w:p>
    <w:tbl>
      <w:tblPr>
        <w:tblStyle w:val="TableGrid"/>
        <w:tblW w:w="5000" w:type="pct"/>
        <w:tblLook w:val="04A0" w:firstRow="1" w:lastRow="0" w:firstColumn="1" w:lastColumn="0" w:noHBand="0" w:noVBand="1"/>
      </w:tblPr>
      <w:tblGrid>
        <w:gridCol w:w="566"/>
        <w:gridCol w:w="976"/>
        <w:gridCol w:w="976"/>
        <w:gridCol w:w="976"/>
        <w:gridCol w:w="976"/>
        <w:gridCol w:w="976"/>
        <w:gridCol w:w="976"/>
        <w:gridCol w:w="976"/>
        <w:gridCol w:w="976"/>
        <w:gridCol w:w="976"/>
      </w:tblGrid>
      <w:tr w:rsidR="00F554D1" w:rsidRPr="00FA7410" w14:paraId="3D5E9D0A" w14:textId="77777777" w:rsidTr="00A77308">
        <w:tc>
          <w:tcPr>
            <w:tcW w:w="356" w:type="pct"/>
            <w:vMerge w:val="restart"/>
            <w:vAlign w:val="center"/>
          </w:tcPr>
          <w:p w14:paraId="4938D58D"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RRR</w:t>
            </w:r>
          </w:p>
        </w:tc>
        <w:tc>
          <w:tcPr>
            <w:tcW w:w="1548" w:type="pct"/>
            <w:gridSpan w:val="3"/>
          </w:tcPr>
          <w:p w14:paraId="24656FB2"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Drop-out rate = 0%</w:t>
            </w:r>
          </w:p>
        </w:tc>
        <w:tc>
          <w:tcPr>
            <w:tcW w:w="1548" w:type="pct"/>
            <w:gridSpan w:val="3"/>
          </w:tcPr>
          <w:p w14:paraId="627AC199"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Drop-out rate = 5%</w:t>
            </w:r>
          </w:p>
        </w:tc>
        <w:tc>
          <w:tcPr>
            <w:tcW w:w="1548" w:type="pct"/>
            <w:gridSpan w:val="3"/>
          </w:tcPr>
          <w:p w14:paraId="1A6204CB"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Drop-out rate = 20%</w:t>
            </w:r>
          </w:p>
        </w:tc>
      </w:tr>
      <w:tr w:rsidR="00F554D1" w:rsidRPr="00FA7410" w14:paraId="12E32227" w14:textId="77777777" w:rsidTr="00A77308">
        <w:tc>
          <w:tcPr>
            <w:tcW w:w="356" w:type="pct"/>
            <w:vMerge/>
          </w:tcPr>
          <w:p w14:paraId="71BB526F" w14:textId="77777777" w:rsidR="00F554D1" w:rsidRPr="00371DCB" w:rsidRDefault="00F554D1" w:rsidP="00FB2D39">
            <w:pPr>
              <w:jc w:val="both"/>
              <w:rPr>
                <w:rFonts w:ascii="Arial" w:hAnsi="Arial" w:cs="Arial"/>
                <w:sz w:val="22"/>
                <w:szCs w:val="22"/>
                <w:lang w:val="en-GB"/>
              </w:rPr>
            </w:pPr>
          </w:p>
        </w:tc>
        <w:tc>
          <w:tcPr>
            <w:tcW w:w="516" w:type="pct"/>
          </w:tcPr>
          <w:p w14:paraId="3A56694E"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CER=10%</w:t>
            </w:r>
          </w:p>
        </w:tc>
        <w:tc>
          <w:tcPr>
            <w:tcW w:w="516" w:type="pct"/>
          </w:tcPr>
          <w:p w14:paraId="2012AE47"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CER=20%</w:t>
            </w:r>
          </w:p>
        </w:tc>
        <w:tc>
          <w:tcPr>
            <w:tcW w:w="516" w:type="pct"/>
          </w:tcPr>
          <w:p w14:paraId="07B4A493"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CER=30%</w:t>
            </w:r>
          </w:p>
        </w:tc>
        <w:tc>
          <w:tcPr>
            <w:tcW w:w="516" w:type="pct"/>
          </w:tcPr>
          <w:p w14:paraId="381A5985"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CER=10%</w:t>
            </w:r>
          </w:p>
        </w:tc>
        <w:tc>
          <w:tcPr>
            <w:tcW w:w="516" w:type="pct"/>
          </w:tcPr>
          <w:p w14:paraId="65E90D0B"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CER=20%</w:t>
            </w:r>
          </w:p>
        </w:tc>
        <w:tc>
          <w:tcPr>
            <w:tcW w:w="516" w:type="pct"/>
          </w:tcPr>
          <w:p w14:paraId="38A65502"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CER=30%</w:t>
            </w:r>
          </w:p>
        </w:tc>
        <w:tc>
          <w:tcPr>
            <w:tcW w:w="516" w:type="pct"/>
          </w:tcPr>
          <w:p w14:paraId="60180AC9"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CER=10%</w:t>
            </w:r>
          </w:p>
        </w:tc>
        <w:tc>
          <w:tcPr>
            <w:tcW w:w="516" w:type="pct"/>
          </w:tcPr>
          <w:p w14:paraId="1562B1CA"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CER=20%</w:t>
            </w:r>
          </w:p>
        </w:tc>
        <w:tc>
          <w:tcPr>
            <w:tcW w:w="516" w:type="pct"/>
          </w:tcPr>
          <w:p w14:paraId="064B5406" w14:textId="77777777" w:rsidR="00F554D1" w:rsidRPr="00371DCB" w:rsidRDefault="00F554D1" w:rsidP="00FB2D39">
            <w:pPr>
              <w:jc w:val="both"/>
              <w:rPr>
                <w:rFonts w:ascii="Arial" w:hAnsi="Arial" w:cs="Arial"/>
                <w:b/>
                <w:sz w:val="22"/>
                <w:szCs w:val="22"/>
                <w:lang w:val="en-GB"/>
              </w:rPr>
            </w:pPr>
            <w:r w:rsidRPr="00371DCB">
              <w:rPr>
                <w:rFonts w:ascii="Arial" w:hAnsi="Arial" w:cs="Arial"/>
                <w:b/>
                <w:sz w:val="22"/>
                <w:szCs w:val="22"/>
                <w:lang w:val="en-GB"/>
              </w:rPr>
              <w:t>CER=30%</w:t>
            </w:r>
          </w:p>
        </w:tc>
      </w:tr>
      <w:tr w:rsidR="00F554D1" w:rsidRPr="00FA7410" w14:paraId="3D05FB0A" w14:textId="77777777" w:rsidTr="00A77308">
        <w:tc>
          <w:tcPr>
            <w:tcW w:w="356" w:type="pct"/>
          </w:tcPr>
          <w:p w14:paraId="2EA1FFF2" w14:textId="77777777" w:rsidR="00F554D1" w:rsidRPr="00371DCB" w:rsidRDefault="00F554D1" w:rsidP="00FB2D39">
            <w:pPr>
              <w:jc w:val="both"/>
              <w:rPr>
                <w:rFonts w:ascii="Arial" w:hAnsi="Arial" w:cs="Arial"/>
                <w:sz w:val="22"/>
                <w:szCs w:val="22"/>
                <w:lang w:val="en-GB"/>
              </w:rPr>
            </w:pPr>
            <w:r w:rsidRPr="00371DCB">
              <w:rPr>
                <w:rFonts w:ascii="Arial" w:hAnsi="Arial" w:cs="Arial"/>
                <w:sz w:val="22"/>
                <w:szCs w:val="22"/>
                <w:lang w:val="en-GB"/>
              </w:rPr>
              <w:t>40%</w:t>
            </w:r>
          </w:p>
        </w:tc>
        <w:tc>
          <w:tcPr>
            <w:tcW w:w="516" w:type="pct"/>
            <w:vAlign w:val="center"/>
          </w:tcPr>
          <w:p w14:paraId="17E4AF39"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962</w:t>
            </w:r>
          </w:p>
        </w:tc>
        <w:tc>
          <w:tcPr>
            <w:tcW w:w="516" w:type="pct"/>
            <w:vAlign w:val="center"/>
          </w:tcPr>
          <w:p w14:paraId="3B22DC0C"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437</w:t>
            </w:r>
          </w:p>
        </w:tc>
        <w:tc>
          <w:tcPr>
            <w:tcW w:w="516" w:type="pct"/>
            <w:vAlign w:val="center"/>
          </w:tcPr>
          <w:p w14:paraId="436096FE"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261</w:t>
            </w:r>
          </w:p>
        </w:tc>
        <w:tc>
          <w:tcPr>
            <w:tcW w:w="516" w:type="pct"/>
            <w:vAlign w:val="center"/>
          </w:tcPr>
          <w:p w14:paraId="6B8D77EC"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1013</w:t>
            </w:r>
          </w:p>
        </w:tc>
        <w:tc>
          <w:tcPr>
            <w:tcW w:w="516" w:type="pct"/>
            <w:vAlign w:val="center"/>
          </w:tcPr>
          <w:p w14:paraId="2D3E76EC"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460</w:t>
            </w:r>
          </w:p>
        </w:tc>
        <w:tc>
          <w:tcPr>
            <w:tcW w:w="516" w:type="pct"/>
            <w:vAlign w:val="center"/>
          </w:tcPr>
          <w:p w14:paraId="5064FBA6"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275</w:t>
            </w:r>
          </w:p>
        </w:tc>
        <w:tc>
          <w:tcPr>
            <w:tcW w:w="516" w:type="pct"/>
            <w:vAlign w:val="center"/>
          </w:tcPr>
          <w:p w14:paraId="4D16E6D2"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1202</w:t>
            </w:r>
          </w:p>
        </w:tc>
        <w:tc>
          <w:tcPr>
            <w:tcW w:w="516" w:type="pct"/>
            <w:vAlign w:val="center"/>
          </w:tcPr>
          <w:p w14:paraId="02A1E620"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546</w:t>
            </w:r>
          </w:p>
        </w:tc>
        <w:tc>
          <w:tcPr>
            <w:tcW w:w="516" w:type="pct"/>
            <w:vAlign w:val="center"/>
          </w:tcPr>
          <w:p w14:paraId="18061951"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327</w:t>
            </w:r>
          </w:p>
        </w:tc>
      </w:tr>
      <w:tr w:rsidR="00F554D1" w:rsidRPr="00FA7410" w14:paraId="3D2007B7" w14:textId="77777777" w:rsidTr="00A77308">
        <w:tc>
          <w:tcPr>
            <w:tcW w:w="356" w:type="pct"/>
          </w:tcPr>
          <w:p w14:paraId="297C8B78" w14:textId="77777777" w:rsidR="00F554D1" w:rsidRPr="00371DCB" w:rsidRDefault="00F554D1" w:rsidP="00FB2D39">
            <w:pPr>
              <w:jc w:val="both"/>
              <w:rPr>
                <w:rFonts w:ascii="Arial" w:hAnsi="Arial" w:cs="Arial"/>
                <w:sz w:val="22"/>
                <w:szCs w:val="22"/>
                <w:lang w:val="en-GB"/>
              </w:rPr>
            </w:pPr>
            <w:r w:rsidRPr="00371DCB">
              <w:rPr>
                <w:rFonts w:ascii="Arial" w:hAnsi="Arial" w:cs="Arial"/>
                <w:sz w:val="22"/>
                <w:szCs w:val="22"/>
                <w:lang w:val="en-GB"/>
              </w:rPr>
              <w:t>50%</w:t>
            </w:r>
          </w:p>
        </w:tc>
        <w:tc>
          <w:tcPr>
            <w:tcW w:w="516" w:type="pct"/>
            <w:vAlign w:val="center"/>
          </w:tcPr>
          <w:p w14:paraId="29FF5675"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578</w:t>
            </w:r>
          </w:p>
        </w:tc>
        <w:tc>
          <w:tcPr>
            <w:tcW w:w="516" w:type="pct"/>
            <w:vAlign w:val="center"/>
          </w:tcPr>
          <w:p w14:paraId="43A49481"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263</w:t>
            </w:r>
          </w:p>
        </w:tc>
        <w:tc>
          <w:tcPr>
            <w:tcW w:w="516" w:type="pct"/>
            <w:vAlign w:val="center"/>
          </w:tcPr>
          <w:p w14:paraId="1BE1F614"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158</w:t>
            </w:r>
          </w:p>
        </w:tc>
        <w:tc>
          <w:tcPr>
            <w:tcW w:w="516" w:type="pct"/>
            <w:vAlign w:val="center"/>
          </w:tcPr>
          <w:p w14:paraId="46AA0F3E"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609</w:t>
            </w:r>
          </w:p>
        </w:tc>
        <w:tc>
          <w:tcPr>
            <w:tcW w:w="516" w:type="pct"/>
            <w:vAlign w:val="center"/>
          </w:tcPr>
          <w:p w14:paraId="05179D49"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277</w:t>
            </w:r>
          </w:p>
        </w:tc>
        <w:tc>
          <w:tcPr>
            <w:tcW w:w="516" w:type="pct"/>
            <w:shd w:val="clear" w:color="auto" w:fill="D9D9D9" w:themeFill="background1" w:themeFillShade="D9"/>
            <w:vAlign w:val="center"/>
          </w:tcPr>
          <w:p w14:paraId="75F9B23D" w14:textId="77777777" w:rsidR="00F554D1" w:rsidRPr="00371DCB" w:rsidRDefault="00F554D1" w:rsidP="00FB2D39">
            <w:pPr>
              <w:jc w:val="both"/>
              <w:rPr>
                <w:rFonts w:ascii="Arial" w:hAnsi="Arial" w:cs="Arial"/>
                <w:b/>
                <w:sz w:val="22"/>
                <w:szCs w:val="22"/>
                <w:lang w:val="en-GB"/>
              </w:rPr>
            </w:pPr>
            <w:r w:rsidRPr="00371DCB">
              <w:rPr>
                <w:rFonts w:ascii="Arial" w:hAnsi="Arial" w:cs="Arial"/>
                <w:b/>
                <w:color w:val="000000"/>
                <w:sz w:val="22"/>
                <w:szCs w:val="22"/>
              </w:rPr>
              <w:t>165</w:t>
            </w:r>
          </w:p>
        </w:tc>
        <w:tc>
          <w:tcPr>
            <w:tcW w:w="516" w:type="pct"/>
            <w:vAlign w:val="center"/>
          </w:tcPr>
          <w:p w14:paraId="0737BB42"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723</w:t>
            </w:r>
          </w:p>
        </w:tc>
        <w:tc>
          <w:tcPr>
            <w:tcW w:w="516" w:type="pct"/>
            <w:vAlign w:val="center"/>
          </w:tcPr>
          <w:p w14:paraId="00179870"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329</w:t>
            </w:r>
          </w:p>
        </w:tc>
        <w:tc>
          <w:tcPr>
            <w:tcW w:w="516" w:type="pct"/>
            <w:vAlign w:val="center"/>
          </w:tcPr>
          <w:p w14:paraId="243FC2C7"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198</w:t>
            </w:r>
          </w:p>
        </w:tc>
      </w:tr>
      <w:tr w:rsidR="00F554D1" w:rsidRPr="00FA7410" w14:paraId="583BCBCC" w14:textId="77777777" w:rsidTr="00A77308">
        <w:tc>
          <w:tcPr>
            <w:tcW w:w="356" w:type="pct"/>
          </w:tcPr>
          <w:p w14:paraId="10D4BA2B" w14:textId="77777777" w:rsidR="00F554D1" w:rsidRPr="00371DCB" w:rsidRDefault="00F554D1" w:rsidP="00FB2D39">
            <w:pPr>
              <w:jc w:val="both"/>
              <w:rPr>
                <w:rFonts w:ascii="Arial" w:hAnsi="Arial" w:cs="Arial"/>
                <w:sz w:val="22"/>
                <w:szCs w:val="22"/>
                <w:lang w:val="en-GB"/>
              </w:rPr>
            </w:pPr>
            <w:r w:rsidRPr="00371DCB">
              <w:rPr>
                <w:rFonts w:ascii="Arial" w:hAnsi="Arial" w:cs="Arial"/>
                <w:sz w:val="22"/>
                <w:szCs w:val="22"/>
                <w:lang w:val="en-GB"/>
              </w:rPr>
              <w:t>60%</w:t>
            </w:r>
          </w:p>
        </w:tc>
        <w:tc>
          <w:tcPr>
            <w:tcW w:w="516" w:type="pct"/>
            <w:vAlign w:val="center"/>
          </w:tcPr>
          <w:p w14:paraId="4BF6D06C"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375</w:t>
            </w:r>
          </w:p>
        </w:tc>
        <w:tc>
          <w:tcPr>
            <w:tcW w:w="516" w:type="pct"/>
            <w:vAlign w:val="center"/>
          </w:tcPr>
          <w:p w14:paraId="56A6A00A"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171</w:t>
            </w:r>
          </w:p>
        </w:tc>
        <w:tc>
          <w:tcPr>
            <w:tcW w:w="516" w:type="pct"/>
            <w:vAlign w:val="center"/>
          </w:tcPr>
          <w:p w14:paraId="5156938C"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103</w:t>
            </w:r>
          </w:p>
        </w:tc>
        <w:tc>
          <w:tcPr>
            <w:tcW w:w="516" w:type="pct"/>
            <w:vAlign w:val="center"/>
          </w:tcPr>
          <w:p w14:paraId="01673BA1"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395</w:t>
            </w:r>
          </w:p>
        </w:tc>
        <w:tc>
          <w:tcPr>
            <w:tcW w:w="516" w:type="pct"/>
            <w:vAlign w:val="center"/>
          </w:tcPr>
          <w:p w14:paraId="706733D3"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180</w:t>
            </w:r>
          </w:p>
        </w:tc>
        <w:tc>
          <w:tcPr>
            <w:tcW w:w="516" w:type="pct"/>
            <w:vAlign w:val="center"/>
          </w:tcPr>
          <w:p w14:paraId="423C2987"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108</w:t>
            </w:r>
          </w:p>
        </w:tc>
        <w:tc>
          <w:tcPr>
            <w:tcW w:w="516" w:type="pct"/>
            <w:vAlign w:val="center"/>
          </w:tcPr>
          <w:p w14:paraId="1911F96F"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469</w:t>
            </w:r>
          </w:p>
        </w:tc>
        <w:tc>
          <w:tcPr>
            <w:tcW w:w="516" w:type="pct"/>
            <w:vAlign w:val="center"/>
          </w:tcPr>
          <w:p w14:paraId="619AE58C"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214</w:t>
            </w:r>
          </w:p>
        </w:tc>
        <w:tc>
          <w:tcPr>
            <w:tcW w:w="516" w:type="pct"/>
            <w:vAlign w:val="center"/>
          </w:tcPr>
          <w:p w14:paraId="0E651DFA" w14:textId="77777777" w:rsidR="00F554D1" w:rsidRPr="00371DCB" w:rsidRDefault="00F554D1" w:rsidP="00FB2D39">
            <w:pPr>
              <w:jc w:val="both"/>
              <w:rPr>
                <w:rFonts w:ascii="Arial" w:hAnsi="Arial" w:cs="Arial"/>
                <w:sz w:val="22"/>
                <w:szCs w:val="22"/>
                <w:lang w:val="en-GB"/>
              </w:rPr>
            </w:pPr>
            <w:r w:rsidRPr="00371DCB">
              <w:rPr>
                <w:rFonts w:ascii="Arial" w:hAnsi="Arial" w:cs="Arial"/>
                <w:color w:val="000000"/>
                <w:sz w:val="22"/>
                <w:szCs w:val="22"/>
              </w:rPr>
              <w:t>128</w:t>
            </w:r>
          </w:p>
        </w:tc>
      </w:tr>
    </w:tbl>
    <w:p w14:paraId="090631FF" w14:textId="77777777" w:rsidR="00F554D1" w:rsidRPr="00371DCB" w:rsidRDefault="00F554D1" w:rsidP="00FB2D39">
      <w:pPr>
        <w:pStyle w:val="TblFootnote"/>
        <w:ind w:left="0" w:firstLine="0"/>
        <w:rPr>
          <w:rFonts w:ascii="Arial" w:hAnsi="Arial" w:cs="Arial"/>
          <w:sz w:val="22"/>
          <w:szCs w:val="22"/>
        </w:rPr>
      </w:pPr>
      <w:r w:rsidRPr="00371DCB">
        <w:rPr>
          <w:rFonts w:ascii="Arial" w:hAnsi="Arial" w:cs="Arial"/>
          <w:b/>
          <w:sz w:val="22"/>
          <w:szCs w:val="22"/>
        </w:rPr>
        <w:t>Acronyms</w:t>
      </w:r>
      <w:r w:rsidRPr="00371DCB">
        <w:rPr>
          <w:rFonts w:ascii="Arial" w:hAnsi="Arial" w:cs="Arial"/>
          <w:sz w:val="22"/>
          <w:szCs w:val="22"/>
        </w:rPr>
        <w:t xml:space="preserve">: CER: Control event rate; RRR: Relative risk reduction. </w:t>
      </w:r>
    </w:p>
    <w:p w14:paraId="4DB8B1CB" w14:textId="77777777" w:rsidR="00F554D1" w:rsidRPr="00D73F77" w:rsidRDefault="00F554D1" w:rsidP="00FB2D39">
      <w:pPr>
        <w:pStyle w:val="TblFootnote"/>
        <w:ind w:left="0" w:firstLine="0"/>
        <w:rPr>
          <w:rFonts w:ascii="Arial" w:hAnsi="Arial" w:cs="Arial"/>
          <w:sz w:val="22"/>
          <w:szCs w:val="22"/>
        </w:rPr>
      </w:pPr>
      <w:r w:rsidRPr="00371DCB">
        <w:rPr>
          <w:rFonts w:ascii="Arial" w:hAnsi="Arial" w:cs="Arial"/>
          <w:sz w:val="22"/>
          <w:szCs w:val="22"/>
        </w:rPr>
        <w:t xml:space="preserve">Sample size calculation was done with the desired operating characteristics of 90% statistical </w:t>
      </w:r>
      <w:r w:rsidRPr="00D73F77">
        <w:rPr>
          <w:rFonts w:ascii="Arial" w:hAnsi="Arial" w:cs="Arial"/>
          <w:sz w:val="22"/>
          <w:szCs w:val="22"/>
        </w:rPr>
        <w:t xml:space="preserve">power and 5% type I error rate (two-sided). </w:t>
      </w:r>
    </w:p>
    <w:p w14:paraId="40E2E4C3" w14:textId="77777777" w:rsidR="00584DB7" w:rsidRPr="00D73F77" w:rsidRDefault="00584DB7" w:rsidP="00FB2D39">
      <w:pPr>
        <w:spacing w:before="240"/>
        <w:jc w:val="both"/>
        <w:textAlignment w:val="baseline"/>
        <w:rPr>
          <w:rFonts w:ascii="Arial" w:hAnsi="Arial" w:cs="Arial"/>
          <w:sz w:val="22"/>
          <w:szCs w:val="22"/>
        </w:rPr>
      </w:pPr>
      <w:bookmarkStart w:id="132" w:name="_Toc36029547"/>
      <w:bookmarkStart w:id="133" w:name="_Toc38818795"/>
      <w:r w:rsidRPr="00D73F77">
        <w:rPr>
          <w:rFonts w:ascii="Arial" w:hAnsi="Arial" w:cs="Arial"/>
          <w:sz w:val="22"/>
          <w:szCs w:val="22"/>
        </w:rPr>
        <w:t xml:space="preserve">As illustrated in the table above, the statistical power will depend heavily on the observed CER. Given uncertainty of the target population, the final target sample size will be re-estimated after four weeks after the first patient is randomized using the observed CER and drop-out rate in the control group as a blinded sample size re-assessment. As it is difficult to predict the </w:t>
      </w:r>
      <w:proofErr w:type="spellStart"/>
      <w:r w:rsidRPr="00D73F77">
        <w:rPr>
          <w:rFonts w:ascii="Arial" w:hAnsi="Arial" w:cs="Arial"/>
          <w:sz w:val="22"/>
          <w:szCs w:val="22"/>
        </w:rPr>
        <w:t>enrollment</w:t>
      </w:r>
      <w:proofErr w:type="spellEnd"/>
      <w:r w:rsidRPr="00D73F77">
        <w:rPr>
          <w:rFonts w:ascii="Arial" w:hAnsi="Arial" w:cs="Arial"/>
          <w:sz w:val="22"/>
          <w:szCs w:val="22"/>
        </w:rPr>
        <w:t xml:space="preserve"> rate, the recruitment rate will be assessed on a weekly basis starting at the end of second week. </w:t>
      </w:r>
    </w:p>
    <w:p w14:paraId="5B6ED658" w14:textId="77777777" w:rsidR="00584DB7" w:rsidRPr="00D73F77" w:rsidRDefault="00584DB7" w:rsidP="00FB2D39">
      <w:pPr>
        <w:jc w:val="both"/>
        <w:rPr>
          <w:rFonts w:ascii="Arial" w:hAnsi="Arial" w:cs="Arial"/>
          <w:sz w:val="22"/>
          <w:szCs w:val="22"/>
        </w:rPr>
      </w:pPr>
      <w:r w:rsidRPr="00D73F77">
        <w:rPr>
          <w:rFonts w:ascii="Arial" w:hAnsi="Arial" w:cs="Arial"/>
          <w:sz w:val="22"/>
          <w:szCs w:val="22"/>
        </w:rPr>
        <w:t>The sample sizes for TOGETHER 2 and 3 were determined based on the sample size calculation for TOGETHER 1 (US trial). The initial sample size target for TOGETHER 1 is 165 patients per arm that will achieve 90% power with 0.05 two</w:t>
      </w:r>
      <w:r w:rsidRPr="00D73F77">
        <w:rPr>
          <w:rFonts w:ascii="Arial" w:hAnsi="Arial" w:cs="Arial"/>
          <w:sz w:val="22"/>
          <w:szCs w:val="22"/>
        </w:rPr>
        <w:noBreakHyphen/>
        <w:t xml:space="preserve">sided Type 1 error for a pairwise comparison against the control group (ascorbic acid) to detect treatment effect of 50% relative risk reduction (RRR) in reducing the progression to LRTI (primary endpoint) assuming a control event rate (CER) of 30% and 5% drop-out rate. </w:t>
      </w:r>
    </w:p>
    <w:p w14:paraId="4621CF13" w14:textId="77777777" w:rsidR="00584DB7" w:rsidRPr="00D73F77" w:rsidRDefault="00584DB7" w:rsidP="00FB2D39">
      <w:pPr>
        <w:jc w:val="both"/>
        <w:rPr>
          <w:rFonts w:ascii="Arial" w:hAnsi="Arial" w:cs="Arial"/>
          <w:sz w:val="22"/>
          <w:szCs w:val="22"/>
        </w:rPr>
      </w:pPr>
      <w:r w:rsidRPr="00D73F77">
        <w:rPr>
          <w:rFonts w:ascii="Arial" w:hAnsi="Arial" w:cs="Arial"/>
          <w:sz w:val="22"/>
          <w:szCs w:val="22"/>
        </w:rPr>
        <w:t xml:space="preserve">Given uncertainty of the target population, a blinded sample size re-assessment will be done to potentially increase the sample size target during the trial, should a lower control event rate (CER) and/or higher drop-out rate be observed. The decision on the timing of the sample size re-assessment will be made by the independent data safety monitoring board (DSMB) during the </w:t>
      </w:r>
      <w:r w:rsidRPr="00D73F77">
        <w:rPr>
          <w:rFonts w:ascii="Arial" w:hAnsi="Arial" w:cs="Arial"/>
          <w:sz w:val="22"/>
          <w:szCs w:val="22"/>
        </w:rPr>
        <w:lastRenderedPageBreak/>
        <w:t xml:space="preserve">trial based on the observed recruitment rate. The statistician part of the DSMB will assess the CER and drop-out rate (at time to be determined) and re-calculate the sample size required to achieve 90% statistical power at 5% two-sided type I error rate to detect a treatment effect size of 50% RRR. </w:t>
      </w:r>
    </w:p>
    <w:p w14:paraId="1A11F554" w14:textId="77777777" w:rsidR="00584DB7" w:rsidRPr="00D73F77" w:rsidRDefault="00584DB7" w:rsidP="00FB2D39">
      <w:pPr>
        <w:jc w:val="both"/>
        <w:rPr>
          <w:rFonts w:ascii="Arial" w:hAnsi="Arial" w:cs="Arial"/>
          <w:sz w:val="22"/>
          <w:szCs w:val="22"/>
        </w:rPr>
      </w:pPr>
      <w:r w:rsidRPr="00D73F77">
        <w:rPr>
          <w:rFonts w:ascii="Arial" w:hAnsi="Arial" w:cs="Arial"/>
          <w:sz w:val="22"/>
          <w:szCs w:val="22"/>
        </w:rPr>
        <w:t>During the time of sample size re-assessment, a blinded assessment of the observed CER of proportion of viral clearance and hospitalization will also be done. If the CER of viral clearance and hospitalization are adequately high to achieve adequate statistical power (e.g. 80 to 90%) at 5% type I error rate within the feasible sample size target range, the TSC may consider switching the endpoint to either viral clearance and hospitalization for possible interim analyses and adaptations.</w:t>
      </w:r>
    </w:p>
    <w:p w14:paraId="3DFD60CC" w14:textId="77777777" w:rsidR="00584DB7" w:rsidRPr="00584DB7" w:rsidRDefault="00584DB7" w:rsidP="00FB2D39">
      <w:pPr>
        <w:jc w:val="both"/>
        <w:rPr>
          <w:rFonts w:ascii="Arial" w:hAnsi="Arial" w:cs="Arial"/>
          <w:sz w:val="22"/>
          <w:szCs w:val="22"/>
        </w:rPr>
      </w:pPr>
      <w:r w:rsidRPr="00D73F77">
        <w:rPr>
          <w:rFonts w:ascii="Arial" w:hAnsi="Arial" w:cs="Arial"/>
          <w:sz w:val="22"/>
          <w:szCs w:val="22"/>
        </w:rPr>
        <w:t>This will be done with proper firewall to maintain blinding of the information on the re</w:t>
      </w:r>
      <w:r w:rsidRPr="00D73F77">
        <w:rPr>
          <w:rFonts w:ascii="Arial" w:hAnsi="Arial" w:cs="Arial"/>
          <w:sz w:val="22"/>
          <w:szCs w:val="22"/>
        </w:rPr>
        <w:noBreakHyphen/>
        <w:t>calculated sample size.</w:t>
      </w:r>
      <w:r w:rsidRPr="00584DB7">
        <w:rPr>
          <w:rFonts w:ascii="Arial" w:hAnsi="Arial" w:cs="Arial"/>
          <w:sz w:val="22"/>
          <w:szCs w:val="22"/>
        </w:rPr>
        <w:t xml:space="preserve"> </w:t>
      </w:r>
    </w:p>
    <w:p w14:paraId="726217DC" w14:textId="276471D6" w:rsidR="00F554D1" w:rsidRPr="00371DCB" w:rsidRDefault="00F554D1" w:rsidP="00FB2D39">
      <w:pPr>
        <w:pStyle w:val="Heading2"/>
        <w:jc w:val="both"/>
      </w:pPr>
      <w:r w:rsidRPr="00371DCB">
        <w:t>Populations for Analyses</w:t>
      </w:r>
      <w:bookmarkEnd w:id="132"/>
      <w:bookmarkEnd w:id="133"/>
    </w:p>
    <w:p w14:paraId="383A4530"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For analysis purposes, the following populations are defined and will be described in greater detail in the trial Statistical Analysis Plan:</w:t>
      </w:r>
    </w:p>
    <w:tbl>
      <w:tblPr>
        <w:tblW w:w="5000" w:type="pct"/>
        <w:tblLook w:val="04A0" w:firstRow="1" w:lastRow="0" w:firstColumn="1" w:lastColumn="0" w:noHBand="0" w:noVBand="1"/>
      </w:tblPr>
      <w:tblGrid>
        <w:gridCol w:w="2824"/>
        <w:gridCol w:w="6526"/>
      </w:tblGrid>
      <w:tr w:rsidR="00F554D1" w:rsidRPr="00FA7410" w14:paraId="0C75FF68" w14:textId="77777777" w:rsidTr="00A77308">
        <w:tc>
          <w:tcPr>
            <w:tcW w:w="1510" w:type="pct"/>
            <w:tcBorders>
              <w:top w:val="single" w:sz="4" w:space="0" w:color="auto"/>
              <w:left w:val="single" w:sz="4" w:space="0" w:color="auto"/>
              <w:bottom w:val="single" w:sz="4" w:space="0" w:color="auto"/>
              <w:right w:val="single" w:sz="4" w:space="0" w:color="auto"/>
            </w:tcBorders>
            <w:hideMark/>
          </w:tcPr>
          <w:p w14:paraId="2E7D1C6E" w14:textId="77777777" w:rsidR="00F554D1" w:rsidRPr="00371DCB" w:rsidRDefault="00F554D1" w:rsidP="00FB2D39">
            <w:pPr>
              <w:pStyle w:val="TableHeaderText"/>
              <w:jc w:val="both"/>
              <w:rPr>
                <w:rFonts w:ascii="Arial" w:hAnsi="Arial" w:cs="Arial"/>
                <w:sz w:val="22"/>
                <w:szCs w:val="22"/>
              </w:rPr>
            </w:pPr>
            <w:r w:rsidRPr="00371DCB">
              <w:rPr>
                <w:rFonts w:ascii="Arial" w:hAnsi="Arial" w:cs="Arial"/>
                <w:sz w:val="22"/>
                <w:szCs w:val="22"/>
              </w:rPr>
              <w:t>Population</w:t>
            </w:r>
          </w:p>
        </w:tc>
        <w:tc>
          <w:tcPr>
            <w:tcW w:w="3490" w:type="pct"/>
            <w:tcBorders>
              <w:top w:val="single" w:sz="4" w:space="0" w:color="auto"/>
              <w:left w:val="single" w:sz="4" w:space="0" w:color="auto"/>
              <w:bottom w:val="single" w:sz="4" w:space="0" w:color="auto"/>
              <w:right w:val="single" w:sz="4" w:space="0" w:color="auto"/>
            </w:tcBorders>
            <w:hideMark/>
          </w:tcPr>
          <w:p w14:paraId="10B86136" w14:textId="77777777" w:rsidR="00F554D1" w:rsidRPr="00371DCB" w:rsidRDefault="00F554D1" w:rsidP="00FB2D39">
            <w:pPr>
              <w:pStyle w:val="TableHeaderText"/>
              <w:jc w:val="both"/>
              <w:rPr>
                <w:rFonts w:ascii="Arial" w:hAnsi="Arial" w:cs="Arial"/>
                <w:sz w:val="22"/>
                <w:szCs w:val="22"/>
              </w:rPr>
            </w:pPr>
            <w:r w:rsidRPr="00371DCB">
              <w:rPr>
                <w:rFonts w:ascii="Arial" w:hAnsi="Arial" w:cs="Arial"/>
                <w:sz w:val="22"/>
                <w:szCs w:val="22"/>
              </w:rPr>
              <w:t>Description</w:t>
            </w:r>
          </w:p>
        </w:tc>
      </w:tr>
      <w:tr w:rsidR="00F554D1" w:rsidRPr="00FA7410" w14:paraId="1801CC8D" w14:textId="77777777" w:rsidTr="00A77308">
        <w:tc>
          <w:tcPr>
            <w:tcW w:w="1510" w:type="pct"/>
            <w:tcBorders>
              <w:top w:val="single" w:sz="4" w:space="0" w:color="auto"/>
              <w:left w:val="single" w:sz="4" w:space="0" w:color="auto"/>
              <w:bottom w:val="single" w:sz="4" w:space="0" w:color="auto"/>
              <w:right w:val="single" w:sz="4" w:space="0" w:color="auto"/>
            </w:tcBorders>
            <w:hideMark/>
          </w:tcPr>
          <w:p w14:paraId="25D3E165" w14:textId="77777777" w:rsidR="00F554D1" w:rsidRPr="00371DCB" w:rsidRDefault="00F554D1" w:rsidP="00FB2D39">
            <w:pPr>
              <w:pStyle w:val="TableText"/>
              <w:jc w:val="both"/>
              <w:rPr>
                <w:rFonts w:ascii="Arial" w:hAnsi="Arial" w:cs="Arial"/>
                <w:sz w:val="22"/>
                <w:szCs w:val="22"/>
              </w:rPr>
            </w:pPr>
            <w:r w:rsidRPr="00371DCB">
              <w:rPr>
                <w:rFonts w:ascii="Arial" w:hAnsi="Arial" w:cs="Arial"/>
                <w:sz w:val="22"/>
                <w:szCs w:val="22"/>
              </w:rPr>
              <w:t>Intention to Treat (ITT)</w:t>
            </w:r>
          </w:p>
        </w:tc>
        <w:tc>
          <w:tcPr>
            <w:tcW w:w="3490" w:type="pct"/>
            <w:tcBorders>
              <w:top w:val="single" w:sz="4" w:space="0" w:color="auto"/>
              <w:left w:val="single" w:sz="4" w:space="0" w:color="auto"/>
              <w:bottom w:val="single" w:sz="4" w:space="0" w:color="auto"/>
              <w:right w:val="single" w:sz="4" w:space="0" w:color="auto"/>
            </w:tcBorders>
          </w:tcPr>
          <w:p w14:paraId="4C7AA466" w14:textId="77777777" w:rsidR="00F554D1" w:rsidRPr="00371DCB" w:rsidRDefault="00F554D1" w:rsidP="00FB2D39">
            <w:pPr>
              <w:pStyle w:val="TableText"/>
              <w:jc w:val="both"/>
              <w:rPr>
                <w:rFonts w:ascii="Arial" w:hAnsi="Arial" w:cs="Arial"/>
                <w:sz w:val="22"/>
                <w:szCs w:val="22"/>
              </w:rPr>
            </w:pPr>
            <w:r w:rsidRPr="00371DCB">
              <w:rPr>
                <w:rFonts w:ascii="Arial" w:hAnsi="Arial" w:cs="Arial"/>
                <w:sz w:val="22"/>
                <w:szCs w:val="22"/>
              </w:rPr>
              <w:t>All enrolled participants: high-risk group for the primary clinical endpoint; high- and low-risk groups (separately) for the primary virologic endpoint.</w:t>
            </w:r>
          </w:p>
        </w:tc>
      </w:tr>
      <w:tr w:rsidR="00F554D1" w:rsidRPr="00FA7410" w14:paraId="58FE40AC" w14:textId="77777777" w:rsidTr="00A77308">
        <w:tc>
          <w:tcPr>
            <w:tcW w:w="1510" w:type="pct"/>
            <w:tcBorders>
              <w:top w:val="single" w:sz="4" w:space="0" w:color="auto"/>
              <w:left w:val="single" w:sz="4" w:space="0" w:color="auto"/>
              <w:bottom w:val="single" w:sz="4" w:space="0" w:color="auto"/>
              <w:right w:val="single" w:sz="4" w:space="0" w:color="auto"/>
            </w:tcBorders>
          </w:tcPr>
          <w:p w14:paraId="1810FB7E" w14:textId="77777777" w:rsidR="00F554D1" w:rsidRPr="00371DCB" w:rsidRDefault="00F554D1" w:rsidP="00FB2D39">
            <w:pPr>
              <w:pStyle w:val="TableText"/>
              <w:jc w:val="both"/>
              <w:rPr>
                <w:rFonts w:ascii="Arial" w:hAnsi="Arial" w:cs="Arial"/>
                <w:sz w:val="22"/>
                <w:szCs w:val="22"/>
              </w:rPr>
            </w:pPr>
            <w:r w:rsidRPr="00371DCB">
              <w:rPr>
                <w:rFonts w:ascii="Arial" w:hAnsi="Arial" w:cs="Arial"/>
                <w:sz w:val="22"/>
                <w:szCs w:val="22"/>
              </w:rPr>
              <w:t>PK evaluable</w:t>
            </w:r>
          </w:p>
        </w:tc>
        <w:tc>
          <w:tcPr>
            <w:tcW w:w="3490" w:type="pct"/>
            <w:tcBorders>
              <w:top w:val="single" w:sz="4" w:space="0" w:color="auto"/>
              <w:left w:val="single" w:sz="4" w:space="0" w:color="auto"/>
              <w:bottom w:val="single" w:sz="4" w:space="0" w:color="auto"/>
              <w:right w:val="single" w:sz="4" w:space="0" w:color="auto"/>
            </w:tcBorders>
          </w:tcPr>
          <w:p w14:paraId="5E8CC213" w14:textId="77777777" w:rsidR="00F554D1" w:rsidRPr="00371DCB" w:rsidRDefault="00F554D1" w:rsidP="00FB2D39">
            <w:pPr>
              <w:pStyle w:val="TableText"/>
              <w:jc w:val="both"/>
              <w:rPr>
                <w:rFonts w:ascii="Arial" w:hAnsi="Arial" w:cs="Arial"/>
                <w:sz w:val="22"/>
                <w:szCs w:val="22"/>
              </w:rPr>
            </w:pPr>
            <w:r w:rsidRPr="00371DCB">
              <w:rPr>
                <w:rFonts w:ascii="Arial" w:hAnsi="Arial" w:cs="Arial"/>
                <w:sz w:val="22"/>
                <w:szCs w:val="22"/>
              </w:rPr>
              <w:t xml:space="preserve">Participants from the DBS Sub-study with at least 1 interpretable PK sample </w:t>
            </w:r>
          </w:p>
        </w:tc>
      </w:tr>
    </w:tbl>
    <w:p w14:paraId="6527FC78" w14:textId="7F42C6C7" w:rsidR="00373815" w:rsidRPr="00371DCB" w:rsidRDefault="00373815" w:rsidP="00FB2D39">
      <w:pPr>
        <w:jc w:val="both"/>
        <w:rPr>
          <w:rFonts w:ascii="Arial" w:hAnsi="Arial" w:cs="Arial"/>
          <w:sz w:val="22"/>
          <w:szCs w:val="22"/>
        </w:rPr>
      </w:pPr>
      <w:bookmarkStart w:id="134" w:name="_Toc36029548"/>
      <w:r w:rsidRPr="00371DCB">
        <w:rPr>
          <w:rFonts w:ascii="Arial" w:hAnsi="Arial" w:cs="Arial"/>
          <w:sz w:val="22"/>
          <w:szCs w:val="22"/>
        </w:rPr>
        <w:t xml:space="preserve">DBS: dried blood spot; PK: pharmacokinetic; </w:t>
      </w:r>
    </w:p>
    <w:p w14:paraId="0959FAF9" w14:textId="4E2B1095" w:rsidR="00F554D1" w:rsidRPr="00371DCB" w:rsidRDefault="00F554D1" w:rsidP="00FB2D39">
      <w:pPr>
        <w:pStyle w:val="Heading2"/>
        <w:jc w:val="both"/>
      </w:pPr>
      <w:bookmarkStart w:id="135" w:name="_Toc38818796"/>
      <w:r w:rsidRPr="00371DCB">
        <w:t>Statistical Analyses</w:t>
      </w:r>
      <w:bookmarkEnd w:id="134"/>
      <w:bookmarkEnd w:id="135"/>
    </w:p>
    <w:p w14:paraId="5BFDE13F"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The Statistical Analysis Plan will be developed and finalized before database lock and will describe the participant populations to be included in the analyses, the detailed analytical plans with endpoints and procedures for accounting for missing, unused, and spurious data. An Interim Monitoring Plan will also be developed to describe approaches for re-estimation of sample size and any planned interim analyses. This section presents a brief summary of the planned statistical analyses of the primary and secondary endpoints (these are listed in </w:t>
      </w:r>
      <w:r w:rsidRPr="00371DCB">
        <w:rPr>
          <w:rFonts w:ascii="Arial" w:hAnsi="Arial" w:cs="Arial"/>
          <w:color w:val="0000FF"/>
          <w:sz w:val="22"/>
          <w:szCs w:val="22"/>
        </w:rPr>
        <w:t xml:space="preserve">Section </w:t>
      </w:r>
      <w:r w:rsidRPr="00371DCB">
        <w:rPr>
          <w:rFonts w:ascii="Arial" w:hAnsi="Arial" w:cs="Arial"/>
          <w:color w:val="0000FF"/>
          <w:sz w:val="22"/>
          <w:szCs w:val="22"/>
        </w:rPr>
        <w:fldChar w:fldCharType="begin"/>
      </w:r>
      <w:r w:rsidRPr="00371DCB">
        <w:rPr>
          <w:rFonts w:ascii="Arial" w:hAnsi="Arial" w:cs="Arial"/>
          <w:color w:val="0000FF"/>
          <w:sz w:val="22"/>
          <w:szCs w:val="22"/>
        </w:rPr>
        <w:instrText xml:space="preserve"> REF _Ref35217803 \r \h  \* MERGEFORMAT </w:instrText>
      </w:r>
      <w:r w:rsidRPr="00371DCB">
        <w:rPr>
          <w:rFonts w:ascii="Arial" w:hAnsi="Arial" w:cs="Arial"/>
          <w:color w:val="0000FF"/>
          <w:sz w:val="22"/>
          <w:szCs w:val="22"/>
        </w:rPr>
      </w:r>
      <w:r w:rsidRPr="00371DCB">
        <w:rPr>
          <w:rFonts w:ascii="Arial" w:hAnsi="Arial" w:cs="Arial"/>
          <w:color w:val="0000FF"/>
          <w:sz w:val="22"/>
          <w:szCs w:val="22"/>
        </w:rPr>
        <w:fldChar w:fldCharType="separate"/>
      </w:r>
      <w:r w:rsidRPr="00371DCB">
        <w:rPr>
          <w:rFonts w:ascii="Arial" w:hAnsi="Arial" w:cs="Arial"/>
          <w:color w:val="0000FF"/>
          <w:sz w:val="22"/>
          <w:szCs w:val="22"/>
        </w:rPr>
        <w:t>4</w:t>
      </w:r>
      <w:r w:rsidRPr="00371DCB">
        <w:rPr>
          <w:rFonts w:ascii="Arial" w:hAnsi="Arial" w:cs="Arial"/>
          <w:color w:val="0000FF"/>
          <w:sz w:val="22"/>
          <w:szCs w:val="22"/>
        </w:rPr>
        <w:fldChar w:fldCharType="end"/>
      </w:r>
      <w:r w:rsidRPr="00371DCB">
        <w:rPr>
          <w:rFonts w:ascii="Arial" w:hAnsi="Arial" w:cs="Arial"/>
          <w:sz w:val="22"/>
          <w:szCs w:val="22"/>
        </w:rPr>
        <w:t>).</w:t>
      </w:r>
      <w:bookmarkStart w:id="136" w:name="_Toc421709293"/>
      <w:bookmarkStart w:id="137" w:name="_Ref449945485"/>
    </w:p>
    <w:p w14:paraId="35B70FF8" w14:textId="77777777" w:rsidR="00F554D1" w:rsidRPr="00371DCB" w:rsidRDefault="00F554D1" w:rsidP="00FB2D39">
      <w:pPr>
        <w:pStyle w:val="Heading3"/>
        <w:jc w:val="both"/>
      </w:pPr>
      <w:bookmarkStart w:id="138" w:name="_Toc36029549"/>
      <w:bookmarkStart w:id="139" w:name="_Toc38818797"/>
      <w:r w:rsidRPr="00371DCB">
        <w:t>Efficacy Analyses</w:t>
      </w:r>
      <w:bookmarkEnd w:id="136"/>
      <w:bookmarkEnd w:id="137"/>
      <w:bookmarkEnd w:id="138"/>
      <w:bookmarkEnd w:id="139"/>
    </w:p>
    <w:p w14:paraId="4AEC6E04"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Demographic characteristics (age, sex, race) of each study group will be tabulated.</w:t>
      </w:r>
    </w:p>
    <w:p w14:paraId="6B456FE2"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The mean age (plus range and standard deviation) by sex of the enrolled participants, as a whole and per group, will be calculated.</w:t>
      </w:r>
    </w:p>
    <w:p w14:paraId="5B1C2F3C" w14:textId="77777777" w:rsidR="00C55832" w:rsidRPr="00371DCB" w:rsidRDefault="00F554D1" w:rsidP="00FB2D39">
      <w:pPr>
        <w:jc w:val="both"/>
        <w:rPr>
          <w:rFonts w:ascii="Arial" w:hAnsi="Arial" w:cs="Arial"/>
          <w:sz w:val="22"/>
          <w:szCs w:val="22"/>
        </w:rPr>
      </w:pPr>
      <w:r w:rsidRPr="00371DCB">
        <w:rPr>
          <w:rFonts w:ascii="Arial" w:hAnsi="Arial" w:cs="Arial"/>
          <w:b/>
          <w:bCs/>
          <w:sz w:val="22"/>
          <w:szCs w:val="22"/>
        </w:rPr>
        <w:t>Primary analyses:</w:t>
      </w:r>
      <w:r w:rsidRPr="00371DCB">
        <w:rPr>
          <w:rFonts w:ascii="Arial" w:hAnsi="Arial" w:cs="Arial"/>
          <w:sz w:val="22"/>
          <w:szCs w:val="22"/>
        </w:rPr>
        <w:t xml:space="preserve"> </w:t>
      </w:r>
    </w:p>
    <w:p w14:paraId="61E22889" w14:textId="4B3C15C6"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The primary analyses will be conducted on the ITT population overall and by cohort. Participants randomized to each active arm will be compared to participants randomized to placebo (ascorbic acid). The primary analysis will make use of all participants randomized to placebo, whether contemporaneously enrolled or not using an Empirical Bayesian information borrowing method (described below). Due to anticipated heterogeneity in risk of disease progression, pre-specified baseline variables, including age, weight, and days of symptoms at time of </w:t>
      </w:r>
      <w:proofErr w:type="spellStart"/>
      <w:r w:rsidRPr="00371DCB">
        <w:rPr>
          <w:rFonts w:ascii="Arial" w:hAnsi="Arial" w:cs="Arial"/>
          <w:sz w:val="22"/>
          <w:szCs w:val="22"/>
        </w:rPr>
        <w:t>enrollment</w:t>
      </w:r>
      <w:proofErr w:type="spellEnd"/>
      <w:r w:rsidRPr="00371DCB">
        <w:rPr>
          <w:rFonts w:ascii="Arial" w:hAnsi="Arial" w:cs="Arial"/>
          <w:sz w:val="22"/>
          <w:szCs w:val="22"/>
        </w:rPr>
        <w:t xml:space="preserve"> will be included in the model to increase precision</w:t>
      </w:r>
      <w:r w:rsidR="00114D0A" w:rsidRPr="00371DCB">
        <w:rPr>
          <w:rFonts w:ascii="Arial" w:hAnsi="Arial" w:cs="Arial"/>
          <w:sz w:val="22"/>
          <w:szCs w:val="22"/>
        </w:rPr>
        <w:t>.</w:t>
      </w:r>
    </w:p>
    <w:p w14:paraId="0C5F9DF9" w14:textId="77777777" w:rsidR="00C55832" w:rsidRPr="00371DCB" w:rsidRDefault="00F554D1" w:rsidP="00FB2D39">
      <w:pPr>
        <w:jc w:val="both"/>
        <w:rPr>
          <w:rFonts w:ascii="Arial" w:hAnsi="Arial" w:cs="Arial"/>
          <w:b/>
          <w:bCs/>
          <w:sz w:val="22"/>
          <w:szCs w:val="22"/>
        </w:rPr>
      </w:pPr>
      <w:r w:rsidRPr="00371DCB">
        <w:rPr>
          <w:rFonts w:ascii="Arial" w:hAnsi="Arial" w:cs="Arial"/>
          <w:b/>
          <w:bCs/>
          <w:sz w:val="22"/>
          <w:szCs w:val="22"/>
        </w:rPr>
        <w:t xml:space="preserve">Sensitivity analysis: </w:t>
      </w:r>
    </w:p>
    <w:p w14:paraId="17DD33A7" w14:textId="29B7D47E" w:rsidR="00F554D1" w:rsidRPr="00371DCB" w:rsidRDefault="00F554D1" w:rsidP="00FB2D39">
      <w:pPr>
        <w:jc w:val="both"/>
        <w:rPr>
          <w:rFonts w:ascii="Arial" w:hAnsi="Arial" w:cs="Arial"/>
          <w:sz w:val="22"/>
          <w:szCs w:val="22"/>
        </w:rPr>
      </w:pPr>
      <w:r w:rsidRPr="00371DCB">
        <w:rPr>
          <w:rFonts w:ascii="Arial" w:hAnsi="Arial" w:cs="Arial"/>
          <w:sz w:val="22"/>
          <w:szCs w:val="22"/>
        </w:rPr>
        <w:t>The primary analyses will be repeated replacing randomization arm by actual treatment to account for possible off-label use of and noncompliance to the investigational products.</w:t>
      </w:r>
    </w:p>
    <w:p w14:paraId="62170F6E" w14:textId="5C7CB1C6" w:rsidR="00C55832" w:rsidRPr="00371DCB" w:rsidRDefault="00F554D1" w:rsidP="00FB2D39">
      <w:pPr>
        <w:jc w:val="both"/>
        <w:rPr>
          <w:rFonts w:ascii="Arial" w:hAnsi="Arial" w:cs="Arial"/>
          <w:b/>
          <w:bCs/>
          <w:sz w:val="22"/>
          <w:szCs w:val="22"/>
        </w:rPr>
      </w:pPr>
      <w:r w:rsidRPr="00371DCB">
        <w:rPr>
          <w:rFonts w:ascii="Arial" w:hAnsi="Arial" w:cs="Arial"/>
          <w:b/>
          <w:bCs/>
          <w:sz w:val="22"/>
          <w:szCs w:val="22"/>
        </w:rPr>
        <w:t>Subgroup analyses</w:t>
      </w:r>
      <w:r w:rsidR="00054E2E">
        <w:rPr>
          <w:rFonts w:ascii="Arial" w:hAnsi="Arial" w:cs="Arial"/>
          <w:b/>
          <w:bCs/>
          <w:sz w:val="22"/>
          <w:szCs w:val="22"/>
        </w:rPr>
        <w:t>:</w:t>
      </w:r>
      <w:r w:rsidRPr="00371DCB">
        <w:rPr>
          <w:rFonts w:ascii="Arial" w:hAnsi="Arial" w:cs="Arial"/>
          <w:b/>
          <w:bCs/>
          <w:sz w:val="22"/>
          <w:szCs w:val="22"/>
        </w:rPr>
        <w:t xml:space="preserve"> </w:t>
      </w:r>
    </w:p>
    <w:p w14:paraId="1C134E2F" w14:textId="7BD62A06" w:rsidR="00F554D1" w:rsidRPr="00371DCB" w:rsidRDefault="00F554D1" w:rsidP="00FB2D39">
      <w:pPr>
        <w:jc w:val="both"/>
        <w:rPr>
          <w:rFonts w:ascii="Arial" w:hAnsi="Arial" w:cs="Arial"/>
          <w:sz w:val="22"/>
          <w:szCs w:val="22"/>
        </w:rPr>
      </w:pPr>
      <w:r w:rsidRPr="00371DCB">
        <w:rPr>
          <w:rFonts w:ascii="Arial" w:hAnsi="Arial" w:cs="Arial"/>
          <w:sz w:val="22"/>
          <w:szCs w:val="22"/>
        </w:rPr>
        <w:lastRenderedPageBreak/>
        <w:t>All subgroup analyses will be pre-specified in the Statistical Analysis Plan. Any further subgroups will be considered ad hoc.</w:t>
      </w:r>
    </w:p>
    <w:p w14:paraId="2BAB239D" w14:textId="3F1D0B39" w:rsidR="00F554D1" w:rsidRPr="00371DCB" w:rsidRDefault="00F554D1" w:rsidP="00FB2D39">
      <w:pPr>
        <w:jc w:val="both"/>
        <w:rPr>
          <w:rFonts w:ascii="Arial" w:hAnsi="Arial" w:cs="Arial"/>
          <w:b/>
          <w:bCs/>
          <w:sz w:val="22"/>
          <w:szCs w:val="22"/>
        </w:rPr>
      </w:pPr>
      <w:r w:rsidRPr="00371DCB">
        <w:rPr>
          <w:rFonts w:ascii="Arial" w:hAnsi="Arial" w:cs="Arial"/>
          <w:b/>
          <w:bCs/>
          <w:sz w:val="22"/>
          <w:szCs w:val="22"/>
        </w:rPr>
        <w:t>Empirical Bayesian information borrowing method</w:t>
      </w:r>
      <w:r w:rsidR="00054E2E">
        <w:rPr>
          <w:rFonts w:ascii="Arial" w:hAnsi="Arial" w:cs="Arial"/>
          <w:b/>
          <w:bCs/>
          <w:sz w:val="22"/>
          <w:szCs w:val="22"/>
        </w:rPr>
        <w:t>:</w:t>
      </w:r>
    </w:p>
    <w:p w14:paraId="5F81FCE6" w14:textId="49DADB11" w:rsidR="00F554D1" w:rsidRPr="00371DCB" w:rsidRDefault="00F554D1" w:rsidP="00FB2D39">
      <w:pPr>
        <w:jc w:val="both"/>
        <w:rPr>
          <w:rFonts w:ascii="Arial" w:hAnsi="Arial" w:cs="Arial"/>
          <w:sz w:val="22"/>
          <w:szCs w:val="22"/>
        </w:rPr>
      </w:pPr>
      <w:r w:rsidRPr="00371DCB">
        <w:rPr>
          <w:rFonts w:ascii="Arial" w:hAnsi="Arial" w:cs="Arial"/>
          <w:sz w:val="22"/>
          <w:szCs w:val="22"/>
        </w:rPr>
        <w:t>In the case that a new experimental treatment is added into this platform trial, there will already be data</w:t>
      </w:r>
      <w:r w:rsidR="009A455B" w:rsidRPr="00371DCB">
        <w:rPr>
          <w:rFonts w:ascii="Arial" w:hAnsi="Arial" w:cs="Arial"/>
          <w:sz w:val="22"/>
          <w:szCs w:val="22"/>
        </w:rPr>
        <w:t xml:space="preserve"> c</w:t>
      </w:r>
      <w:r w:rsidRPr="00371DCB">
        <w:rPr>
          <w:rFonts w:ascii="Arial" w:hAnsi="Arial" w:cs="Arial"/>
          <w:sz w:val="22"/>
          <w:szCs w:val="22"/>
        </w:rPr>
        <w:t>ollected from patients who are enrolled prior (past data). To incorporate the past control data with the concurrent control data from patients who are concurrently enrolled, empirical Bayesian information borrowing method will be used</w:t>
      </w:r>
      <w:hyperlink w:anchor="_ENREF_32" w:tooltip="Schoenfeld, 2009 #31" w:history="1">
        <w:r w:rsidR="00415001" w:rsidRPr="00371DCB">
          <w:rPr>
            <w:rFonts w:ascii="Arial" w:hAnsi="Arial" w:cs="Arial"/>
            <w:sz w:val="22"/>
            <w:szCs w:val="22"/>
          </w:rPr>
          <w:fldChar w:fldCharType="begin"/>
        </w:r>
        <w:r w:rsidR="00415001" w:rsidRPr="00371DCB">
          <w:rPr>
            <w:rFonts w:ascii="Arial" w:hAnsi="Arial" w:cs="Arial"/>
            <w:sz w:val="22"/>
            <w:szCs w:val="22"/>
          </w:rPr>
          <w:instrText xml:space="preserve"> ADDIN EN.CITE &lt;EndNote&gt;&lt;Cite&gt;&lt;Author&gt;Schoenfeld&lt;/Author&gt;&lt;Year&gt;2009&lt;/Year&gt;&lt;RecNum&gt;31&lt;/RecNum&gt;&lt;DisplayText&gt;&lt;style face="superscript"&gt;32&lt;/style&gt;&lt;/DisplayText&gt;&lt;record&gt;&lt;rec-number&gt;31&lt;/rec-number&gt;&lt;foreign-keys&gt;&lt;key app="EN" db-id="t09z9rpdbe0s5fervvgxd0dlfdv9sr2x0dx5"&gt;31&lt;/key&gt;&lt;/foreign-keys&gt;&lt;ref-type name="Journal Article"&gt;17&lt;/ref-type&gt;&lt;contributors&gt;&lt;authors&gt;&lt;author&gt;Schoenfeld, D., &lt;/author&gt;&lt;author&gt;Zheng, H., &lt;/author&gt;&lt;author&gt;Finkelstein, D. &lt;/author&gt;&lt;/authors&gt;&lt;/contributors&gt;&lt;titles&gt;&lt;title&gt;Bayesian design using adult data to augment pediatric trials&lt;/title&gt;&lt;secondary-title&gt;Clinical Trials&lt;/secondary-title&gt;&lt;/titles&gt;&lt;periodical&gt;&lt;full-title&gt;Clinical Trials&lt;/full-title&gt;&lt;/periodical&gt;&lt;pages&gt;297-304&lt;/pages&gt;&lt;volume&gt;6&lt;/volume&gt;&lt;dates&gt;&lt;year&gt;2009&lt;/year&gt;&lt;/dates&gt;&lt;urls&gt;&lt;/urls&gt;&lt;/record&gt;&lt;/Cite&gt;&lt;/EndNote&gt;</w:instrText>
        </w:r>
        <w:r w:rsidR="00415001" w:rsidRPr="00371DCB">
          <w:rPr>
            <w:rFonts w:ascii="Arial" w:hAnsi="Arial" w:cs="Arial"/>
            <w:sz w:val="22"/>
            <w:szCs w:val="22"/>
          </w:rPr>
          <w:fldChar w:fldCharType="separate"/>
        </w:r>
        <w:r w:rsidR="00415001" w:rsidRPr="00371DCB">
          <w:rPr>
            <w:rFonts w:ascii="Arial" w:hAnsi="Arial" w:cs="Arial"/>
            <w:noProof/>
            <w:sz w:val="22"/>
            <w:szCs w:val="22"/>
            <w:vertAlign w:val="superscript"/>
          </w:rPr>
          <w:t>32</w:t>
        </w:r>
        <w:r w:rsidR="00415001" w:rsidRPr="00371DCB">
          <w:rPr>
            <w:rFonts w:ascii="Arial" w:hAnsi="Arial" w:cs="Arial"/>
            <w:sz w:val="22"/>
            <w:szCs w:val="22"/>
          </w:rPr>
          <w:fldChar w:fldCharType="end"/>
        </w:r>
      </w:hyperlink>
      <w:r w:rsidRPr="00371DCB">
        <w:rPr>
          <w:rFonts w:ascii="Arial" w:hAnsi="Arial" w:cs="Arial"/>
          <w:sz w:val="22"/>
          <w:szCs w:val="22"/>
        </w:rPr>
        <w:t xml:space="preserve">. Instead of using concurrent data only, combining past data with the concurrent data can potentially be advantageous in terms of statistical power and lower number of participants that are needed to be randomized to the control arm. This is particularly important for possible improved ethics and feasibility for the context of conducting a platform trial for SARS-CoV-2. Additionally, in the case that relevant external trial data become available, this empirical information borrowing method may be used. The DSMB, which will contain clinical experts, will make on whether to include or ignore the external trial data. The Study Statistician will assess the similarities of the external trial(s) to this clinical trial in terms of eligibility criteria, trial location, data collection procedures, and the reliability and comprehensiveness of the available dataset. If deemed appropriate, the empirical Bayesian information borrowing method will be used to determine the degree of the information that can be “borrowed” from the external dataset and be used for the statistical comparison. </w:t>
      </w:r>
    </w:p>
    <w:p w14:paraId="18CFEC9B"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As there are multiple randomized clinical trials that are either ongoing or being planned right now for SARS-CoV-2 with potentially relevant interventions, it is important to plan for an approach, such as this empirical Bayesian borrowing method, that can potentially incorporate these external data with the internal data. An important feature of this method is the avoidance of use of any subjective or informative prior distributions that may become a point of dispute in certain schools of thought. To our knowledge, there are currently two published clinical trials with potentially relevant interventions as the ones that are proposed for this adaptive platform trial. [</w:t>
      </w:r>
      <w:r w:rsidRPr="00371DCB">
        <w:rPr>
          <w:rFonts w:ascii="Arial" w:hAnsi="Arial" w:cs="Arial"/>
          <w:sz w:val="22"/>
          <w:szCs w:val="22"/>
        </w:rPr>
        <w:fldChar w:fldCharType="begin"/>
      </w:r>
      <w:r w:rsidRPr="00371DCB">
        <w:rPr>
          <w:rFonts w:ascii="Arial" w:hAnsi="Arial" w:cs="Arial"/>
          <w:sz w:val="22"/>
          <w:szCs w:val="22"/>
        </w:rPr>
        <w:instrText xml:space="preserve"> REF _Ref36457612 \n \h  \* MERGEFORMAT </w:instrText>
      </w:r>
      <w:r w:rsidRPr="00371DCB">
        <w:rPr>
          <w:rFonts w:ascii="Arial" w:hAnsi="Arial" w:cs="Arial"/>
          <w:sz w:val="22"/>
          <w:szCs w:val="22"/>
        </w:rPr>
      </w:r>
      <w:r w:rsidRPr="00371DCB">
        <w:rPr>
          <w:rFonts w:ascii="Arial" w:hAnsi="Arial" w:cs="Arial"/>
          <w:sz w:val="22"/>
          <w:szCs w:val="22"/>
        </w:rPr>
        <w:fldChar w:fldCharType="separate"/>
      </w:r>
      <w:r w:rsidRPr="00371DCB">
        <w:rPr>
          <w:rFonts w:ascii="Arial" w:hAnsi="Arial" w:cs="Arial"/>
          <w:sz w:val="22"/>
          <w:szCs w:val="22"/>
        </w:rPr>
        <w:t>36</w:t>
      </w:r>
      <w:r w:rsidRPr="00371DCB">
        <w:rPr>
          <w:rFonts w:ascii="Arial" w:hAnsi="Arial" w:cs="Arial"/>
          <w:sz w:val="22"/>
          <w:szCs w:val="22"/>
        </w:rPr>
        <w:fldChar w:fldCharType="end"/>
      </w:r>
      <w:r w:rsidRPr="00371DCB">
        <w:rPr>
          <w:rFonts w:ascii="Arial" w:hAnsi="Arial" w:cs="Arial"/>
          <w:sz w:val="22"/>
          <w:szCs w:val="22"/>
        </w:rPr>
        <w:t xml:space="preserve">, </w:t>
      </w:r>
      <w:r w:rsidRPr="00371DCB">
        <w:rPr>
          <w:rFonts w:ascii="Arial" w:hAnsi="Arial" w:cs="Arial"/>
          <w:sz w:val="22"/>
          <w:szCs w:val="22"/>
        </w:rPr>
        <w:fldChar w:fldCharType="begin"/>
      </w:r>
      <w:r w:rsidRPr="00371DCB">
        <w:rPr>
          <w:rFonts w:ascii="Arial" w:hAnsi="Arial" w:cs="Arial"/>
          <w:sz w:val="22"/>
          <w:szCs w:val="22"/>
        </w:rPr>
        <w:instrText xml:space="preserve"> REF _Ref36457665 \n \h  \* MERGEFORMAT </w:instrText>
      </w:r>
      <w:r w:rsidRPr="00371DCB">
        <w:rPr>
          <w:rFonts w:ascii="Arial" w:hAnsi="Arial" w:cs="Arial"/>
          <w:sz w:val="22"/>
          <w:szCs w:val="22"/>
        </w:rPr>
      </w:r>
      <w:r w:rsidRPr="00371DCB">
        <w:rPr>
          <w:rFonts w:ascii="Arial" w:hAnsi="Arial" w:cs="Arial"/>
          <w:sz w:val="22"/>
          <w:szCs w:val="22"/>
        </w:rPr>
        <w:fldChar w:fldCharType="separate"/>
      </w:r>
      <w:r w:rsidRPr="00371DCB">
        <w:rPr>
          <w:rFonts w:ascii="Arial" w:hAnsi="Arial" w:cs="Arial"/>
          <w:sz w:val="22"/>
          <w:szCs w:val="22"/>
        </w:rPr>
        <w:t>37</w:t>
      </w:r>
      <w:r w:rsidRPr="00371DCB">
        <w:rPr>
          <w:rFonts w:ascii="Arial" w:hAnsi="Arial" w:cs="Arial"/>
          <w:sz w:val="22"/>
          <w:szCs w:val="22"/>
        </w:rPr>
        <w:fldChar w:fldCharType="end"/>
      </w:r>
      <w:r w:rsidRPr="00371DCB">
        <w:rPr>
          <w:rFonts w:ascii="Arial" w:hAnsi="Arial" w:cs="Arial"/>
          <w:sz w:val="22"/>
          <w:szCs w:val="22"/>
        </w:rPr>
        <w:t xml:space="preserve">] In the Chinese trial registry, there are more than 300 interventional trials that have been registered for SARS-CoV-2. It is very likely that external data source will become available during the trial. </w:t>
      </w:r>
    </w:p>
    <w:p w14:paraId="1A9E2C32" w14:textId="41124C5C" w:rsidR="00C55832" w:rsidRPr="00371DCB" w:rsidRDefault="00F554D1" w:rsidP="00FB2D39">
      <w:pPr>
        <w:jc w:val="both"/>
        <w:rPr>
          <w:rFonts w:ascii="Arial" w:hAnsi="Arial" w:cs="Arial"/>
          <w:sz w:val="22"/>
          <w:szCs w:val="22"/>
        </w:rPr>
      </w:pPr>
      <w:r w:rsidRPr="00371DCB">
        <w:rPr>
          <w:rFonts w:ascii="Arial" w:hAnsi="Arial" w:cs="Arial"/>
          <w:sz w:val="22"/>
          <w:szCs w:val="22"/>
        </w:rPr>
        <w:t xml:space="preserve">The full technical details on the empirical Bayesian information borrowing method will be described in the Statistical Analysis Plan. </w:t>
      </w:r>
    </w:p>
    <w:p w14:paraId="60ADE9FA" w14:textId="663204A0" w:rsidR="00F554D1" w:rsidRPr="00371DCB" w:rsidRDefault="00F554D1" w:rsidP="00FB2D39">
      <w:pPr>
        <w:jc w:val="both"/>
        <w:rPr>
          <w:rFonts w:ascii="Arial" w:hAnsi="Arial" w:cs="Arial"/>
          <w:b/>
          <w:bCs/>
          <w:sz w:val="22"/>
          <w:szCs w:val="22"/>
        </w:rPr>
      </w:pPr>
      <w:r w:rsidRPr="00371DCB">
        <w:rPr>
          <w:rFonts w:ascii="Arial" w:hAnsi="Arial" w:cs="Arial"/>
          <w:b/>
          <w:bCs/>
          <w:sz w:val="22"/>
          <w:szCs w:val="22"/>
        </w:rPr>
        <w:t>Missing Data</w:t>
      </w:r>
      <w:r w:rsidR="00054E2E">
        <w:rPr>
          <w:rFonts w:ascii="Arial" w:hAnsi="Arial" w:cs="Arial"/>
          <w:b/>
          <w:bCs/>
          <w:sz w:val="22"/>
          <w:szCs w:val="22"/>
        </w:rPr>
        <w:t>:</w:t>
      </w:r>
    </w:p>
    <w:p w14:paraId="0AF60FBD" w14:textId="14A45AC0" w:rsidR="00F554D1" w:rsidRPr="00371DCB" w:rsidRDefault="00F554D1" w:rsidP="00FB2D39">
      <w:pPr>
        <w:jc w:val="both"/>
        <w:rPr>
          <w:rFonts w:ascii="Arial" w:hAnsi="Arial" w:cs="Arial"/>
          <w:sz w:val="22"/>
          <w:szCs w:val="22"/>
        </w:rPr>
      </w:pPr>
      <w:r w:rsidRPr="00371DCB">
        <w:rPr>
          <w:rFonts w:ascii="Arial" w:hAnsi="Arial" w:cs="Arial"/>
          <w:sz w:val="22"/>
          <w:szCs w:val="22"/>
        </w:rPr>
        <w:t xml:space="preserve">Due to the design of the study and retention activities, we expect to be able measure outcomes on all participants. However, in the unlikely event of a missing test result, the missing data will be imputed. </w:t>
      </w:r>
    </w:p>
    <w:p w14:paraId="748DF6B3" w14:textId="46736E8D" w:rsidR="00C55832" w:rsidRPr="00371DCB" w:rsidRDefault="00C55832" w:rsidP="00FB2D39">
      <w:pPr>
        <w:jc w:val="both"/>
        <w:rPr>
          <w:rFonts w:ascii="Arial" w:hAnsi="Arial" w:cs="Arial"/>
          <w:b/>
          <w:bCs/>
          <w:sz w:val="22"/>
          <w:szCs w:val="22"/>
        </w:rPr>
      </w:pPr>
      <w:r w:rsidRPr="00371DCB">
        <w:rPr>
          <w:rFonts w:ascii="Arial" w:hAnsi="Arial" w:cs="Arial"/>
          <w:b/>
          <w:bCs/>
          <w:sz w:val="22"/>
          <w:szCs w:val="22"/>
        </w:rPr>
        <w:t>Interim Analysis</w:t>
      </w:r>
      <w:r w:rsidR="00054E2E">
        <w:rPr>
          <w:rFonts w:ascii="Arial" w:hAnsi="Arial" w:cs="Arial"/>
          <w:b/>
          <w:bCs/>
          <w:sz w:val="22"/>
          <w:szCs w:val="22"/>
        </w:rPr>
        <w:t>:</w:t>
      </w:r>
    </w:p>
    <w:p w14:paraId="36EE0DD0" w14:textId="2F07E710" w:rsidR="00C55832" w:rsidRPr="00371DCB" w:rsidRDefault="00C55832" w:rsidP="00FB2D39">
      <w:pPr>
        <w:jc w:val="both"/>
        <w:rPr>
          <w:rFonts w:ascii="Arial" w:hAnsi="Arial" w:cs="Arial"/>
          <w:sz w:val="22"/>
          <w:szCs w:val="22"/>
        </w:rPr>
      </w:pPr>
      <w:r w:rsidRPr="00371DCB">
        <w:rPr>
          <w:rFonts w:ascii="Arial" w:hAnsi="Arial" w:cs="Arial"/>
          <w:sz w:val="22"/>
          <w:szCs w:val="22"/>
        </w:rPr>
        <w:t>The DSMB will decide on a possible interim analysis during the trial after the sample size re-assessment based on the information on the observed recruitment rate, the CER, the drop-out rate, and the final sample size target, if applicable.  The decision for interim analysis will be made in a blinded manner (e.g., based on pooled number of events). The interim monitoring plan (written by the Study Statistician) will define monitoring bounds to maintain the two</w:t>
      </w:r>
      <w:r w:rsidRPr="00371DCB">
        <w:rPr>
          <w:rFonts w:ascii="Arial" w:hAnsi="Arial" w:cs="Arial"/>
          <w:sz w:val="22"/>
          <w:szCs w:val="22"/>
        </w:rPr>
        <w:noBreakHyphen/>
        <w:t xml:space="preserve">sided type I error rate at the desired 5% (e.g. 97.5% or higher probability of superiority over the control group). Should new experimental candidates be added during the trial, allocation ratios will be adapted to </w:t>
      </w:r>
      <w:proofErr w:type="spellStart"/>
      <w:r w:rsidRPr="00371DCB">
        <w:rPr>
          <w:rFonts w:ascii="Arial" w:hAnsi="Arial" w:cs="Arial"/>
          <w:sz w:val="22"/>
          <w:szCs w:val="22"/>
        </w:rPr>
        <w:t>favor</w:t>
      </w:r>
      <w:proofErr w:type="spellEnd"/>
      <w:r w:rsidRPr="00371DCB">
        <w:rPr>
          <w:rFonts w:ascii="Arial" w:hAnsi="Arial" w:cs="Arial"/>
          <w:sz w:val="22"/>
          <w:szCs w:val="22"/>
        </w:rPr>
        <w:t xml:space="preserve"> the new arms.</w:t>
      </w:r>
    </w:p>
    <w:p w14:paraId="1CC67910" w14:textId="77777777" w:rsidR="00F554D1" w:rsidRPr="00371DCB" w:rsidRDefault="00F554D1" w:rsidP="00FB2D39">
      <w:pPr>
        <w:pStyle w:val="Heading3"/>
        <w:jc w:val="both"/>
      </w:pPr>
      <w:bookmarkStart w:id="140" w:name="_Toc38818798"/>
      <w:bookmarkStart w:id="141" w:name="_Toc421709294"/>
      <w:bookmarkStart w:id="142" w:name="_Ref449945490"/>
      <w:bookmarkStart w:id="143" w:name="_Toc36029550"/>
      <w:r w:rsidRPr="00371DCB">
        <w:t>Secondary endpoints</w:t>
      </w:r>
      <w:bookmarkEnd w:id="140"/>
    </w:p>
    <w:p w14:paraId="051F2585" w14:textId="77777777" w:rsidR="00F554D1" w:rsidRPr="00371DCB" w:rsidRDefault="00F554D1" w:rsidP="00FB2D39">
      <w:pPr>
        <w:jc w:val="both"/>
        <w:rPr>
          <w:rFonts w:ascii="Arial" w:hAnsi="Arial" w:cs="Arial"/>
          <w:sz w:val="22"/>
          <w:szCs w:val="22"/>
        </w:rPr>
      </w:pPr>
      <w:r w:rsidRPr="00371DCB">
        <w:rPr>
          <w:rFonts w:ascii="Arial" w:hAnsi="Arial" w:cs="Arial"/>
          <w:sz w:val="22"/>
          <w:szCs w:val="22"/>
          <w:lang w:eastAsia="ja-JP"/>
        </w:rPr>
        <w:t>All secondary endpoints will be assessed in the Intention-to-Treat population overall and by cohort.</w:t>
      </w:r>
    </w:p>
    <w:p w14:paraId="16EF1677" w14:textId="77777777" w:rsidR="00F554D1" w:rsidRPr="00371DCB" w:rsidRDefault="00F554D1" w:rsidP="00FB2D39">
      <w:pPr>
        <w:pStyle w:val="Heading4"/>
        <w:jc w:val="both"/>
      </w:pPr>
      <w:r w:rsidRPr="00371DCB">
        <w:t>Safety Analyses</w:t>
      </w:r>
      <w:bookmarkEnd w:id="141"/>
      <w:bookmarkEnd w:id="142"/>
      <w:bookmarkEnd w:id="143"/>
    </w:p>
    <w:p w14:paraId="6D3DA114" w14:textId="77777777" w:rsidR="00F554D1" w:rsidRPr="00371DCB" w:rsidRDefault="00F554D1" w:rsidP="00FB2D39">
      <w:pPr>
        <w:jc w:val="both"/>
        <w:rPr>
          <w:rFonts w:ascii="Arial" w:hAnsi="Arial" w:cs="Arial"/>
          <w:color w:val="000000" w:themeColor="text1"/>
          <w:sz w:val="22"/>
          <w:szCs w:val="22"/>
        </w:rPr>
      </w:pPr>
      <w:r w:rsidRPr="00371DCB">
        <w:rPr>
          <w:rFonts w:ascii="Arial" w:hAnsi="Arial" w:cs="Arial"/>
          <w:sz w:val="22"/>
          <w:szCs w:val="22"/>
        </w:rPr>
        <w:t>All safety analyses will be performed on the Intention-to-Treat population. AEs will be compared by study group</w:t>
      </w:r>
      <w:r w:rsidRPr="00371DCB">
        <w:rPr>
          <w:rFonts w:ascii="Arial" w:hAnsi="Arial" w:cs="Arial"/>
          <w:color w:val="000000" w:themeColor="text1"/>
          <w:sz w:val="22"/>
          <w:szCs w:val="22"/>
        </w:rPr>
        <w:t>.</w:t>
      </w:r>
      <w:bookmarkStart w:id="144" w:name="_Toc421709295"/>
    </w:p>
    <w:p w14:paraId="705971E7" w14:textId="77777777" w:rsidR="00F554D1" w:rsidRPr="00371DCB" w:rsidRDefault="00F554D1" w:rsidP="00FB2D39">
      <w:pPr>
        <w:pStyle w:val="Heading4"/>
        <w:jc w:val="both"/>
      </w:pPr>
      <w:r w:rsidRPr="00371DCB">
        <w:lastRenderedPageBreak/>
        <w:t>Hospitalization</w:t>
      </w:r>
    </w:p>
    <w:p w14:paraId="32738BA7" w14:textId="77777777" w:rsidR="00F554D1" w:rsidRPr="00371DCB" w:rsidRDefault="00F554D1" w:rsidP="00FB2D39">
      <w:pPr>
        <w:jc w:val="both"/>
        <w:rPr>
          <w:rFonts w:ascii="Arial" w:hAnsi="Arial" w:cs="Arial"/>
          <w:sz w:val="22"/>
          <w:szCs w:val="22"/>
        </w:rPr>
      </w:pPr>
      <w:r w:rsidRPr="00371DCB">
        <w:rPr>
          <w:rFonts w:ascii="Arial" w:hAnsi="Arial" w:cs="Arial"/>
          <w:sz w:val="22"/>
          <w:szCs w:val="22"/>
          <w:lang w:eastAsia="ja-JP"/>
        </w:rPr>
        <w:t>Hospitalization rates between the groups will be compared using logistic regression stratified by site. Number of days hospitalized will be described graphically and by median and interquartile rage.</w:t>
      </w:r>
    </w:p>
    <w:p w14:paraId="15C14C54" w14:textId="77777777" w:rsidR="00F554D1" w:rsidRPr="00371DCB" w:rsidRDefault="00F554D1" w:rsidP="00FB2D39">
      <w:pPr>
        <w:pStyle w:val="Heading4"/>
        <w:jc w:val="both"/>
      </w:pPr>
      <w:r w:rsidRPr="00371DCB">
        <w:t xml:space="preserve">Symptom Resolution </w:t>
      </w:r>
    </w:p>
    <w:p w14:paraId="3399F102" w14:textId="77777777" w:rsidR="00F554D1" w:rsidRPr="00371DCB" w:rsidRDefault="00F554D1" w:rsidP="00FB2D39">
      <w:pPr>
        <w:pStyle w:val="xtabletext"/>
        <w:spacing w:before="60" w:beforeAutospacing="0" w:after="60" w:afterAutospacing="0" w:line="300" w:lineRule="atLeast"/>
        <w:rPr>
          <w:rFonts w:ascii="Arial" w:hAnsi="Arial" w:cs="Arial"/>
          <w:color w:val="000000"/>
          <w:sz w:val="22"/>
          <w:szCs w:val="22"/>
        </w:rPr>
      </w:pPr>
      <w:r w:rsidRPr="00371DCB">
        <w:rPr>
          <w:rFonts w:ascii="Arial" w:hAnsi="Arial" w:cs="Arial"/>
          <w:color w:val="000000"/>
          <w:sz w:val="22"/>
          <w:szCs w:val="22"/>
        </w:rPr>
        <w:t>Days with fever after randomization, respiratory symptoms after randomization and Sp02&lt;93% after randomization will be modeled using Poisson regression stratified by site with an offset for number of days of observation.</w:t>
      </w:r>
    </w:p>
    <w:p w14:paraId="33BF9FEF" w14:textId="77777777" w:rsidR="00F554D1" w:rsidRPr="00371DCB" w:rsidRDefault="00F554D1" w:rsidP="00FB2D39">
      <w:pPr>
        <w:pStyle w:val="Heading3"/>
        <w:jc w:val="both"/>
      </w:pPr>
      <w:bookmarkStart w:id="145" w:name="_Toc36029551"/>
      <w:bookmarkStart w:id="146" w:name="_Toc38818799"/>
      <w:r w:rsidRPr="00371DCB">
        <w:t>Pharmacokinetic Analysis</w:t>
      </w:r>
      <w:bookmarkEnd w:id="145"/>
      <w:bookmarkEnd w:id="146"/>
    </w:p>
    <w:p w14:paraId="5967753B" w14:textId="77777777" w:rsidR="00F554D1" w:rsidRPr="00371DCB" w:rsidRDefault="00F554D1" w:rsidP="00FB2D39">
      <w:pPr>
        <w:jc w:val="both"/>
        <w:rPr>
          <w:rFonts w:ascii="Arial" w:hAnsi="Arial" w:cs="Arial"/>
          <w:bCs/>
          <w:sz w:val="22"/>
          <w:szCs w:val="22"/>
        </w:rPr>
      </w:pPr>
      <w:r w:rsidRPr="00371DCB">
        <w:rPr>
          <w:rFonts w:ascii="Arial" w:hAnsi="Arial" w:cs="Arial"/>
          <w:sz w:val="22"/>
          <w:szCs w:val="22"/>
        </w:rPr>
        <w:t xml:space="preserve">Sparse PK from DBS will be </w:t>
      </w:r>
      <w:proofErr w:type="spellStart"/>
      <w:r w:rsidRPr="00371DCB">
        <w:rPr>
          <w:rFonts w:ascii="Arial" w:hAnsi="Arial" w:cs="Arial"/>
          <w:sz w:val="22"/>
          <w:szCs w:val="22"/>
        </w:rPr>
        <w:t>analyzed</w:t>
      </w:r>
      <w:proofErr w:type="spellEnd"/>
      <w:r w:rsidRPr="00371DCB">
        <w:rPr>
          <w:rFonts w:ascii="Arial" w:hAnsi="Arial" w:cs="Arial"/>
          <w:sz w:val="22"/>
          <w:szCs w:val="22"/>
        </w:rPr>
        <w:t xml:space="preserve"> using standard population PK analysis methodologies using standard software such as NONMEM</w:t>
      </w:r>
      <w:r w:rsidRPr="00371DCB">
        <w:rPr>
          <w:rFonts w:ascii="Arial" w:hAnsi="Arial" w:cs="Arial"/>
          <w:sz w:val="22"/>
          <w:szCs w:val="22"/>
          <w:vertAlign w:val="superscript"/>
        </w:rPr>
        <w:t>®</w:t>
      </w:r>
      <w:r w:rsidRPr="00371DCB">
        <w:rPr>
          <w:rFonts w:ascii="Arial" w:hAnsi="Arial" w:cs="Arial"/>
          <w:sz w:val="22"/>
          <w:szCs w:val="22"/>
        </w:rPr>
        <w:t xml:space="preserve"> V7.4 or Phoenix NLME V8.2.</w:t>
      </w:r>
    </w:p>
    <w:p w14:paraId="7109375D" w14:textId="77777777" w:rsidR="00F554D1" w:rsidRPr="00371DCB" w:rsidRDefault="00F554D1" w:rsidP="00FB2D39">
      <w:pPr>
        <w:pStyle w:val="Heading3"/>
        <w:jc w:val="both"/>
      </w:pPr>
      <w:bookmarkStart w:id="147" w:name="_Toc36029552"/>
      <w:bookmarkStart w:id="148" w:name="_Toc38818800"/>
      <w:r w:rsidRPr="00371DCB">
        <w:t>Exploratory Exposure-Response Analyses</w:t>
      </w:r>
      <w:bookmarkEnd w:id="147"/>
      <w:bookmarkEnd w:id="148"/>
    </w:p>
    <w:p w14:paraId="099DF050" w14:textId="77777777" w:rsidR="00F554D1" w:rsidRPr="00371DCB" w:rsidRDefault="00F554D1" w:rsidP="00FB2D39">
      <w:pPr>
        <w:jc w:val="both"/>
        <w:rPr>
          <w:rFonts w:ascii="Arial" w:hAnsi="Arial" w:cs="Arial"/>
          <w:sz w:val="22"/>
          <w:szCs w:val="22"/>
        </w:rPr>
      </w:pPr>
      <w:r w:rsidRPr="00371DCB">
        <w:rPr>
          <w:rFonts w:ascii="Arial" w:hAnsi="Arial" w:cs="Arial"/>
          <w:sz w:val="22"/>
          <w:szCs w:val="22"/>
        </w:rPr>
        <w:t>PK-evaluable participants will have post-hoc individual concentration profiles and exposure estimates determined for exploratory exposure-response analyses against primary and secondary efficacy and safety endpoints. Exploratory PK/pharmacodynamic analyses will be performed as the data allow.</w:t>
      </w:r>
    </w:p>
    <w:p w14:paraId="0B18D48E" w14:textId="77777777" w:rsidR="00F554D1" w:rsidRPr="00371DCB" w:rsidRDefault="00F554D1" w:rsidP="00FB2D39">
      <w:pPr>
        <w:pStyle w:val="Heading3"/>
        <w:jc w:val="both"/>
      </w:pPr>
      <w:bookmarkStart w:id="149" w:name="_Toc36029553"/>
      <w:bookmarkStart w:id="150" w:name="_Toc38818801"/>
      <w:r w:rsidRPr="00371DCB">
        <w:t>Combined Study Analysis</w:t>
      </w:r>
      <w:bookmarkEnd w:id="149"/>
      <w:bookmarkEnd w:id="150"/>
    </w:p>
    <w:p w14:paraId="5E70917A" w14:textId="143E7945" w:rsidR="00DB666F" w:rsidRDefault="00F554D1" w:rsidP="00FB2D39">
      <w:pPr>
        <w:jc w:val="both"/>
        <w:rPr>
          <w:rFonts w:ascii="Arial" w:hAnsi="Arial" w:cs="Arial"/>
          <w:sz w:val="22"/>
          <w:szCs w:val="22"/>
        </w:rPr>
      </w:pPr>
      <w:r w:rsidRPr="00371DCB">
        <w:rPr>
          <w:rFonts w:ascii="Arial" w:hAnsi="Arial" w:cs="Arial"/>
          <w:sz w:val="22"/>
          <w:szCs w:val="22"/>
        </w:rPr>
        <w:t>This protocol is being published as a model protocol for other institutions to consider as they undertake studying treatments to prevent development of LRTI among outpatients with SARS-CoV-2 infection. It is hoped that individual patient data from similar studies can be pooled into a combined study analysis. De-identified data from the present study will be made available for these purposes in accordance with the funder’s open access policy (</w:t>
      </w:r>
      <w:hyperlink r:id="rId26" w:history="1">
        <w:r w:rsidRPr="00371DCB">
          <w:rPr>
            <w:rStyle w:val="Hyperlink"/>
            <w:rFonts w:ascii="Arial" w:hAnsi="Arial" w:cs="Arial"/>
            <w:sz w:val="22"/>
            <w:szCs w:val="22"/>
          </w:rPr>
          <w:t>https://www.gatesfoundation.org/how-we-work/general-information/open-access-policy</w:t>
        </w:r>
      </w:hyperlink>
      <w:r w:rsidRPr="00371DCB">
        <w:rPr>
          <w:rFonts w:ascii="Arial" w:hAnsi="Arial" w:cs="Arial"/>
          <w:sz w:val="22"/>
          <w:szCs w:val="22"/>
        </w:rPr>
        <w:t>).</w:t>
      </w:r>
      <w:bookmarkEnd w:id="144"/>
    </w:p>
    <w:p w14:paraId="3BBF0E87" w14:textId="2C9C1DFB" w:rsidR="0017071B" w:rsidRDefault="0017071B" w:rsidP="00FB2D39">
      <w:pPr>
        <w:jc w:val="both"/>
        <w:rPr>
          <w:rFonts w:ascii="Arial" w:hAnsi="Arial" w:cs="Arial"/>
          <w:sz w:val="22"/>
          <w:szCs w:val="22"/>
        </w:rPr>
      </w:pPr>
    </w:p>
    <w:p w14:paraId="7C36E20C" w14:textId="77777777" w:rsidR="0017071B" w:rsidRPr="00371DCB" w:rsidRDefault="0017071B" w:rsidP="00FB2D39">
      <w:pPr>
        <w:jc w:val="both"/>
        <w:rPr>
          <w:rFonts w:ascii="Arial" w:hAnsi="Arial" w:cs="Arial"/>
          <w:sz w:val="22"/>
          <w:szCs w:val="22"/>
        </w:rPr>
      </w:pPr>
    </w:p>
    <w:p w14:paraId="422F1418" w14:textId="56AD19BE" w:rsidR="00DB666F" w:rsidRDefault="00A076A9" w:rsidP="00FB2D39">
      <w:pPr>
        <w:pStyle w:val="Heading1"/>
        <w:rPr>
          <w:rFonts w:ascii="Arial" w:hAnsi="Arial" w:cs="Arial"/>
          <w:sz w:val="22"/>
        </w:rPr>
      </w:pPr>
      <w:r w:rsidRPr="00371DCB">
        <w:rPr>
          <w:rFonts w:ascii="Arial" w:hAnsi="Arial" w:cs="Arial"/>
          <w:sz w:val="22"/>
        </w:rPr>
        <w:lastRenderedPageBreak/>
        <w:t xml:space="preserve">Reimbursement </w:t>
      </w:r>
    </w:p>
    <w:p w14:paraId="360A7BE2" w14:textId="77777777" w:rsidR="00903878" w:rsidRDefault="00903878" w:rsidP="00FB2D39">
      <w:pPr>
        <w:jc w:val="both"/>
        <w:rPr>
          <w:rFonts w:ascii="Arial" w:hAnsi="Arial" w:cs="Arial"/>
          <w:sz w:val="22"/>
          <w:szCs w:val="22"/>
          <w:lang w:val="en-US" w:eastAsia="ja-JP"/>
        </w:rPr>
      </w:pPr>
    </w:p>
    <w:p w14:paraId="66B59D1E" w14:textId="137CCE7E" w:rsidR="00E84302" w:rsidRDefault="0017071B" w:rsidP="00FB2D39">
      <w:pPr>
        <w:jc w:val="both"/>
        <w:rPr>
          <w:rFonts w:ascii="Arial" w:hAnsi="Arial" w:cs="Arial"/>
          <w:sz w:val="22"/>
          <w:szCs w:val="22"/>
          <w:lang w:val="en-US" w:eastAsia="ja-JP"/>
        </w:rPr>
      </w:pPr>
      <w:r>
        <w:rPr>
          <w:rFonts w:ascii="Arial" w:hAnsi="Arial" w:cs="Arial"/>
          <w:sz w:val="22"/>
          <w:szCs w:val="22"/>
          <w:lang w:val="en-US" w:eastAsia="ja-JP"/>
        </w:rPr>
        <w:t>The South African Health Products Regulatory Authority Clinical Trial Participant Time, Inconvenience and Expense (TIE) compensation model will be followed, dated June 2018.</w:t>
      </w:r>
    </w:p>
    <w:p w14:paraId="11DF8931" w14:textId="77777777" w:rsidR="0017071B" w:rsidRPr="0017071B" w:rsidRDefault="00B971A8" w:rsidP="00FB2D39">
      <w:pPr>
        <w:jc w:val="both"/>
        <w:rPr>
          <w:rFonts w:ascii="Arial" w:hAnsi="Arial" w:cs="Arial"/>
          <w:sz w:val="22"/>
          <w:szCs w:val="22"/>
        </w:rPr>
      </w:pPr>
      <w:hyperlink r:id="rId27" w:history="1">
        <w:r w:rsidR="0017071B" w:rsidRPr="0017071B">
          <w:rPr>
            <w:rStyle w:val="Hyperlink"/>
            <w:rFonts w:ascii="Arial" w:eastAsia="MS Gothic" w:hAnsi="Arial" w:cs="Arial"/>
            <w:sz w:val="22"/>
            <w:szCs w:val="22"/>
          </w:rPr>
          <w:t>https://www.sahpra.org.za/wp-content/uploads/2020/02/7_Clinical-Trial-Participant-Time-Inconvenience-and-Expense_TIE_Compensation_Model_May18_v1-1.pdf</w:t>
        </w:r>
      </w:hyperlink>
    </w:p>
    <w:p w14:paraId="1F41D2CA" w14:textId="77777777" w:rsidR="0017071B" w:rsidRPr="00E84302" w:rsidRDefault="0017071B" w:rsidP="00FB2D39">
      <w:pPr>
        <w:jc w:val="both"/>
        <w:rPr>
          <w:rFonts w:ascii="Arial" w:hAnsi="Arial" w:cs="Arial"/>
          <w:sz w:val="22"/>
          <w:szCs w:val="22"/>
          <w:lang w:val="en-US" w:eastAsia="ja-JP"/>
        </w:rPr>
      </w:pPr>
    </w:p>
    <w:p w14:paraId="7318F15F" w14:textId="292166EC" w:rsidR="00381D18" w:rsidRPr="00371DCB" w:rsidRDefault="00FC4C3A" w:rsidP="00FB2D39">
      <w:pPr>
        <w:pStyle w:val="Heading1"/>
        <w:rPr>
          <w:rFonts w:ascii="Arial" w:hAnsi="Arial" w:cs="Arial"/>
          <w:sz w:val="22"/>
        </w:rPr>
      </w:pPr>
      <w:bookmarkStart w:id="151" w:name="_Toc38818802"/>
      <w:r w:rsidRPr="00371DCB">
        <w:rPr>
          <w:rFonts w:ascii="Arial" w:hAnsi="Arial" w:cs="Arial"/>
          <w:sz w:val="22"/>
        </w:rPr>
        <w:lastRenderedPageBreak/>
        <w:t>References</w:t>
      </w:r>
      <w:bookmarkEnd w:id="151"/>
    </w:p>
    <w:p w14:paraId="078076EC" w14:textId="77777777" w:rsidR="00415001" w:rsidRPr="00371DCB" w:rsidRDefault="00C55832" w:rsidP="00FB2D39">
      <w:pPr>
        <w:pStyle w:val="EndNoteBibliography"/>
        <w:spacing w:after="0"/>
        <w:rPr>
          <w:rFonts w:ascii="Arial" w:hAnsi="Arial" w:cs="Arial"/>
          <w:noProof/>
          <w:sz w:val="22"/>
          <w:szCs w:val="22"/>
        </w:rPr>
      </w:pPr>
      <w:r w:rsidRPr="00371DCB">
        <w:rPr>
          <w:rFonts w:ascii="Arial" w:hAnsi="Arial" w:cs="Arial"/>
          <w:sz w:val="22"/>
          <w:szCs w:val="22"/>
        </w:rPr>
        <w:fldChar w:fldCharType="begin"/>
      </w:r>
      <w:r w:rsidRPr="00371DCB">
        <w:rPr>
          <w:rFonts w:ascii="Arial" w:hAnsi="Arial" w:cs="Arial"/>
          <w:sz w:val="22"/>
          <w:szCs w:val="22"/>
        </w:rPr>
        <w:instrText xml:space="preserve"> ADDIN EN.REFLIST </w:instrText>
      </w:r>
      <w:r w:rsidRPr="00371DCB">
        <w:rPr>
          <w:rFonts w:ascii="Arial" w:hAnsi="Arial" w:cs="Arial"/>
          <w:sz w:val="22"/>
          <w:szCs w:val="22"/>
        </w:rPr>
        <w:fldChar w:fldCharType="separate"/>
      </w:r>
      <w:bookmarkStart w:id="152" w:name="_ENREF_1"/>
      <w:r w:rsidR="00415001" w:rsidRPr="00371DCB">
        <w:rPr>
          <w:rFonts w:ascii="Arial" w:hAnsi="Arial" w:cs="Arial"/>
          <w:noProof/>
          <w:sz w:val="22"/>
          <w:szCs w:val="22"/>
        </w:rPr>
        <w:t>1.</w:t>
      </w:r>
      <w:r w:rsidR="00415001" w:rsidRPr="00371DCB">
        <w:rPr>
          <w:rFonts w:ascii="Arial" w:hAnsi="Arial" w:cs="Arial"/>
          <w:noProof/>
          <w:sz w:val="22"/>
          <w:szCs w:val="22"/>
        </w:rPr>
        <w:tab/>
        <w:t xml:space="preserve">Huang C, Wang Y, Li X, et al. Clinical features of patients infected with 2019 novel coronavirus in Wuhan, China. </w:t>
      </w:r>
      <w:r w:rsidR="00415001" w:rsidRPr="00371DCB">
        <w:rPr>
          <w:rFonts w:ascii="Arial" w:hAnsi="Arial" w:cs="Arial"/>
          <w:i/>
          <w:noProof/>
          <w:sz w:val="22"/>
          <w:szCs w:val="22"/>
        </w:rPr>
        <w:t>Lancet</w:t>
      </w:r>
      <w:r w:rsidR="00415001" w:rsidRPr="00371DCB">
        <w:rPr>
          <w:rFonts w:ascii="Arial" w:hAnsi="Arial" w:cs="Arial"/>
          <w:noProof/>
          <w:sz w:val="22"/>
          <w:szCs w:val="22"/>
        </w:rPr>
        <w:t xml:space="preserve"> 2020; </w:t>
      </w:r>
      <w:r w:rsidR="00415001" w:rsidRPr="00371DCB">
        <w:rPr>
          <w:rFonts w:ascii="Arial" w:hAnsi="Arial" w:cs="Arial"/>
          <w:b/>
          <w:noProof/>
          <w:sz w:val="22"/>
          <w:szCs w:val="22"/>
        </w:rPr>
        <w:t>395</w:t>
      </w:r>
      <w:r w:rsidR="00415001" w:rsidRPr="00371DCB">
        <w:rPr>
          <w:rFonts w:ascii="Arial" w:hAnsi="Arial" w:cs="Arial"/>
          <w:noProof/>
          <w:sz w:val="22"/>
          <w:szCs w:val="22"/>
        </w:rPr>
        <w:t>(10223): 497-506.</w:t>
      </w:r>
      <w:bookmarkEnd w:id="152"/>
    </w:p>
    <w:p w14:paraId="51DFE3C8" w14:textId="77777777" w:rsidR="00415001" w:rsidRPr="00371DCB" w:rsidRDefault="00415001" w:rsidP="00FB2D39">
      <w:pPr>
        <w:pStyle w:val="EndNoteBibliography"/>
        <w:spacing w:after="0"/>
        <w:rPr>
          <w:rFonts w:ascii="Arial" w:hAnsi="Arial" w:cs="Arial"/>
          <w:noProof/>
          <w:sz w:val="22"/>
          <w:szCs w:val="22"/>
        </w:rPr>
      </w:pPr>
      <w:bookmarkStart w:id="153" w:name="_ENREF_2"/>
      <w:r w:rsidRPr="00371DCB">
        <w:rPr>
          <w:rFonts w:ascii="Arial" w:hAnsi="Arial" w:cs="Arial"/>
          <w:noProof/>
          <w:sz w:val="22"/>
          <w:szCs w:val="22"/>
        </w:rPr>
        <w:t>2.</w:t>
      </w:r>
      <w:r w:rsidRPr="00371DCB">
        <w:rPr>
          <w:rFonts w:ascii="Arial" w:hAnsi="Arial" w:cs="Arial"/>
          <w:noProof/>
          <w:sz w:val="22"/>
          <w:szCs w:val="22"/>
        </w:rPr>
        <w:tab/>
        <w:t xml:space="preserve">Zhu N, Zhang D, Wang W, et al. A Novel Coronavirus from Patients with Pneumonia in China, 2019. </w:t>
      </w:r>
      <w:r w:rsidRPr="00371DCB">
        <w:rPr>
          <w:rFonts w:ascii="Arial" w:hAnsi="Arial" w:cs="Arial"/>
          <w:i/>
          <w:noProof/>
          <w:sz w:val="22"/>
          <w:szCs w:val="22"/>
        </w:rPr>
        <w:t>N Engl J Med</w:t>
      </w:r>
      <w:r w:rsidRPr="00371DCB">
        <w:rPr>
          <w:rFonts w:ascii="Arial" w:hAnsi="Arial" w:cs="Arial"/>
          <w:noProof/>
          <w:sz w:val="22"/>
          <w:szCs w:val="22"/>
        </w:rPr>
        <w:t xml:space="preserve"> 2020; </w:t>
      </w:r>
      <w:r w:rsidRPr="00371DCB">
        <w:rPr>
          <w:rFonts w:ascii="Arial" w:hAnsi="Arial" w:cs="Arial"/>
          <w:b/>
          <w:noProof/>
          <w:sz w:val="22"/>
          <w:szCs w:val="22"/>
        </w:rPr>
        <w:t>382</w:t>
      </w:r>
      <w:r w:rsidRPr="00371DCB">
        <w:rPr>
          <w:rFonts w:ascii="Arial" w:hAnsi="Arial" w:cs="Arial"/>
          <w:noProof/>
          <w:sz w:val="22"/>
          <w:szCs w:val="22"/>
        </w:rPr>
        <w:t>(8): 727-33.</w:t>
      </w:r>
      <w:bookmarkEnd w:id="153"/>
    </w:p>
    <w:p w14:paraId="4490C670" w14:textId="77777777" w:rsidR="00415001" w:rsidRPr="00371DCB" w:rsidRDefault="00415001" w:rsidP="00FB2D39">
      <w:pPr>
        <w:pStyle w:val="EndNoteBibliography"/>
        <w:spacing w:after="0"/>
        <w:rPr>
          <w:rFonts w:ascii="Arial" w:hAnsi="Arial" w:cs="Arial"/>
          <w:noProof/>
          <w:sz w:val="22"/>
          <w:szCs w:val="22"/>
        </w:rPr>
      </w:pPr>
      <w:bookmarkStart w:id="154" w:name="_ENREF_3"/>
      <w:r w:rsidRPr="00371DCB">
        <w:rPr>
          <w:rFonts w:ascii="Arial" w:hAnsi="Arial" w:cs="Arial"/>
          <w:noProof/>
          <w:sz w:val="22"/>
          <w:szCs w:val="22"/>
        </w:rPr>
        <w:t>3.</w:t>
      </w:r>
      <w:r w:rsidRPr="00371DCB">
        <w:rPr>
          <w:rFonts w:ascii="Arial" w:hAnsi="Arial" w:cs="Arial"/>
          <w:noProof/>
          <w:sz w:val="22"/>
          <w:szCs w:val="22"/>
        </w:rPr>
        <w:tab/>
        <w:t xml:space="preserve">Chen N, Zhou M, Dong X, et al. Epidemiological and clinical characteristics of 99 cases of 2019 novel coronavirus pneumonia in Wuhan, China: a descriptive study. </w:t>
      </w:r>
      <w:r w:rsidRPr="00371DCB">
        <w:rPr>
          <w:rFonts w:ascii="Arial" w:hAnsi="Arial" w:cs="Arial"/>
          <w:i/>
          <w:noProof/>
          <w:sz w:val="22"/>
          <w:szCs w:val="22"/>
        </w:rPr>
        <w:t>Lancet</w:t>
      </w:r>
      <w:r w:rsidRPr="00371DCB">
        <w:rPr>
          <w:rFonts w:ascii="Arial" w:hAnsi="Arial" w:cs="Arial"/>
          <w:noProof/>
          <w:sz w:val="22"/>
          <w:szCs w:val="22"/>
        </w:rPr>
        <w:t xml:space="preserve"> 2020; </w:t>
      </w:r>
      <w:r w:rsidRPr="00371DCB">
        <w:rPr>
          <w:rFonts w:ascii="Arial" w:hAnsi="Arial" w:cs="Arial"/>
          <w:b/>
          <w:noProof/>
          <w:sz w:val="22"/>
          <w:szCs w:val="22"/>
        </w:rPr>
        <w:t>395</w:t>
      </w:r>
      <w:r w:rsidRPr="00371DCB">
        <w:rPr>
          <w:rFonts w:ascii="Arial" w:hAnsi="Arial" w:cs="Arial"/>
          <w:noProof/>
          <w:sz w:val="22"/>
          <w:szCs w:val="22"/>
        </w:rPr>
        <w:t>(10223): 507-13.</w:t>
      </w:r>
      <w:bookmarkEnd w:id="154"/>
    </w:p>
    <w:p w14:paraId="6EA3E38F" w14:textId="6B3BC52B" w:rsidR="00415001" w:rsidRPr="00371DCB" w:rsidRDefault="00415001" w:rsidP="00FB2D39">
      <w:pPr>
        <w:pStyle w:val="EndNoteBibliography"/>
        <w:spacing w:after="0"/>
        <w:rPr>
          <w:rFonts w:ascii="Arial" w:hAnsi="Arial" w:cs="Arial"/>
          <w:noProof/>
          <w:sz w:val="22"/>
          <w:szCs w:val="22"/>
        </w:rPr>
      </w:pPr>
      <w:bookmarkStart w:id="155" w:name="_ENREF_4"/>
      <w:r w:rsidRPr="00371DCB">
        <w:rPr>
          <w:rFonts w:ascii="Arial" w:hAnsi="Arial" w:cs="Arial"/>
          <w:noProof/>
          <w:sz w:val="22"/>
          <w:szCs w:val="22"/>
        </w:rPr>
        <w:t>4.</w:t>
      </w:r>
      <w:r w:rsidRPr="00371DCB">
        <w:rPr>
          <w:rFonts w:ascii="Arial" w:hAnsi="Arial" w:cs="Arial"/>
          <w:noProof/>
          <w:sz w:val="22"/>
          <w:szCs w:val="22"/>
        </w:rPr>
        <w:tab/>
        <w:t xml:space="preserve">Release WN. Statement on the second meeting of the International Health Regulations (2005) Emergency Committee regarding the outbreak of novel coronavirus (2019-nCoV). 30 January 2020 2020. </w:t>
      </w:r>
      <w:hyperlink r:id="rId28" w:history="1">
        <w:r w:rsidRPr="00371DCB">
          <w:rPr>
            <w:rStyle w:val="Hyperlink"/>
            <w:rFonts w:ascii="Arial" w:hAnsi="Arial" w:cs="Arial"/>
            <w:noProof/>
            <w:sz w:val="22"/>
            <w:szCs w:val="22"/>
          </w:rPr>
          <w:t>https://www.who.int/news-room/detail/30-01-2020-statement-on-the-second-meeting-of-the-international-health-regulations-(2005)-emergency-committee-regarding-the-outbreak-of-novel-coronavirus-(2019-ncov</w:t>
        </w:r>
      </w:hyperlink>
      <w:r w:rsidRPr="00371DCB">
        <w:rPr>
          <w:rFonts w:ascii="Arial" w:hAnsi="Arial" w:cs="Arial"/>
          <w:noProof/>
          <w:sz w:val="22"/>
          <w:szCs w:val="22"/>
        </w:rPr>
        <w:t>).</w:t>
      </w:r>
      <w:bookmarkEnd w:id="155"/>
    </w:p>
    <w:p w14:paraId="7A0AFE1D" w14:textId="77777777" w:rsidR="00415001" w:rsidRPr="00371DCB" w:rsidRDefault="00415001" w:rsidP="00FB2D39">
      <w:pPr>
        <w:pStyle w:val="EndNoteBibliography"/>
        <w:spacing w:after="0"/>
        <w:rPr>
          <w:rFonts w:ascii="Arial" w:hAnsi="Arial" w:cs="Arial"/>
          <w:noProof/>
          <w:sz w:val="22"/>
          <w:szCs w:val="22"/>
        </w:rPr>
      </w:pPr>
      <w:bookmarkStart w:id="156" w:name="_ENREF_5"/>
      <w:r w:rsidRPr="00371DCB">
        <w:rPr>
          <w:rFonts w:ascii="Arial" w:hAnsi="Arial" w:cs="Arial"/>
          <w:noProof/>
          <w:sz w:val="22"/>
          <w:szCs w:val="22"/>
        </w:rPr>
        <w:t>5.</w:t>
      </w:r>
      <w:r w:rsidRPr="00371DCB">
        <w:rPr>
          <w:rFonts w:ascii="Arial" w:hAnsi="Arial" w:cs="Arial"/>
          <w:noProof/>
          <w:sz w:val="22"/>
          <w:szCs w:val="22"/>
        </w:rPr>
        <w:tab/>
        <w:t xml:space="preserve">Cai J, Xu J, Lin D, et al. A Case Series of children with 2019 novel coronavirus infection: clinical and epidemiological features. </w:t>
      </w:r>
      <w:r w:rsidRPr="00371DCB">
        <w:rPr>
          <w:rFonts w:ascii="Arial" w:hAnsi="Arial" w:cs="Arial"/>
          <w:i/>
          <w:noProof/>
          <w:sz w:val="22"/>
          <w:szCs w:val="22"/>
        </w:rPr>
        <w:t>Clin Infect Dis</w:t>
      </w:r>
      <w:r w:rsidRPr="00371DCB">
        <w:rPr>
          <w:rFonts w:ascii="Arial" w:hAnsi="Arial" w:cs="Arial"/>
          <w:noProof/>
          <w:sz w:val="22"/>
          <w:szCs w:val="22"/>
        </w:rPr>
        <w:t xml:space="preserve"> 2020.</w:t>
      </w:r>
      <w:bookmarkEnd w:id="156"/>
    </w:p>
    <w:p w14:paraId="09E400DD" w14:textId="77777777" w:rsidR="00415001" w:rsidRPr="00371DCB" w:rsidRDefault="00415001" w:rsidP="00FB2D39">
      <w:pPr>
        <w:pStyle w:val="EndNoteBibliography"/>
        <w:spacing w:after="0"/>
        <w:rPr>
          <w:rFonts w:ascii="Arial" w:hAnsi="Arial" w:cs="Arial"/>
          <w:noProof/>
          <w:sz w:val="22"/>
          <w:szCs w:val="22"/>
        </w:rPr>
      </w:pPr>
      <w:bookmarkStart w:id="157" w:name="_ENREF_6"/>
      <w:r w:rsidRPr="00371DCB">
        <w:rPr>
          <w:rFonts w:ascii="Arial" w:hAnsi="Arial" w:cs="Arial"/>
          <w:noProof/>
          <w:sz w:val="22"/>
          <w:szCs w:val="22"/>
        </w:rPr>
        <w:t>6.</w:t>
      </w:r>
      <w:r w:rsidRPr="00371DCB">
        <w:rPr>
          <w:rFonts w:ascii="Arial" w:hAnsi="Arial" w:cs="Arial"/>
          <w:noProof/>
          <w:sz w:val="22"/>
          <w:szCs w:val="22"/>
        </w:rPr>
        <w:tab/>
        <w:t xml:space="preserve">Linton NM, Kobayashi T, Yang Y, et al. Incubation Period and Other Epidemiological Characteristics of 2019 Novel Coronavirus Infections with Right Truncation: A Statistical Analysis of Publicly Available Case Data. </w:t>
      </w:r>
      <w:r w:rsidRPr="00371DCB">
        <w:rPr>
          <w:rFonts w:ascii="Arial" w:hAnsi="Arial" w:cs="Arial"/>
          <w:i/>
          <w:noProof/>
          <w:sz w:val="22"/>
          <w:szCs w:val="22"/>
        </w:rPr>
        <w:t>J Clin Med</w:t>
      </w:r>
      <w:r w:rsidRPr="00371DCB">
        <w:rPr>
          <w:rFonts w:ascii="Arial" w:hAnsi="Arial" w:cs="Arial"/>
          <w:noProof/>
          <w:sz w:val="22"/>
          <w:szCs w:val="22"/>
        </w:rPr>
        <w:t xml:space="preserve"> 2020; </w:t>
      </w:r>
      <w:r w:rsidRPr="00371DCB">
        <w:rPr>
          <w:rFonts w:ascii="Arial" w:hAnsi="Arial" w:cs="Arial"/>
          <w:b/>
          <w:noProof/>
          <w:sz w:val="22"/>
          <w:szCs w:val="22"/>
        </w:rPr>
        <w:t>9</w:t>
      </w:r>
      <w:r w:rsidRPr="00371DCB">
        <w:rPr>
          <w:rFonts w:ascii="Arial" w:hAnsi="Arial" w:cs="Arial"/>
          <w:noProof/>
          <w:sz w:val="22"/>
          <w:szCs w:val="22"/>
        </w:rPr>
        <w:t>(2).</w:t>
      </w:r>
      <w:bookmarkEnd w:id="157"/>
    </w:p>
    <w:p w14:paraId="5F2C7F45" w14:textId="2ADF7D77" w:rsidR="00415001" w:rsidRPr="00371DCB" w:rsidRDefault="00415001" w:rsidP="00FB2D39">
      <w:pPr>
        <w:pStyle w:val="EndNoteBibliography"/>
        <w:spacing w:after="0"/>
        <w:rPr>
          <w:rFonts w:ascii="Arial" w:hAnsi="Arial" w:cs="Arial"/>
          <w:noProof/>
          <w:sz w:val="22"/>
          <w:szCs w:val="22"/>
        </w:rPr>
      </w:pPr>
      <w:bookmarkStart w:id="158" w:name="_ENREF_7"/>
      <w:r w:rsidRPr="00371DCB">
        <w:rPr>
          <w:rFonts w:ascii="Arial" w:hAnsi="Arial" w:cs="Arial"/>
          <w:noProof/>
          <w:sz w:val="22"/>
          <w:szCs w:val="22"/>
        </w:rPr>
        <w:t>7.</w:t>
      </w:r>
      <w:r w:rsidRPr="00371DCB">
        <w:rPr>
          <w:rFonts w:ascii="Arial" w:hAnsi="Arial" w:cs="Arial"/>
          <w:noProof/>
          <w:sz w:val="22"/>
          <w:szCs w:val="22"/>
        </w:rPr>
        <w:tab/>
        <w:t xml:space="preserve">Release WN. Shortage of personal protective equipment endangering health workers worldwide. 2020. </w:t>
      </w:r>
      <w:hyperlink r:id="rId29" w:history="1">
        <w:r w:rsidRPr="00371DCB">
          <w:rPr>
            <w:rStyle w:val="Hyperlink"/>
            <w:rFonts w:ascii="Arial" w:hAnsi="Arial" w:cs="Arial"/>
            <w:noProof/>
            <w:sz w:val="22"/>
            <w:szCs w:val="22"/>
          </w:rPr>
          <w:t>https://www.who.int/news-room/detail/03-03-2020-shortage-of-personal-protective-equipment-endangering-health-workers-worldwide</w:t>
        </w:r>
      </w:hyperlink>
      <w:r w:rsidRPr="00371DCB">
        <w:rPr>
          <w:rFonts w:ascii="Arial" w:hAnsi="Arial" w:cs="Arial"/>
          <w:noProof/>
          <w:sz w:val="22"/>
          <w:szCs w:val="22"/>
        </w:rPr>
        <w:t>.</w:t>
      </w:r>
      <w:bookmarkEnd w:id="158"/>
    </w:p>
    <w:p w14:paraId="2C6389C2" w14:textId="77777777" w:rsidR="00415001" w:rsidRPr="00371DCB" w:rsidRDefault="00415001" w:rsidP="00FB2D39">
      <w:pPr>
        <w:pStyle w:val="EndNoteBibliography"/>
        <w:spacing w:after="0"/>
        <w:rPr>
          <w:rFonts w:ascii="Arial" w:hAnsi="Arial" w:cs="Arial"/>
          <w:noProof/>
          <w:sz w:val="22"/>
          <w:szCs w:val="22"/>
        </w:rPr>
      </w:pPr>
      <w:bookmarkStart w:id="159" w:name="_ENREF_8"/>
      <w:r w:rsidRPr="00371DCB">
        <w:rPr>
          <w:rFonts w:ascii="Arial" w:hAnsi="Arial" w:cs="Arial"/>
          <w:noProof/>
          <w:sz w:val="22"/>
          <w:szCs w:val="22"/>
        </w:rPr>
        <w:t>8.</w:t>
      </w:r>
      <w:r w:rsidRPr="00371DCB">
        <w:rPr>
          <w:rFonts w:ascii="Arial" w:hAnsi="Arial" w:cs="Arial"/>
          <w:noProof/>
          <w:sz w:val="22"/>
          <w:szCs w:val="22"/>
        </w:rPr>
        <w:tab/>
        <w:t xml:space="preserve">Chen J. Pathogenicity and transmissibility of 2019-nCoV-A quick overview and comparison with other emerging viruses. </w:t>
      </w:r>
      <w:r w:rsidRPr="00371DCB">
        <w:rPr>
          <w:rFonts w:ascii="Arial" w:hAnsi="Arial" w:cs="Arial"/>
          <w:i/>
          <w:noProof/>
          <w:sz w:val="22"/>
          <w:szCs w:val="22"/>
        </w:rPr>
        <w:t>Microbes Infect</w:t>
      </w:r>
      <w:r w:rsidRPr="00371DCB">
        <w:rPr>
          <w:rFonts w:ascii="Arial" w:hAnsi="Arial" w:cs="Arial"/>
          <w:noProof/>
          <w:sz w:val="22"/>
          <w:szCs w:val="22"/>
        </w:rPr>
        <w:t xml:space="preserve"> 2020; </w:t>
      </w:r>
      <w:r w:rsidRPr="00371DCB">
        <w:rPr>
          <w:rFonts w:ascii="Arial" w:hAnsi="Arial" w:cs="Arial"/>
          <w:b/>
          <w:noProof/>
          <w:sz w:val="22"/>
          <w:szCs w:val="22"/>
        </w:rPr>
        <w:t>22</w:t>
      </w:r>
      <w:r w:rsidRPr="00371DCB">
        <w:rPr>
          <w:rFonts w:ascii="Arial" w:hAnsi="Arial" w:cs="Arial"/>
          <w:noProof/>
          <w:sz w:val="22"/>
          <w:szCs w:val="22"/>
        </w:rPr>
        <w:t>(2): 69-71.</w:t>
      </w:r>
      <w:bookmarkEnd w:id="159"/>
    </w:p>
    <w:p w14:paraId="55A50804" w14:textId="77777777" w:rsidR="00415001" w:rsidRPr="00371DCB" w:rsidRDefault="00415001" w:rsidP="00FB2D39">
      <w:pPr>
        <w:pStyle w:val="EndNoteBibliography"/>
        <w:spacing w:after="0"/>
        <w:rPr>
          <w:rFonts w:ascii="Arial" w:hAnsi="Arial" w:cs="Arial"/>
          <w:noProof/>
          <w:sz w:val="22"/>
          <w:szCs w:val="22"/>
        </w:rPr>
      </w:pPr>
      <w:bookmarkStart w:id="160" w:name="_ENREF_9"/>
      <w:r w:rsidRPr="00371DCB">
        <w:rPr>
          <w:rFonts w:ascii="Arial" w:hAnsi="Arial" w:cs="Arial"/>
          <w:noProof/>
          <w:sz w:val="22"/>
          <w:szCs w:val="22"/>
        </w:rPr>
        <w:t>9.</w:t>
      </w:r>
      <w:r w:rsidRPr="00371DCB">
        <w:rPr>
          <w:rFonts w:ascii="Arial" w:hAnsi="Arial" w:cs="Arial"/>
          <w:noProof/>
          <w:sz w:val="22"/>
          <w:szCs w:val="22"/>
        </w:rPr>
        <w:tab/>
        <w:t xml:space="preserve">Hoffmann M, Kleine-Weber H, Schroeder S, et al. SARS-CoV-2 Cell Entry Depends on ACE2 and TMPRSS2 and Is Blocked by a Clinically Proven Protease Inhibitor. </w:t>
      </w:r>
      <w:r w:rsidRPr="00371DCB">
        <w:rPr>
          <w:rFonts w:ascii="Arial" w:hAnsi="Arial" w:cs="Arial"/>
          <w:i/>
          <w:noProof/>
          <w:sz w:val="22"/>
          <w:szCs w:val="22"/>
        </w:rPr>
        <w:t>Cell</w:t>
      </w:r>
      <w:r w:rsidRPr="00371DCB">
        <w:rPr>
          <w:rFonts w:ascii="Arial" w:hAnsi="Arial" w:cs="Arial"/>
          <w:noProof/>
          <w:sz w:val="22"/>
          <w:szCs w:val="22"/>
        </w:rPr>
        <w:t xml:space="preserve"> 2020.</w:t>
      </w:r>
      <w:bookmarkEnd w:id="160"/>
    </w:p>
    <w:p w14:paraId="7D626893" w14:textId="77777777" w:rsidR="00415001" w:rsidRPr="00371DCB" w:rsidRDefault="00415001" w:rsidP="00FB2D39">
      <w:pPr>
        <w:pStyle w:val="EndNoteBibliography"/>
        <w:spacing w:after="0"/>
        <w:rPr>
          <w:rFonts w:ascii="Arial" w:hAnsi="Arial" w:cs="Arial"/>
          <w:noProof/>
          <w:sz w:val="22"/>
          <w:szCs w:val="22"/>
        </w:rPr>
      </w:pPr>
      <w:bookmarkStart w:id="161" w:name="_ENREF_10"/>
      <w:r w:rsidRPr="00371DCB">
        <w:rPr>
          <w:rFonts w:ascii="Arial" w:hAnsi="Arial" w:cs="Arial"/>
          <w:noProof/>
          <w:sz w:val="22"/>
          <w:szCs w:val="22"/>
        </w:rPr>
        <w:t>10.</w:t>
      </w:r>
      <w:r w:rsidRPr="00371DCB">
        <w:rPr>
          <w:rFonts w:ascii="Arial" w:hAnsi="Arial" w:cs="Arial"/>
          <w:noProof/>
          <w:sz w:val="22"/>
          <w:szCs w:val="22"/>
        </w:rPr>
        <w:tab/>
        <w:t xml:space="preserve">Li CC, Wang XJ, Wang HR. Repurposing host-based therapeutics to control coronavirus and influenza virus. </w:t>
      </w:r>
      <w:r w:rsidRPr="00371DCB">
        <w:rPr>
          <w:rFonts w:ascii="Arial" w:hAnsi="Arial" w:cs="Arial"/>
          <w:i/>
          <w:noProof/>
          <w:sz w:val="22"/>
          <w:szCs w:val="22"/>
        </w:rPr>
        <w:t>Drug Discov Today</w:t>
      </w:r>
      <w:r w:rsidRPr="00371DCB">
        <w:rPr>
          <w:rFonts w:ascii="Arial" w:hAnsi="Arial" w:cs="Arial"/>
          <w:noProof/>
          <w:sz w:val="22"/>
          <w:szCs w:val="22"/>
        </w:rPr>
        <w:t xml:space="preserve"> 2019; </w:t>
      </w:r>
      <w:r w:rsidRPr="00371DCB">
        <w:rPr>
          <w:rFonts w:ascii="Arial" w:hAnsi="Arial" w:cs="Arial"/>
          <w:b/>
          <w:noProof/>
          <w:sz w:val="22"/>
          <w:szCs w:val="22"/>
        </w:rPr>
        <w:t>24</w:t>
      </w:r>
      <w:r w:rsidRPr="00371DCB">
        <w:rPr>
          <w:rFonts w:ascii="Arial" w:hAnsi="Arial" w:cs="Arial"/>
          <w:noProof/>
          <w:sz w:val="22"/>
          <w:szCs w:val="22"/>
        </w:rPr>
        <w:t>(3): 726-36.</w:t>
      </w:r>
      <w:bookmarkEnd w:id="161"/>
    </w:p>
    <w:p w14:paraId="67EB938D" w14:textId="77777777" w:rsidR="00415001" w:rsidRPr="00371DCB" w:rsidRDefault="00415001" w:rsidP="00FB2D39">
      <w:pPr>
        <w:pStyle w:val="EndNoteBibliography"/>
        <w:spacing w:after="0"/>
        <w:rPr>
          <w:rFonts w:ascii="Arial" w:hAnsi="Arial" w:cs="Arial"/>
          <w:noProof/>
          <w:sz w:val="22"/>
          <w:szCs w:val="22"/>
        </w:rPr>
      </w:pPr>
      <w:bookmarkStart w:id="162" w:name="_ENREF_11"/>
      <w:r w:rsidRPr="00371DCB">
        <w:rPr>
          <w:rFonts w:ascii="Arial" w:hAnsi="Arial" w:cs="Arial"/>
          <w:noProof/>
          <w:sz w:val="22"/>
          <w:szCs w:val="22"/>
        </w:rPr>
        <w:t>11.</w:t>
      </w:r>
      <w:r w:rsidRPr="00371DCB">
        <w:rPr>
          <w:rFonts w:ascii="Arial" w:hAnsi="Arial" w:cs="Arial"/>
          <w:noProof/>
          <w:sz w:val="22"/>
          <w:szCs w:val="22"/>
        </w:rPr>
        <w:tab/>
        <w:t xml:space="preserve">Slater AF. Chloroquine: mechanism of drug action and resistance in Plasmodium falciparum. </w:t>
      </w:r>
      <w:r w:rsidRPr="00371DCB">
        <w:rPr>
          <w:rFonts w:ascii="Arial" w:hAnsi="Arial" w:cs="Arial"/>
          <w:i/>
          <w:noProof/>
          <w:sz w:val="22"/>
          <w:szCs w:val="22"/>
        </w:rPr>
        <w:t>Pharmacol Ther</w:t>
      </w:r>
      <w:r w:rsidRPr="00371DCB">
        <w:rPr>
          <w:rFonts w:ascii="Arial" w:hAnsi="Arial" w:cs="Arial"/>
          <w:noProof/>
          <w:sz w:val="22"/>
          <w:szCs w:val="22"/>
        </w:rPr>
        <w:t xml:space="preserve"> 1993; </w:t>
      </w:r>
      <w:r w:rsidRPr="00371DCB">
        <w:rPr>
          <w:rFonts w:ascii="Arial" w:hAnsi="Arial" w:cs="Arial"/>
          <w:b/>
          <w:noProof/>
          <w:sz w:val="22"/>
          <w:szCs w:val="22"/>
        </w:rPr>
        <w:t>57</w:t>
      </w:r>
      <w:r w:rsidRPr="00371DCB">
        <w:rPr>
          <w:rFonts w:ascii="Arial" w:hAnsi="Arial" w:cs="Arial"/>
          <w:noProof/>
          <w:sz w:val="22"/>
          <w:szCs w:val="22"/>
        </w:rPr>
        <w:t>(2-3): 203-35.</w:t>
      </w:r>
      <w:bookmarkEnd w:id="162"/>
    </w:p>
    <w:p w14:paraId="36C15C76" w14:textId="77777777" w:rsidR="00415001" w:rsidRPr="00371DCB" w:rsidRDefault="00415001" w:rsidP="00FB2D39">
      <w:pPr>
        <w:pStyle w:val="EndNoteBibliography"/>
        <w:spacing w:after="0"/>
        <w:rPr>
          <w:rFonts w:ascii="Arial" w:hAnsi="Arial" w:cs="Arial"/>
          <w:noProof/>
          <w:sz w:val="22"/>
          <w:szCs w:val="22"/>
        </w:rPr>
      </w:pPr>
      <w:bookmarkStart w:id="163" w:name="_ENREF_12"/>
      <w:r w:rsidRPr="00371DCB">
        <w:rPr>
          <w:rFonts w:ascii="Arial" w:hAnsi="Arial" w:cs="Arial"/>
          <w:noProof/>
          <w:sz w:val="22"/>
          <w:szCs w:val="22"/>
        </w:rPr>
        <w:t>12.</w:t>
      </w:r>
      <w:r w:rsidRPr="00371DCB">
        <w:rPr>
          <w:rFonts w:ascii="Arial" w:hAnsi="Arial" w:cs="Arial"/>
          <w:noProof/>
          <w:sz w:val="22"/>
          <w:szCs w:val="22"/>
        </w:rPr>
        <w:tab/>
        <w:t xml:space="preserve">Mackenzie AH. An appraisal of chloroquine. </w:t>
      </w:r>
      <w:r w:rsidRPr="00371DCB">
        <w:rPr>
          <w:rFonts w:ascii="Arial" w:hAnsi="Arial" w:cs="Arial"/>
          <w:i/>
          <w:noProof/>
          <w:sz w:val="22"/>
          <w:szCs w:val="22"/>
        </w:rPr>
        <w:t>Arthritis Rheum</w:t>
      </w:r>
      <w:r w:rsidRPr="00371DCB">
        <w:rPr>
          <w:rFonts w:ascii="Arial" w:hAnsi="Arial" w:cs="Arial"/>
          <w:noProof/>
          <w:sz w:val="22"/>
          <w:szCs w:val="22"/>
        </w:rPr>
        <w:t xml:space="preserve"> 1970; </w:t>
      </w:r>
      <w:r w:rsidRPr="00371DCB">
        <w:rPr>
          <w:rFonts w:ascii="Arial" w:hAnsi="Arial" w:cs="Arial"/>
          <w:b/>
          <w:noProof/>
          <w:sz w:val="22"/>
          <w:szCs w:val="22"/>
        </w:rPr>
        <w:t>13</w:t>
      </w:r>
      <w:r w:rsidRPr="00371DCB">
        <w:rPr>
          <w:rFonts w:ascii="Arial" w:hAnsi="Arial" w:cs="Arial"/>
          <w:noProof/>
          <w:sz w:val="22"/>
          <w:szCs w:val="22"/>
        </w:rPr>
        <w:t>(3): 280-91.</w:t>
      </w:r>
      <w:bookmarkEnd w:id="163"/>
    </w:p>
    <w:p w14:paraId="19B9BB0D" w14:textId="77777777" w:rsidR="00415001" w:rsidRPr="00371DCB" w:rsidRDefault="00415001" w:rsidP="00FB2D39">
      <w:pPr>
        <w:pStyle w:val="EndNoteBibliography"/>
        <w:spacing w:after="0"/>
        <w:rPr>
          <w:rFonts w:ascii="Arial" w:hAnsi="Arial" w:cs="Arial"/>
          <w:noProof/>
          <w:sz w:val="22"/>
          <w:szCs w:val="22"/>
        </w:rPr>
      </w:pPr>
      <w:bookmarkStart w:id="164" w:name="_ENREF_13"/>
      <w:r w:rsidRPr="00371DCB">
        <w:rPr>
          <w:rFonts w:ascii="Arial" w:hAnsi="Arial" w:cs="Arial"/>
          <w:noProof/>
          <w:sz w:val="22"/>
          <w:szCs w:val="22"/>
        </w:rPr>
        <w:t>13.</w:t>
      </w:r>
      <w:r w:rsidRPr="00371DCB">
        <w:rPr>
          <w:rFonts w:ascii="Arial" w:hAnsi="Arial" w:cs="Arial"/>
          <w:noProof/>
          <w:sz w:val="22"/>
          <w:szCs w:val="22"/>
        </w:rPr>
        <w:tab/>
        <w:t xml:space="preserve">Shippey EA, Wagler VD, Collamer AN. Hydroxychloroquine: An old drug with new relevance. </w:t>
      </w:r>
      <w:r w:rsidRPr="00371DCB">
        <w:rPr>
          <w:rFonts w:ascii="Arial" w:hAnsi="Arial" w:cs="Arial"/>
          <w:i/>
          <w:noProof/>
          <w:sz w:val="22"/>
          <w:szCs w:val="22"/>
        </w:rPr>
        <w:t>Cleve Clin J Med</w:t>
      </w:r>
      <w:r w:rsidRPr="00371DCB">
        <w:rPr>
          <w:rFonts w:ascii="Arial" w:hAnsi="Arial" w:cs="Arial"/>
          <w:noProof/>
          <w:sz w:val="22"/>
          <w:szCs w:val="22"/>
        </w:rPr>
        <w:t xml:space="preserve"> 2018; </w:t>
      </w:r>
      <w:r w:rsidRPr="00371DCB">
        <w:rPr>
          <w:rFonts w:ascii="Arial" w:hAnsi="Arial" w:cs="Arial"/>
          <w:b/>
          <w:noProof/>
          <w:sz w:val="22"/>
          <w:szCs w:val="22"/>
        </w:rPr>
        <w:t>85</w:t>
      </w:r>
      <w:r w:rsidRPr="00371DCB">
        <w:rPr>
          <w:rFonts w:ascii="Arial" w:hAnsi="Arial" w:cs="Arial"/>
          <w:noProof/>
          <w:sz w:val="22"/>
          <w:szCs w:val="22"/>
        </w:rPr>
        <w:t>(6): 459-67.</w:t>
      </w:r>
      <w:bookmarkEnd w:id="164"/>
    </w:p>
    <w:p w14:paraId="755D5B22" w14:textId="77777777" w:rsidR="00415001" w:rsidRPr="00371DCB" w:rsidRDefault="00415001" w:rsidP="00FB2D39">
      <w:pPr>
        <w:pStyle w:val="EndNoteBibliography"/>
        <w:spacing w:after="0"/>
        <w:rPr>
          <w:rFonts w:ascii="Arial" w:hAnsi="Arial" w:cs="Arial"/>
          <w:noProof/>
          <w:sz w:val="22"/>
          <w:szCs w:val="22"/>
        </w:rPr>
      </w:pPr>
      <w:bookmarkStart w:id="165" w:name="_ENREF_14"/>
      <w:r w:rsidRPr="00371DCB">
        <w:rPr>
          <w:rFonts w:ascii="Arial" w:hAnsi="Arial" w:cs="Arial"/>
          <w:noProof/>
          <w:sz w:val="22"/>
          <w:szCs w:val="22"/>
        </w:rPr>
        <w:t>14.</w:t>
      </w:r>
      <w:r w:rsidRPr="00371DCB">
        <w:rPr>
          <w:rFonts w:ascii="Arial" w:hAnsi="Arial" w:cs="Arial"/>
          <w:noProof/>
          <w:sz w:val="22"/>
          <w:szCs w:val="22"/>
        </w:rPr>
        <w:tab/>
        <w:t xml:space="preserve">Schrezenmeier E, Dorner T. Mechanisms of action of hydroxychloroquine and chloroquine: implications for rheumatology. </w:t>
      </w:r>
      <w:r w:rsidRPr="00371DCB">
        <w:rPr>
          <w:rFonts w:ascii="Arial" w:hAnsi="Arial" w:cs="Arial"/>
          <w:i/>
          <w:noProof/>
          <w:sz w:val="22"/>
          <w:szCs w:val="22"/>
        </w:rPr>
        <w:t>Nat Rev Rheumatol</w:t>
      </w:r>
      <w:r w:rsidRPr="00371DCB">
        <w:rPr>
          <w:rFonts w:ascii="Arial" w:hAnsi="Arial" w:cs="Arial"/>
          <w:noProof/>
          <w:sz w:val="22"/>
          <w:szCs w:val="22"/>
        </w:rPr>
        <w:t xml:space="preserve"> 2020; </w:t>
      </w:r>
      <w:r w:rsidRPr="00371DCB">
        <w:rPr>
          <w:rFonts w:ascii="Arial" w:hAnsi="Arial" w:cs="Arial"/>
          <w:b/>
          <w:noProof/>
          <w:sz w:val="22"/>
          <w:szCs w:val="22"/>
        </w:rPr>
        <w:t>16</w:t>
      </w:r>
      <w:r w:rsidRPr="00371DCB">
        <w:rPr>
          <w:rFonts w:ascii="Arial" w:hAnsi="Arial" w:cs="Arial"/>
          <w:noProof/>
          <w:sz w:val="22"/>
          <w:szCs w:val="22"/>
        </w:rPr>
        <w:t>(3): 155-66.</w:t>
      </w:r>
      <w:bookmarkEnd w:id="165"/>
    </w:p>
    <w:p w14:paraId="32AAF126" w14:textId="77777777" w:rsidR="00415001" w:rsidRPr="00371DCB" w:rsidRDefault="00415001" w:rsidP="00FB2D39">
      <w:pPr>
        <w:pStyle w:val="EndNoteBibliography"/>
        <w:spacing w:after="0"/>
        <w:rPr>
          <w:rFonts w:ascii="Arial" w:hAnsi="Arial" w:cs="Arial"/>
          <w:noProof/>
          <w:sz w:val="22"/>
          <w:szCs w:val="22"/>
        </w:rPr>
      </w:pPr>
      <w:bookmarkStart w:id="166" w:name="_ENREF_15"/>
      <w:r w:rsidRPr="00371DCB">
        <w:rPr>
          <w:rFonts w:ascii="Arial" w:hAnsi="Arial" w:cs="Arial"/>
          <w:noProof/>
          <w:sz w:val="22"/>
          <w:szCs w:val="22"/>
        </w:rPr>
        <w:t>15.</w:t>
      </w:r>
      <w:r w:rsidRPr="00371DCB">
        <w:rPr>
          <w:rFonts w:ascii="Arial" w:hAnsi="Arial" w:cs="Arial"/>
          <w:noProof/>
          <w:sz w:val="22"/>
          <w:szCs w:val="22"/>
        </w:rPr>
        <w:tab/>
        <w:t xml:space="preserve">Rolain JM, Colson P, Raoult D. Recycling of chloroquine and its hydroxyl analogue to face bacterial, fungal and viral infections in the 21st century. </w:t>
      </w:r>
      <w:r w:rsidRPr="00371DCB">
        <w:rPr>
          <w:rFonts w:ascii="Arial" w:hAnsi="Arial" w:cs="Arial"/>
          <w:i/>
          <w:noProof/>
          <w:sz w:val="22"/>
          <w:szCs w:val="22"/>
        </w:rPr>
        <w:t>Int J Antimicrob Agents</w:t>
      </w:r>
      <w:r w:rsidRPr="00371DCB">
        <w:rPr>
          <w:rFonts w:ascii="Arial" w:hAnsi="Arial" w:cs="Arial"/>
          <w:noProof/>
          <w:sz w:val="22"/>
          <w:szCs w:val="22"/>
        </w:rPr>
        <w:t xml:space="preserve"> 2007; </w:t>
      </w:r>
      <w:r w:rsidRPr="00371DCB">
        <w:rPr>
          <w:rFonts w:ascii="Arial" w:hAnsi="Arial" w:cs="Arial"/>
          <w:b/>
          <w:noProof/>
          <w:sz w:val="22"/>
          <w:szCs w:val="22"/>
        </w:rPr>
        <w:t>30</w:t>
      </w:r>
      <w:r w:rsidRPr="00371DCB">
        <w:rPr>
          <w:rFonts w:ascii="Arial" w:hAnsi="Arial" w:cs="Arial"/>
          <w:noProof/>
          <w:sz w:val="22"/>
          <w:szCs w:val="22"/>
        </w:rPr>
        <w:t>(4): 297-308.</w:t>
      </w:r>
      <w:bookmarkEnd w:id="166"/>
    </w:p>
    <w:p w14:paraId="700F6AA3" w14:textId="77777777" w:rsidR="00415001" w:rsidRPr="00371DCB" w:rsidRDefault="00415001" w:rsidP="00FB2D39">
      <w:pPr>
        <w:pStyle w:val="EndNoteBibliography"/>
        <w:spacing w:after="0"/>
        <w:rPr>
          <w:rFonts w:ascii="Arial" w:hAnsi="Arial" w:cs="Arial"/>
          <w:noProof/>
          <w:sz w:val="22"/>
          <w:szCs w:val="22"/>
        </w:rPr>
      </w:pPr>
      <w:bookmarkStart w:id="167" w:name="_ENREF_16"/>
      <w:r w:rsidRPr="00371DCB">
        <w:rPr>
          <w:rFonts w:ascii="Arial" w:hAnsi="Arial" w:cs="Arial"/>
          <w:noProof/>
          <w:sz w:val="22"/>
          <w:szCs w:val="22"/>
        </w:rPr>
        <w:t>16.</w:t>
      </w:r>
      <w:r w:rsidRPr="00371DCB">
        <w:rPr>
          <w:rFonts w:ascii="Arial" w:hAnsi="Arial" w:cs="Arial"/>
          <w:noProof/>
          <w:sz w:val="22"/>
          <w:szCs w:val="22"/>
        </w:rPr>
        <w:tab/>
        <w:t xml:space="preserve">Savarino A, Shytaj IL. Chloroquine and beyond: exploring anti-rheumatic drugs to reduce immune hyperactivation in HIV/AIDS. </w:t>
      </w:r>
      <w:r w:rsidRPr="00371DCB">
        <w:rPr>
          <w:rFonts w:ascii="Arial" w:hAnsi="Arial" w:cs="Arial"/>
          <w:i/>
          <w:noProof/>
          <w:sz w:val="22"/>
          <w:szCs w:val="22"/>
        </w:rPr>
        <w:t>Retrovirology</w:t>
      </w:r>
      <w:r w:rsidRPr="00371DCB">
        <w:rPr>
          <w:rFonts w:ascii="Arial" w:hAnsi="Arial" w:cs="Arial"/>
          <w:noProof/>
          <w:sz w:val="22"/>
          <w:szCs w:val="22"/>
        </w:rPr>
        <w:t xml:space="preserve"> 2015; </w:t>
      </w:r>
      <w:r w:rsidRPr="00371DCB">
        <w:rPr>
          <w:rFonts w:ascii="Arial" w:hAnsi="Arial" w:cs="Arial"/>
          <w:b/>
          <w:noProof/>
          <w:sz w:val="22"/>
          <w:szCs w:val="22"/>
        </w:rPr>
        <w:t>12</w:t>
      </w:r>
      <w:r w:rsidRPr="00371DCB">
        <w:rPr>
          <w:rFonts w:ascii="Arial" w:hAnsi="Arial" w:cs="Arial"/>
          <w:noProof/>
          <w:sz w:val="22"/>
          <w:szCs w:val="22"/>
        </w:rPr>
        <w:t>: 51.</w:t>
      </w:r>
      <w:bookmarkEnd w:id="167"/>
    </w:p>
    <w:p w14:paraId="799029FE" w14:textId="77777777" w:rsidR="00415001" w:rsidRPr="00371DCB" w:rsidRDefault="00415001" w:rsidP="00FB2D39">
      <w:pPr>
        <w:pStyle w:val="EndNoteBibliography"/>
        <w:spacing w:after="0"/>
        <w:rPr>
          <w:rFonts w:ascii="Arial" w:hAnsi="Arial" w:cs="Arial"/>
          <w:noProof/>
          <w:sz w:val="22"/>
          <w:szCs w:val="22"/>
        </w:rPr>
      </w:pPr>
      <w:bookmarkStart w:id="168" w:name="_ENREF_17"/>
      <w:r w:rsidRPr="00371DCB">
        <w:rPr>
          <w:rFonts w:ascii="Arial" w:hAnsi="Arial" w:cs="Arial"/>
          <w:noProof/>
          <w:sz w:val="22"/>
          <w:szCs w:val="22"/>
        </w:rPr>
        <w:t>17.</w:t>
      </w:r>
      <w:r w:rsidRPr="00371DCB">
        <w:rPr>
          <w:rFonts w:ascii="Arial" w:hAnsi="Arial" w:cs="Arial"/>
          <w:noProof/>
          <w:sz w:val="22"/>
          <w:szCs w:val="22"/>
        </w:rPr>
        <w:tab/>
        <w:t xml:space="preserve">Keyaerts E, Vijgen L, Maes P, Neyts J, Van Ranst M. In vitro inhibition of severe acute respiratory syndrome coronavirus by chloroquine. </w:t>
      </w:r>
      <w:r w:rsidRPr="00371DCB">
        <w:rPr>
          <w:rFonts w:ascii="Arial" w:hAnsi="Arial" w:cs="Arial"/>
          <w:i/>
          <w:noProof/>
          <w:sz w:val="22"/>
          <w:szCs w:val="22"/>
        </w:rPr>
        <w:t>Biochem Biophys Res Commun</w:t>
      </w:r>
      <w:r w:rsidRPr="00371DCB">
        <w:rPr>
          <w:rFonts w:ascii="Arial" w:hAnsi="Arial" w:cs="Arial"/>
          <w:noProof/>
          <w:sz w:val="22"/>
          <w:szCs w:val="22"/>
        </w:rPr>
        <w:t xml:space="preserve"> 2004; </w:t>
      </w:r>
      <w:r w:rsidRPr="00371DCB">
        <w:rPr>
          <w:rFonts w:ascii="Arial" w:hAnsi="Arial" w:cs="Arial"/>
          <w:b/>
          <w:noProof/>
          <w:sz w:val="22"/>
          <w:szCs w:val="22"/>
        </w:rPr>
        <w:t>323</w:t>
      </w:r>
      <w:r w:rsidRPr="00371DCB">
        <w:rPr>
          <w:rFonts w:ascii="Arial" w:hAnsi="Arial" w:cs="Arial"/>
          <w:noProof/>
          <w:sz w:val="22"/>
          <w:szCs w:val="22"/>
        </w:rPr>
        <w:t>(1): 264-8.</w:t>
      </w:r>
      <w:bookmarkEnd w:id="168"/>
    </w:p>
    <w:p w14:paraId="1CCF7055" w14:textId="77777777" w:rsidR="00415001" w:rsidRPr="00371DCB" w:rsidRDefault="00415001" w:rsidP="00FB2D39">
      <w:pPr>
        <w:pStyle w:val="EndNoteBibliography"/>
        <w:spacing w:after="0"/>
        <w:rPr>
          <w:rFonts w:ascii="Arial" w:hAnsi="Arial" w:cs="Arial"/>
          <w:noProof/>
          <w:sz w:val="22"/>
          <w:szCs w:val="22"/>
        </w:rPr>
      </w:pPr>
      <w:bookmarkStart w:id="169" w:name="_ENREF_18"/>
      <w:r w:rsidRPr="00371DCB">
        <w:rPr>
          <w:rFonts w:ascii="Arial" w:hAnsi="Arial" w:cs="Arial"/>
          <w:noProof/>
          <w:sz w:val="22"/>
          <w:szCs w:val="22"/>
        </w:rPr>
        <w:t>18.</w:t>
      </w:r>
      <w:r w:rsidRPr="00371DCB">
        <w:rPr>
          <w:rFonts w:ascii="Arial" w:hAnsi="Arial" w:cs="Arial"/>
          <w:noProof/>
          <w:sz w:val="22"/>
          <w:szCs w:val="22"/>
        </w:rPr>
        <w:tab/>
        <w:t xml:space="preserve">Vincent MJ, Bergeron E, Benjannet S, et al. Chloroquine is a potent inhibitor of SARS coronavirus infection and spread. </w:t>
      </w:r>
      <w:r w:rsidRPr="00371DCB">
        <w:rPr>
          <w:rFonts w:ascii="Arial" w:hAnsi="Arial" w:cs="Arial"/>
          <w:i/>
          <w:noProof/>
          <w:sz w:val="22"/>
          <w:szCs w:val="22"/>
        </w:rPr>
        <w:t>Virol J</w:t>
      </w:r>
      <w:r w:rsidRPr="00371DCB">
        <w:rPr>
          <w:rFonts w:ascii="Arial" w:hAnsi="Arial" w:cs="Arial"/>
          <w:noProof/>
          <w:sz w:val="22"/>
          <w:szCs w:val="22"/>
        </w:rPr>
        <w:t xml:space="preserve"> 2005; </w:t>
      </w:r>
      <w:r w:rsidRPr="00371DCB">
        <w:rPr>
          <w:rFonts w:ascii="Arial" w:hAnsi="Arial" w:cs="Arial"/>
          <w:b/>
          <w:noProof/>
          <w:sz w:val="22"/>
          <w:szCs w:val="22"/>
        </w:rPr>
        <w:t>2</w:t>
      </w:r>
      <w:r w:rsidRPr="00371DCB">
        <w:rPr>
          <w:rFonts w:ascii="Arial" w:hAnsi="Arial" w:cs="Arial"/>
          <w:noProof/>
          <w:sz w:val="22"/>
          <w:szCs w:val="22"/>
        </w:rPr>
        <w:t>: 69.</w:t>
      </w:r>
      <w:bookmarkEnd w:id="169"/>
    </w:p>
    <w:p w14:paraId="0C752EED" w14:textId="77777777" w:rsidR="00415001" w:rsidRPr="00371DCB" w:rsidRDefault="00415001" w:rsidP="00FB2D39">
      <w:pPr>
        <w:pStyle w:val="EndNoteBibliography"/>
        <w:spacing w:after="0"/>
        <w:rPr>
          <w:rFonts w:ascii="Arial" w:hAnsi="Arial" w:cs="Arial"/>
          <w:noProof/>
          <w:sz w:val="22"/>
          <w:szCs w:val="22"/>
        </w:rPr>
      </w:pPr>
      <w:bookmarkStart w:id="170" w:name="_ENREF_19"/>
      <w:r w:rsidRPr="00371DCB">
        <w:rPr>
          <w:rFonts w:ascii="Arial" w:hAnsi="Arial" w:cs="Arial"/>
          <w:noProof/>
          <w:sz w:val="22"/>
          <w:szCs w:val="22"/>
        </w:rPr>
        <w:t>19.</w:t>
      </w:r>
      <w:r w:rsidRPr="00371DCB">
        <w:rPr>
          <w:rFonts w:ascii="Arial" w:hAnsi="Arial" w:cs="Arial"/>
          <w:noProof/>
          <w:sz w:val="22"/>
          <w:szCs w:val="22"/>
        </w:rPr>
        <w:tab/>
        <w:t xml:space="preserve">Wang M, Cao R, Zhang L, et al. Remdesivir and chloroquine effectively inhibit the recently emerged novel coronavirus (2019-nCoV) in vitro. </w:t>
      </w:r>
      <w:r w:rsidRPr="00371DCB">
        <w:rPr>
          <w:rFonts w:ascii="Arial" w:hAnsi="Arial" w:cs="Arial"/>
          <w:i/>
          <w:noProof/>
          <w:sz w:val="22"/>
          <w:szCs w:val="22"/>
        </w:rPr>
        <w:t>Cell Res</w:t>
      </w:r>
      <w:r w:rsidRPr="00371DCB">
        <w:rPr>
          <w:rFonts w:ascii="Arial" w:hAnsi="Arial" w:cs="Arial"/>
          <w:noProof/>
          <w:sz w:val="22"/>
          <w:szCs w:val="22"/>
        </w:rPr>
        <w:t xml:space="preserve"> 2020; </w:t>
      </w:r>
      <w:r w:rsidRPr="00371DCB">
        <w:rPr>
          <w:rFonts w:ascii="Arial" w:hAnsi="Arial" w:cs="Arial"/>
          <w:b/>
          <w:noProof/>
          <w:sz w:val="22"/>
          <w:szCs w:val="22"/>
        </w:rPr>
        <w:t>30</w:t>
      </w:r>
      <w:r w:rsidRPr="00371DCB">
        <w:rPr>
          <w:rFonts w:ascii="Arial" w:hAnsi="Arial" w:cs="Arial"/>
          <w:noProof/>
          <w:sz w:val="22"/>
          <w:szCs w:val="22"/>
        </w:rPr>
        <w:t>(3): 269-71.</w:t>
      </w:r>
      <w:bookmarkEnd w:id="170"/>
    </w:p>
    <w:p w14:paraId="1272F138" w14:textId="77777777" w:rsidR="00415001" w:rsidRPr="00371DCB" w:rsidRDefault="00415001" w:rsidP="00FB2D39">
      <w:pPr>
        <w:pStyle w:val="EndNoteBibliography"/>
        <w:spacing w:after="0"/>
        <w:rPr>
          <w:rFonts w:ascii="Arial" w:hAnsi="Arial" w:cs="Arial"/>
          <w:noProof/>
          <w:sz w:val="22"/>
          <w:szCs w:val="22"/>
        </w:rPr>
      </w:pPr>
      <w:bookmarkStart w:id="171" w:name="_ENREF_20"/>
      <w:r w:rsidRPr="00371DCB">
        <w:rPr>
          <w:rFonts w:ascii="Arial" w:hAnsi="Arial" w:cs="Arial"/>
          <w:noProof/>
          <w:sz w:val="22"/>
          <w:szCs w:val="22"/>
        </w:rPr>
        <w:t>20.</w:t>
      </w:r>
      <w:r w:rsidRPr="00371DCB">
        <w:rPr>
          <w:rFonts w:ascii="Arial" w:hAnsi="Arial" w:cs="Arial"/>
          <w:noProof/>
          <w:sz w:val="22"/>
          <w:szCs w:val="22"/>
        </w:rPr>
        <w:tab/>
        <w:t xml:space="preserve">Yao X, Ye F, Zhang M, et al. In Vitro Antiviral Activity and Projection of Optimized Dosing Design of Hydroxychloroquine for the Treatment of Severe Acute Respiratory Syndrome Coronavirus 2 (SARS-CoV-2). </w:t>
      </w:r>
      <w:r w:rsidRPr="00371DCB">
        <w:rPr>
          <w:rFonts w:ascii="Arial" w:hAnsi="Arial" w:cs="Arial"/>
          <w:i/>
          <w:noProof/>
          <w:sz w:val="22"/>
          <w:szCs w:val="22"/>
        </w:rPr>
        <w:t>Clin Infect Dis</w:t>
      </w:r>
      <w:r w:rsidRPr="00371DCB">
        <w:rPr>
          <w:rFonts w:ascii="Arial" w:hAnsi="Arial" w:cs="Arial"/>
          <w:noProof/>
          <w:sz w:val="22"/>
          <w:szCs w:val="22"/>
        </w:rPr>
        <w:t xml:space="preserve"> 2020.</w:t>
      </w:r>
      <w:bookmarkEnd w:id="171"/>
    </w:p>
    <w:p w14:paraId="3D573C56" w14:textId="77777777" w:rsidR="00415001" w:rsidRPr="00371DCB" w:rsidRDefault="00415001" w:rsidP="00FB2D39">
      <w:pPr>
        <w:pStyle w:val="EndNoteBibliography"/>
        <w:spacing w:after="0"/>
        <w:rPr>
          <w:rFonts w:ascii="Arial" w:hAnsi="Arial" w:cs="Arial"/>
          <w:noProof/>
          <w:sz w:val="22"/>
          <w:szCs w:val="22"/>
        </w:rPr>
      </w:pPr>
      <w:bookmarkStart w:id="172" w:name="_ENREF_21"/>
      <w:r w:rsidRPr="00371DCB">
        <w:rPr>
          <w:rFonts w:ascii="Arial" w:hAnsi="Arial" w:cs="Arial"/>
          <w:noProof/>
          <w:sz w:val="22"/>
          <w:szCs w:val="22"/>
        </w:rPr>
        <w:lastRenderedPageBreak/>
        <w:t>21.</w:t>
      </w:r>
      <w:r w:rsidRPr="00371DCB">
        <w:rPr>
          <w:rFonts w:ascii="Arial" w:hAnsi="Arial" w:cs="Arial"/>
          <w:noProof/>
          <w:sz w:val="22"/>
          <w:szCs w:val="22"/>
        </w:rPr>
        <w:tab/>
        <w:t xml:space="preserve">Gao J, Tian Z, Yang X. Breakthrough: Chloroquine phosphate has shown apparent efficacy in treatment of COVID-19 associated pneumonia in clinical studies. </w:t>
      </w:r>
      <w:r w:rsidRPr="00371DCB">
        <w:rPr>
          <w:rFonts w:ascii="Arial" w:hAnsi="Arial" w:cs="Arial"/>
          <w:i/>
          <w:noProof/>
          <w:sz w:val="22"/>
          <w:szCs w:val="22"/>
        </w:rPr>
        <w:t>Biosci Trends</w:t>
      </w:r>
      <w:r w:rsidRPr="00371DCB">
        <w:rPr>
          <w:rFonts w:ascii="Arial" w:hAnsi="Arial" w:cs="Arial"/>
          <w:noProof/>
          <w:sz w:val="22"/>
          <w:szCs w:val="22"/>
        </w:rPr>
        <w:t xml:space="preserve"> 2020; </w:t>
      </w:r>
      <w:r w:rsidRPr="00371DCB">
        <w:rPr>
          <w:rFonts w:ascii="Arial" w:hAnsi="Arial" w:cs="Arial"/>
          <w:b/>
          <w:noProof/>
          <w:sz w:val="22"/>
          <w:szCs w:val="22"/>
        </w:rPr>
        <w:t>14</w:t>
      </w:r>
      <w:r w:rsidRPr="00371DCB">
        <w:rPr>
          <w:rFonts w:ascii="Arial" w:hAnsi="Arial" w:cs="Arial"/>
          <w:noProof/>
          <w:sz w:val="22"/>
          <w:szCs w:val="22"/>
        </w:rPr>
        <w:t>(1): 72-3.</w:t>
      </w:r>
      <w:bookmarkEnd w:id="172"/>
    </w:p>
    <w:p w14:paraId="53221815" w14:textId="77777777" w:rsidR="00415001" w:rsidRPr="00371DCB" w:rsidRDefault="00415001" w:rsidP="00FB2D39">
      <w:pPr>
        <w:pStyle w:val="EndNoteBibliography"/>
        <w:spacing w:after="0"/>
        <w:rPr>
          <w:rFonts w:ascii="Arial" w:hAnsi="Arial" w:cs="Arial"/>
          <w:noProof/>
          <w:sz w:val="22"/>
          <w:szCs w:val="22"/>
        </w:rPr>
      </w:pPr>
      <w:bookmarkStart w:id="173" w:name="_ENREF_22"/>
      <w:r w:rsidRPr="00371DCB">
        <w:rPr>
          <w:rFonts w:ascii="Arial" w:hAnsi="Arial" w:cs="Arial"/>
          <w:noProof/>
          <w:sz w:val="22"/>
          <w:szCs w:val="22"/>
        </w:rPr>
        <w:t>22.</w:t>
      </w:r>
      <w:r w:rsidRPr="00371DCB">
        <w:rPr>
          <w:rFonts w:ascii="Arial" w:hAnsi="Arial" w:cs="Arial"/>
          <w:noProof/>
          <w:sz w:val="22"/>
          <w:szCs w:val="22"/>
        </w:rPr>
        <w:tab/>
        <w:t xml:space="preserve">Gautret P, Lagier JC, Parola P, et al. Hydroxychloroquine and azithromycin as a treatment of COVID-19: results of an open-label non-randomized clinical trial. </w:t>
      </w:r>
      <w:r w:rsidRPr="00371DCB">
        <w:rPr>
          <w:rFonts w:ascii="Arial" w:hAnsi="Arial" w:cs="Arial"/>
          <w:i/>
          <w:noProof/>
          <w:sz w:val="22"/>
          <w:szCs w:val="22"/>
        </w:rPr>
        <w:t>Int J Antimicrob Agents</w:t>
      </w:r>
      <w:r w:rsidRPr="00371DCB">
        <w:rPr>
          <w:rFonts w:ascii="Arial" w:hAnsi="Arial" w:cs="Arial"/>
          <w:noProof/>
          <w:sz w:val="22"/>
          <w:szCs w:val="22"/>
        </w:rPr>
        <w:t xml:space="preserve"> 2020: 105949.</w:t>
      </w:r>
      <w:bookmarkEnd w:id="173"/>
    </w:p>
    <w:p w14:paraId="3A9220A4" w14:textId="77777777" w:rsidR="00415001" w:rsidRPr="00371DCB" w:rsidRDefault="00415001" w:rsidP="00FB2D39">
      <w:pPr>
        <w:pStyle w:val="EndNoteBibliography"/>
        <w:spacing w:after="0"/>
        <w:rPr>
          <w:rFonts w:ascii="Arial" w:hAnsi="Arial" w:cs="Arial"/>
          <w:noProof/>
          <w:sz w:val="22"/>
          <w:szCs w:val="22"/>
        </w:rPr>
      </w:pPr>
      <w:bookmarkStart w:id="174" w:name="_ENREF_23"/>
      <w:r w:rsidRPr="00371DCB">
        <w:rPr>
          <w:rFonts w:ascii="Arial" w:hAnsi="Arial" w:cs="Arial"/>
          <w:noProof/>
          <w:sz w:val="22"/>
          <w:szCs w:val="22"/>
        </w:rPr>
        <w:t>23.</w:t>
      </w:r>
      <w:r w:rsidRPr="00371DCB">
        <w:rPr>
          <w:rFonts w:ascii="Arial" w:hAnsi="Arial" w:cs="Arial"/>
          <w:noProof/>
          <w:sz w:val="22"/>
          <w:szCs w:val="22"/>
        </w:rPr>
        <w:tab/>
        <w:t xml:space="preserve">Menzel M, Akbarshahi H, Bjermer L, Uller L. Azithromycin induces anti-viral effects in cultured bronchial epithelial cells from COPD patients. </w:t>
      </w:r>
      <w:r w:rsidRPr="00371DCB">
        <w:rPr>
          <w:rFonts w:ascii="Arial" w:hAnsi="Arial" w:cs="Arial"/>
          <w:i/>
          <w:noProof/>
          <w:sz w:val="22"/>
          <w:szCs w:val="22"/>
        </w:rPr>
        <w:t>Sci Rep</w:t>
      </w:r>
      <w:r w:rsidRPr="00371DCB">
        <w:rPr>
          <w:rFonts w:ascii="Arial" w:hAnsi="Arial" w:cs="Arial"/>
          <w:noProof/>
          <w:sz w:val="22"/>
          <w:szCs w:val="22"/>
        </w:rPr>
        <w:t xml:space="preserve"> 2016; </w:t>
      </w:r>
      <w:r w:rsidRPr="00371DCB">
        <w:rPr>
          <w:rFonts w:ascii="Arial" w:hAnsi="Arial" w:cs="Arial"/>
          <w:b/>
          <w:noProof/>
          <w:sz w:val="22"/>
          <w:szCs w:val="22"/>
        </w:rPr>
        <w:t>6</w:t>
      </w:r>
      <w:r w:rsidRPr="00371DCB">
        <w:rPr>
          <w:rFonts w:ascii="Arial" w:hAnsi="Arial" w:cs="Arial"/>
          <w:noProof/>
          <w:sz w:val="22"/>
          <w:szCs w:val="22"/>
        </w:rPr>
        <w:t>: 28698.</w:t>
      </w:r>
      <w:bookmarkEnd w:id="174"/>
    </w:p>
    <w:p w14:paraId="262CA091" w14:textId="5CED4437" w:rsidR="00415001" w:rsidRPr="00371DCB" w:rsidRDefault="00415001" w:rsidP="00FB2D39">
      <w:pPr>
        <w:pStyle w:val="EndNoteBibliography"/>
        <w:spacing w:after="0"/>
        <w:rPr>
          <w:rFonts w:ascii="Arial" w:hAnsi="Arial" w:cs="Arial"/>
          <w:noProof/>
          <w:sz w:val="22"/>
          <w:szCs w:val="22"/>
        </w:rPr>
      </w:pPr>
      <w:bookmarkStart w:id="175" w:name="_ENREF_24"/>
      <w:r w:rsidRPr="00371DCB">
        <w:rPr>
          <w:rFonts w:ascii="Arial" w:hAnsi="Arial" w:cs="Arial"/>
          <w:noProof/>
          <w:sz w:val="22"/>
          <w:szCs w:val="22"/>
        </w:rPr>
        <w:t>24.</w:t>
      </w:r>
      <w:r w:rsidRPr="00371DCB">
        <w:rPr>
          <w:rFonts w:ascii="Arial" w:hAnsi="Arial" w:cs="Arial"/>
          <w:noProof/>
          <w:sz w:val="22"/>
          <w:szCs w:val="22"/>
        </w:rPr>
        <w:tab/>
        <w:t xml:space="preserve">Poschet JF, Perkett EA, Timmins GS, et al. Azithromycin and ciprofloxacin have a chloroquine-like effect on respiratory epithelial cells. 2020. bioRxiv preprint. doi: </w:t>
      </w:r>
      <w:hyperlink r:id="rId30" w:history="1">
        <w:r w:rsidRPr="00371DCB">
          <w:rPr>
            <w:rStyle w:val="Hyperlink"/>
            <w:rFonts w:ascii="Arial" w:hAnsi="Arial" w:cs="Arial"/>
            <w:noProof/>
            <w:sz w:val="22"/>
            <w:szCs w:val="22"/>
          </w:rPr>
          <w:t>https://doi.org/10.1101/2020.03.29.008631</w:t>
        </w:r>
      </w:hyperlink>
      <w:r w:rsidRPr="00371DCB">
        <w:rPr>
          <w:rFonts w:ascii="Arial" w:hAnsi="Arial" w:cs="Arial"/>
          <w:noProof/>
          <w:sz w:val="22"/>
          <w:szCs w:val="22"/>
        </w:rPr>
        <w:t>.</w:t>
      </w:r>
      <w:bookmarkEnd w:id="175"/>
    </w:p>
    <w:p w14:paraId="6378E1A2" w14:textId="77777777" w:rsidR="00415001" w:rsidRPr="00371DCB" w:rsidRDefault="00415001" w:rsidP="00FB2D39">
      <w:pPr>
        <w:pStyle w:val="EndNoteBibliography"/>
        <w:spacing w:after="0"/>
        <w:rPr>
          <w:rFonts w:ascii="Arial" w:hAnsi="Arial" w:cs="Arial"/>
          <w:noProof/>
          <w:sz w:val="22"/>
          <w:szCs w:val="22"/>
        </w:rPr>
      </w:pPr>
      <w:bookmarkStart w:id="176" w:name="_ENREF_25"/>
      <w:r w:rsidRPr="00371DCB">
        <w:rPr>
          <w:rFonts w:ascii="Arial" w:hAnsi="Arial" w:cs="Arial"/>
          <w:noProof/>
          <w:sz w:val="22"/>
          <w:szCs w:val="22"/>
        </w:rPr>
        <w:t>25.</w:t>
      </w:r>
      <w:r w:rsidRPr="00371DCB">
        <w:rPr>
          <w:rFonts w:ascii="Arial" w:hAnsi="Arial" w:cs="Arial"/>
          <w:noProof/>
          <w:sz w:val="22"/>
          <w:szCs w:val="22"/>
        </w:rPr>
        <w:tab/>
        <w:t xml:space="preserve">Belouzard S, Millet JK, Licitra BN, Whittaker GR. Mechanisms of coronavirus cell entry mediated by the viral spike protein. </w:t>
      </w:r>
      <w:r w:rsidRPr="00371DCB">
        <w:rPr>
          <w:rFonts w:ascii="Arial" w:hAnsi="Arial" w:cs="Arial"/>
          <w:i/>
          <w:noProof/>
          <w:sz w:val="22"/>
          <w:szCs w:val="22"/>
        </w:rPr>
        <w:t>Viruses</w:t>
      </w:r>
      <w:r w:rsidRPr="00371DCB">
        <w:rPr>
          <w:rFonts w:ascii="Arial" w:hAnsi="Arial" w:cs="Arial"/>
          <w:noProof/>
          <w:sz w:val="22"/>
          <w:szCs w:val="22"/>
        </w:rPr>
        <w:t xml:space="preserve"> 2012; </w:t>
      </w:r>
      <w:r w:rsidRPr="00371DCB">
        <w:rPr>
          <w:rFonts w:ascii="Arial" w:hAnsi="Arial" w:cs="Arial"/>
          <w:b/>
          <w:noProof/>
          <w:sz w:val="22"/>
          <w:szCs w:val="22"/>
        </w:rPr>
        <w:t>4</w:t>
      </w:r>
      <w:r w:rsidRPr="00371DCB">
        <w:rPr>
          <w:rFonts w:ascii="Arial" w:hAnsi="Arial" w:cs="Arial"/>
          <w:noProof/>
          <w:sz w:val="22"/>
          <w:szCs w:val="22"/>
        </w:rPr>
        <w:t>(6): 1011-33.</w:t>
      </w:r>
      <w:bookmarkEnd w:id="176"/>
    </w:p>
    <w:p w14:paraId="7326B606" w14:textId="77777777" w:rsidR="00415001" w:rsidRPr="00371DCB" w:rsidRDefault="00415001" w:rsidP="00FB2D39">
      <w:pPr>
        <w:pStyle w:val="EndNoteBibliography"/>
        <w:spacing w:after="0"/>
        <w:rPr>
          <w:rFonts w:ascii="Arial" w:hAnsi="Arial" w:cs="Arial"/>
          <w:noProof/>
          <w:sz w:val="22"/>
          <w:szCs w:val="22"/>
        </w:rPr>
      </w:pPr>
      <w:bookmarkStart w:id="177" w:name="_ENREF_26"/>
      <w:r w:rsidRPr="00371DCB">
        <w:rPr>
          <w:rFonts w:ascii="Arial" w:hAnsi="Arial" w:cs="Arial"/>
          <w:noProof/>
          <w:sz w:val="22"/>
          <w:szCs w:val="22"/>
        </w:rPr>
        <w:t>26.</w:t>
      </w:r>
      <w:r w:rsidRPr="00371DCB">
        <w:rPr>
          <w:rFonts w:ascii="Arial" w:hAnsi="Arial" w:cs="Arial"/>
          <w:noProof/>
          <w:sz w:val="22"/>
          <w:szCs w:val="22"/>
        </w:rPr>
        <w:tab/>
        <w:t xml:space="preserve">Wrapp D, Wang N, Corbett KS, et al. Cryo-EM structure of the 2019-nCoV spike in the prefusion conformation. </w:t>
      </w:r>
      <w:r w:rsidRPr="00371DCB">
        <w:rPr>
          <w:rFonts w:ascii="Arial" w:hAnsi="Arial" w:cs="Arial"/>
          <w:i/>
          <w:noProof/>
          <w:sz w:val="22"/>
          <w:szCs w:val="22"/>
        </w:rPr>
        <w:t>Science</w:t>
      </w:r>
      <w:r w:rsidRPr="00371DCB">
        <w:rPr>
          <w:rFonts w:ascii="Arial" w:hAnsi="Arial" w:cs="Arial"/>
          <w:noProof/>
          <w:sz w:val="22"/>
          <w:szCs w:val="22"/>
        </w:rPr>
        <w:t xml:space="preserve"> 2020; </w:t>
      </w:r>
      <w:r w:rsidRPr="00371DCB">
        <w:rPr>
          <w:rFonts w:ascii="Arial" w:hAnsi="Arial" w:cs="Arial"/>
          <w:b/>
          <w:noProof/>
          <w:sz w:val="22"/>
          <w:szCs w:val="22"/>
        </w:rPr>
        <w:t>367</w:t>
      </w:r>
      <w:r w:rsidRPr="00371DCB">
        <w:rPr>
          <w:rFonts w:ascii="Arial" w:hAnsi="Arial" w:cs="Arial"/>
          <w:noProof/>
          <w:sz w:val="22"/>
          <w:szCs w:val="22"/>
        </w:rPr>
        <w:t>(6483): 1260-3.</w:t>
      </w:r>
      <w:bookmarkEnd w:id="177"/>
    </w:p>
    <w:p w14:paraId="57C8A77D" w14:textId="77777777" w:rsidR="00415001" w:rsidRPr="00371DCB" w:rsidRDefault="00415001" w:rsidP="00FB2D39">
      <w:pPr>
        <w:pStyle w:val="EndNoteBibliography"/>
        <w:spacing w:after="0"/>
        <w:rPr>
          <w:rFonts w:ascii="Arial" w:hAnsi="Arial" w:cs="Arial"/>
          <w:noProof/>
          <w:sz w:val="22"/>
          <w:szCs w:val="22"/>
        </w:rPr>
      </w:pPr>
      <w:bookmarkStart w:id="178" w:name="_ENREF_27"/>
      <w:r w:rsidRPr="00371DCB">
        <w:rPr>
          <w:rFonts w:ascii="Arial" w:hAnsi="Arial" w:cs="Arial"/>
          <w:noProof/>
          <w:sz w:val="22"/>
          <w:szCs w:val="22"/>
        </w:rPr>
        <w:t>27.</w:t>
      </w:r>
      <w:r w:rsidRPr="00371DCB">
        <w:rPr>
          <w:rFonts w:ascii="Arial" w:hAnsi="Arial" w:cs="Arial"/>
          <w:noProof/>
          <w:sz w:val="22"/>
          <w:szCs w:val="22"/>
        </w:rPr>
        <w:tab/>
        <w:t xml:space="preserve">Furst DE, Lindsley H, Baethge B, et al. Dose-loading with hydroxychloroquine improves the rate of response in early, active rheumatoid arthritis: a randomized, double-blind six-week trial with eighteen-week extension. </w:t>
      </w:r>
      <w:r w:rsidRPr="00371DCB">
        <w:rPr>
          <w:rFonts w:ascii="Arial" w:hAnsi="Arial" w:cs="Arial"/>
          <w:i/>
          <w:noProof/>
          <w:sz w:val="22"/>
          <w:szCs w:val="22"/>
        </w:rPr>
        <w:t>Arthritis Rheum</w:t>
      </w:r>
      <w:r w:rsidRPr="00371DCB">
        <w:rPr>
          <w:rFonts w:ascii="Arial" w:hAnsi="Arial" w:cs="Arial"/>
          <w:noProof/>
          <w:sz w:val="22"/>
          <w:szCs w:val="22"/>
        </w:rPr>
        <w:t xml:space="preserve"> 1999; </w:t>
      </w:r>
      <w:r w:rsidRPr="00371DCB">
        <w:rPr>
          <w:rFonts w:ascii="Arial" w:hAnsi="Arial" w:cs="Arial"/>
          <w:b/>
          <w:noProof/>
          <w:sz w:val="22"/>
          <w:szCs w:val="22"/>
        </w:rPr>
        <w:t>42</w:t>
      </w:r>
      <w:r w:rsidRPr="00371DCB">
        <w:rPr>
          <w:rFonts w:ascii="Arial" w:hAnsi="Arial" w:cs="Arial"/>
          <w:noProof/>
          <w:sz w:val="22"/>
          <w:szCs w:val="22"/>
        </w:rPr>
        <w:t>(2): 357-65.</w:t>
      </w:r>
      <w:bookmarkEnd w:id="178"/>
    </w:p>
    <w:p w14:paraId="6CE7B127" w14:textId="77777777" w:rsidR="00415001" w:rsidRPr="00371DCB" w:rsidRDefault="00415001" w:rsidP="00FB2D39">
      <w:pPr>
        <w:pStyle w:val="EndNoteBibliography"/>
        <w:spacing w:after="0"/>
        <w:rPr>
          <w:rFonts w:ascii="Arial" w:hAnsi="Arial" w:cs="Arial"/>
          <w:noProof/>
          <w:sz w:val="22"/>
          <w:szCs w:val="22"/>
        </w:rPr>
      </w:pPr>
      <w:bookmarkStart w:id="179" w:name="_ENREF_28"/>
      <w:r w:rsidRPr="00371DCB">
        <w:rPr>
          <w:rFonts w:ascii="Arial" w:hAnsi="Arial" w:cs="Arial"/>
          <w:noProof/>
          <w:sz w:val="22"/>
          <w:szCs w:val="22"/>
        </w:rPr>
        <w:t>28.</w:t>
      </w:r>
      <w:r w:rsidRPr="00371DCB">
        <w:rPr>
          <w:rFonts w:ascii="Arial" w:hAnsi="Arial" w:cs="Arial"/>
          <w:noProof/>
          <w:sz w:val="22"/>
          <w:szCs w:val="22"/>
        </w:rPr>
        <w:tab/>
        <w:t xml:space="preserve">Collins KP, Jackson KM, Gustafson DL. Hydroxychloroquine: A Physiologically-Based Pharmacokinetic Model in the Context of Cancer-Related Autophagy Modulation. </w:t>
      </w:r>
      <w:r w:rsidRPr="00371DCB">
        <w:rPr>
          <w:rFonts w:ascii="Arial" w:hAnsi="Arial" w:cs="Arial"/>
          <w:i/>
          <w:noProof/>
          <w:sz w:val="22"/>
          <w:szCs w:val="22"/>
        </w:rPr>
        <w:t>J Pharmacol Exp Ther</w:t>
      </w:r>
      <w:r w:rsidRPr="00371DCB">
        <w:rPr>
          <w:rFonts w:ascii="Arial" w:hAnsi="Arial" w:cs="Arial"/>
          <w:noProof/>
          <w:sz w:val="22"/>
          <w:szCs w:val="22"/>
        </w:rPr>
        <w:t xml:space="preserve"> 2018; </w:t>
      </w:r>
      <w:r w:rsidRPr="00371DCB">
        <w:rPr>
          <w:rFonts w:ascii="Arial" w:hAnsi="Arial" w:cs="Arial"/>
          <w:b/>
          <w:noProof/>
          <w:sz w:val="22"/>
          <w:szCs w:val="22"/>
        </w:rPr>
        <w:t>365</w:t>
      </w:r>
      <w:r w:rsidRPr="00371DCB">
        <w:rPr>
          <w:rFonts w:ascii="Arial" w:hAnsi="Arial" w:cs="Arial"/>
          <w:noProof/>
          <w:sz w:val="22"/>
          <w:szCs w:val="22"/>
        </w:rPr>
        <w:t>(3): 447-59.</w:t>
      </w:r>
      <w:bookmarkEnd w:id="179"/>
    </w:p>
    <w:p w14:paraId="5ADFA7BD" w14:textId="77777777" w:rsidR="00415001" w:rsidRPr="00371DCB" w:rsidRDefault="00415001" w:rsidP="00FB2D39">
      <w:pPr>
        <w:pStyle w:val="EndNoteBibliography"/>
        <w:spacing w:after="0"/>
        <w:rPr>
          <w:rFonts w:ascii="Arial" w:hAnsi="Arial" w:cs="Arial"/>
          <w:noProof/>
          <w:sz w:val="22"/>
          <w:szCs w:val="22"/>
        </w:rPr>
      </w:pPr>
      <w:bookmarkStart w:id="180" w:name="_ENREF_29"/>
      <w:r w:rsidRPr="00371DCB">
        <w:rPr>
          <w:rFonts w:ascii="Arial" w:hAnsi="Arial" w:cs="Arial"/>
          <w:noProof/>
          <w:sz w:val="22"/>
          <w:szCs w:val="22"/>
        </w:rPr>
        <w:t>29.</w:t>
      </w:r>
      <w:r w:rsidRPr="00371DCB">
        <w:rPr>
          <w:rFonts w:ascii="Arial" w:hAnsi="Arial" w:cs="Arial"/>
          <w:noProof/>
          <w:sz w:val="22"/>
          <w:szCs w:val="22"/>
        </w:rPr>
        <w:tab/>
        <w:t xml:space="preserve">Tett SE, Cutler DJ, Day RO, Brown KF. Bioavailability of hydroxychloroquine tablets in healthy volunteers. </w:t>
      </w:r>
      <w:r w:rsidRPr="00371DCB">
        <w:rPr>
          <w:rFonts w:ascii="Arial" w:hAnsi="Arial" w:cs="Arial"/>
          <w:i/>
          <w:noProof/>
          <w:sz w:val="22"/>
          <w:szCs w:val="22"/>
        </w:rPr>
        <w:t>Br J Clin Pharmacol</w:t>
      </w:r>
      <w:r w:rsidRPr="00371DCB">
        <w:rPr>
          <w:rFonts w:ascii="Arial" w:hAnsi="Arial" w:cs="Arial"/>
          <w:noProof/>
          <w:sz w:val="22"/>
          <w:szCs w:val="22"/>
        </w:rPr>
        <w:t xml:space="preserve"> 1989; </w:t>
      </w:r>
      <w:r w:rsidRPr="00371DCB">
        <w:rPr>
          <w:rFonts w:ascii="Arial" w:hAnsi="Arial" w:cs="Arial"/>
          <w:b/>
          <w:noProof/>
          <w:sz w:val="22"/>
          <w:szCs w:val="22"/>
        </w:rPr>
        <w:t>27</w:t>
      </w:r>
      <w:r w:rsidRPr="00371DCB">
        <w:rPr>
          <w:rFonts w:ascii="Arial" w:hAnsi="Arial" w:cs="Arial"/>
          <w:noProof/>
          <w:sz w:val="22"/>
          <w:szCs w:val="22"/>
        </w:rPr>
        <w:t>(6): 771-9.</w:t>
      </w:r>
      <w:bookmarkEnd w:id="180"/>
    </w:p>
    <w:p w14:paraId="1161FBAE" w14:textId="77777777" w:rsidR="00415001" w:rsidRPr="00371DCB" w:rsidRDefault="00415001" w:rsidP="00FB2D39">
      <w:pPr>
        <w:pStyle w:val="EndNoteBibliography"/>
        <w:spacing w:after="0"/>
        <w:rPr>
          <w:rFonts w:ascii="Arial" w:hAnsi="Arial" w:cs="Arial"/>
          <w:noProof/>
          <w:sz w:val="22"/>
          <w:szCs w:val="22"/>
        </w:rPr>
      </w:pPr>
      <w:bookmarkStart w:id="181" w:name="_ENREF_30"/>
      <w:r w:rsidRPr="00371DCB">
        <w:rPr>
          <w:rFonts w:ascii="Arial" w:hAnsi="Arial" w:cs="Arial"/>
          <w:noProof/>
          <w:sz w:val="22"/>
          <w:szCs w:val="22"/>
        </w:rPr>
        <w:t>30.</w:t>
      </w:r>
      <w:r w:rsidRPr="00371DCB">
        <w:rPr>
          <w:rFonts w:ascii="Arial" w:hAnsi="Arial" w:cs="Arial"/>
          <w:noProof/>
          <w:sz w:val="22"/>
          <w:szCs w:val="22"/>
        </w:rPr>
        <w:tab/>
        <w:t xml:space="preserve">Graat JM, Schouten EG, Kok FJ. Effect of daily vitamin E and multivitamin-mineral supplementation on acute respiratory tract infections in elderly persons: a randomized controlled trial. </w:t>
      </w:r>
      <w:r w:rsidRPr="00371DCB">
        <w:rPr>
          <w:rFonts w:ascii="Arial" w:hAnsi="Arial" w:cs="Arial"/>
          <w:i/>
          <w:noProof/>
          <w:sz w:val="22"/>
          <w:szCs w:val="22"/>
        </w:rPr>
        <w:t>JAMA</w:t>
      </w:r>
      <w:r w:rsidRPr="00371DCB">
        <w:rPr>
          <w:rFonts w:ascii="Arial" w:hAnsi="Arial" w:cs="Arial"/>
          <w:noProof/>
          <w:sz w:val="22"/>
          <w:szCs w:val="22"/>
        </w:rPr>
        <w:t xml:space="preserve"> 2002; </w:t>
      </w:r>
      <w:r w:rsidRPr="00371DCB">
        <w:rPr>
          <w:rFonts w:ascii="Arial" w:hAnsi="Arial" w:cs="Arial"/>
          <w:b/>
          <w:noProof/>
          <w:sz w:val="22"/>
          <w:szCs w:val="22"/>
        </w:rPr>
        <w:t>288</w:t>
      </w:r>
      <w:r w:rsidRPr="00371DCB">
        <w:rPr>
          <w:rFonts w:ascii="Arial" w:hAnsi="Arial" w:cs="Arial"/>
          <w:noProof/>
          <w:sz w:val="22"/>
          <w:szCs w:val="22"/>
        </w:rPr>
        <w:t>(6): 715-21.</w:t>
      </w:r>
      <w:bookmarkEnd w:id="181"/>
    </w:p>
    <w:p w14:paraId="34FE27A8" w14:textId="2F6C7266" w:rsidR="00415001" w:rsidRPr="00371DCB" w:rsidRDefault="00415001" w:rsidP="00FB2D39">
      <w:pPr>
        <w:pStyle w:val="EndNoteBibliography"/>
        <w:spacing w:after="0"/>
        <w:rPr>
          <w:rFonts w:ascii="Arial" w:hAnsi="Arial" w:cs="Arial"/>
          <w:noProof/>
          <w:sz w:val="22"/>
          <w:szCs w:val="22"/>
        </w:rPr>
      </w:pPr>
      <w:bookmarkStart w:id="182" w:name="_ENREF_31"/>
      <w:r w:rsidRPr="00371DCB">
        <w:rPr>
          <w:rFonts w:ascii="Arial" w:hAnsi="Arial" w:cs="Arial"/>
          <w:noProof/>
          <w:sz w:val="22"/>
          <w:szCs w:val="22"/>
        </w:rPr>
        <w:t>31.</w:t>
      </w:r>
      <w:r w:rsidRPr="00371DCB">
        <w:rPr>
          <w:rFonts w:ascii="Arial" w:hAnsi="Arial" w:cs="Arial"/>
          <w:noProof/>
          <w:sz w:val="22"/>
          <w:szCs w:val="22"/>
        </w:rPr>
        <w:tab/>
        <w:t xml:space="preserve">Packaging UM. Biological Substance Category B. 2020. </w:t>
      </w:r>
      <w:hyperlink r:id="rId31" w:history="1">
        <w:r w:rsidRPr="00371DCB">
          <w:rPr>
            <w:rStyle w:val="Hyperlink"/>
            <w:rFonts w:ascii="Arial" w:hAnsi="Arial" w:cs="Arial"/>
            <w:noProof/>
            <w:sz w:val="22"/>
            <w:szCs w:val="22"/>
          </w:rPr>
          <w:t>https://www.un3373.com/category-biological-substances/category-b</w:t>
        </w:r>
      </w:hyperlink>
      <w:r w:rsidRPr="00371DCB">
        <w:rPr>
          <w:rFonts w:ascii="Arial" w:hAnsi="Arial" w:cs="Arial"/>
          <w:noProof/>
          <w:sz w:val="22"/>
          <w:szCs w:val="22"/>
        </w:rPr>
        <w:t>.</w:t>
      </w:r>
      <w:bookmarkEnd w:id="182"/>
    </w:p>
    <w:p w14:paraId="73A49068" w14:textId="77777777" w:rsidR="00415001" w:rsidRPr="00371DCB" w:rsidRDefault="00415001" w:rsidP="00FB2D39">
      <w:pPr>
        <w:pStyle w:val="EndNoteBibliography"/>
        <w:rPr>
          <w:rFonts w:ascii="Arial" w:hAnsi="Arial" w:cs="Arial"/>
          <w:noProof/>
          <w:sz w:val="22"/>
          <w:szCs w:val="22"/>
        </w:rPr>
      </w:pPr>
      <w:bookmarkStart w:id="183" w:name="_ENREF_32"/>
      <w:r w:rsidRPr="00371DCB">
        <w:rPr>
          <w:rFonts w:ascii="Arial" w:hAnsi="Arial" w:cs="Arial"/>
          <w:noProof/>
          <w:sz w:val="22"/>
          <w:szCs w:val="22"/>
        </w:rPr>
        <w:t>32.</w:t>
      </w:r>
      <w:r w:rsidRPr="00371DCB">
        <w:rPr>
          <w:rFonts w:ascii="Arial" w:hAnsi="Arial" w:cs="Arial"/>
          <w:noProof/>
          <w:sz w:val="22"/>
          <w:szCs w:val="22"/>
        </w:rPr>
        <w:tab/>
        <w:t xml:space="preserve">Schoenfeld D, Zheng H, Finkelstein D. Bayesian design using adult data to augment pediatric trials. </w:t>
      </w:r>
      <w:r w:rsidRPr="00371DCB">
        <w:rPr>
          <w:rFonts w:ascii="Arial" w:hAnsi="Arial" w:cs="Arial"/>
          <w:i/>
          <w:noProof/>
          <w:sz w:val="22"/>
          <w:szCs w:val="22"/>
        </w:rPr>
        <w:t>Clinical Trials</w:t>
      </w:r>
      <w:r w:rsidRPr="00371DCB">
        <w:rPr>
          <w:rFonts w:ascii="Arial" w:hAnsi="Arial" w:cs="Arial"/>
          <w:noProof/>
          <w:sz w:val="22"/>
          <w:szCs w:val="22"/>
        </w:rPr>
        <w:t xml:space="preserve"> 2009; </w:t>
      </w:r>
      <w:r w:rsidRPr="00371DCB">
        <w:rPr>
          <w:rFonts w:ascii="Arial" w:hAnsi="Arial" w:cs="Arial"/>
          <w:b/>
          <w:noProof/>
          <w:sz w:val="22"/>
          <w:szCs w:val="22"/>
        </w:rPr>
        <w:t>6</w:t>
      </w:r>
      <w:r w:rsidRPr="00371DCB">
        <w:rPr>
          <w:rFonts w:ascii="Arial" w:hAnsi="Arial" w:cs="Arial"/>
          <w:noProof/>
          <w:sz w:val="22"/>
          <w:szCs w:val="22"/>
        </w:rPr>
        <w:t>: 297-304.</w:t>
      </w:r>
      <w:bookmarkEnd w:id="183"/>
    </w:p>
    <w:p w14:paraId="01764162" w14:textId="15442DFA" w:rsidR="00C55832" w:rsidRPr="00371DCB" w:rsidRDefault="00C55832" w:rsidP="00FB2D39">
      <w:pPr>
        <w:jc w:val="both"/>
        <w:rPr>
          <w:rFonts w:ascii="Arial" w:hAnsi="Arial" w:cs="Arial"/>
          <w:sz w:val="22"/>
          <w:szCs w:val="22"/>
          <w:lang w:val="en-US" w:eastAsia="ja-JP"/>
        </w:rPr>
      </w:pPr>
      <w:r w:rsidRPr="00371DCB">
        <w:rPr>
          <w:rFonts w:ascii="Arial" w:hAnsi="Arial" w:cs="Arial"/>
          <w:sz w:val="22"/>
          <w:szCs w:val="22"/>
        </w:rPr>
        <w:fldChar w:fldCharType="end"/>
      </w:r>
    </w:p>
    <w:p w14:paraId="6508F752" w14:textId="77777777" w:rsidR="00381D18" w:rsidRPr="00371DCB" w:rsidRDefault="00FC4C3A" w:rsidP="00FB2D39">
      <w:pPr>
        <w:pStyle w:val="Heading1"/>
        <w:rPr>
          <w:rFonts w:ascii="Arial" w:hAnsi="Arial" w:cs="Arial"/>
          <w:sz w:val="22"/>
        </w:rPr>
      </w:pPr>
      <w:bookmarkStart w:id="184" w:name="_Toc38818803"/>
      <w:r w:rsidRPr="00371DCB">
        <w:rPr>
          <w:rFonts w:ascii="Arial" w:hAnsi="Arial" w:cs="Arial"/>
          <w:sz w:val="22"/>
        </w:rPr>
        <w:lastRenderedPageBreak/>
        <w:t>Appendices</w:t>
      </w:r>
      <w:bookmarkEnd w:id="184"/>
    </w:p>
    <w:p w14:paraId="2405012C" w14:textId="77777777" w:rsidR="00381D18" w:rsidRPr="00371DCB" w:rsidRDefault="00FC4C3A" w:rsidP="00FB2D39">
      <w:pPr>
        <w:pStyle w:val="Heading2non-numbered"/>
        <w:jc w:val="both"/>
      </w:pPr>
      <w:bookmarkStart w:id="185" w:name="Appendix_1"/>
      <w:bookmarkStart w:id="186" w:name="_Toc38818804"/>
      <w:r w:rsidRPr="00371DCB">
        <w:t>Appendix 1: Abbreviations and Terms</w:t>
      </w:r>
      <w:bookmarkEnd w:id="185"/>
      <w:bookmarkEnd w:id="186"/>
    </w:p>
    <w:tbl>
      <w:tblPr>
        <w:tblStyle w:val="TableGrid"/>
        <w:tblW w:w="5000" w:type="pct"/>
        <w:tblLook w:val="04A0" w:firstRow="1" w:lastRow="0" w:firstColumn="1" w:lastColumn="0" w:noHBand="0" w:noVBand="1"/>
      </w:tblPr>
      <w:tblGrid>
        <w:gridCol w:w="1616"/>
        <w:gridCol w:w="7734"/>
      </w:tblGrid>
      <w:tr w:rsidR="00381D18" w:rsidRPr="00FA7410" w14:paraId="5352CA5E" w14:textId="77777777" w:rsidTr="00C775D6">
        <w:tc>
          <w:tcPr>
            <w:tcW w:w="864" w:type="pct"/>
          </w:tcPr>
          <w:p w14:paraId="6F0ABC8A" w14:textId="77777777" w:rsidR="00381D18" w:rsidRPr="00371DCB" w:rsidRDefault="00FC4C3A" w:rsidP="00FB2D39">
            <w:pPr>
              <w:pStyle w:val="TableHeaderText"/>
              <w:spacing w:before="20" w:after="20"/>
              <w:jc w:val="both"/>
              <w:rPr>
                <w:rFonts w:ascii="Arial" w:hAnsi="Arial" w:cs="Arial"/>
                <w:sz w:val="22"/>
                <w:szCs w:val="22"/>
              </w:rPr>
            </w:pPr>
            <w:r w:rsidRPr="00371DCB">
              <w:rPr>
                <w:rFonts w:ascii="Arial" w:hAnsi="Arial" w:cs="Arial"/>
                <w:sz w:val="22"/>
                <w:szCs w:val="22"/>
              </w:rPr>
              <w:t>Term</w:t>
            </w:r>
          </w:p>
        </w:tc>
        <w:tc>
          <w:tcPr>
            <w:tcW w:w="4136" w:type="pct"/>
          </w:tcPr>
          <w:p w14:paraId="09EFE5E2" w14:textId="77777777" w:rsidR="00381D18" w:rsidRPr="00371DCB" w:rsidRDefault="00FC4C3A" w:rsidP="00FB2D39">
            <w:pPr>
              <w:pStyle w:val="TableHeaderText"/>
              <w:spacing w:before="20" w:after="20"/>
              <w:jc w:val="both"/>
              <w:rPr>
                <w:rFonts w:ascii="Arial" w:hAnsi="Arial" w:cs="Arial"/>
                <w:sz w:val="22"/>
                <w:szCs w:val="22"/>
              </w:rPr>
            </w:pPr>
            <w:r w:rsidRPr="00371DCB">
              <w:rPr>
                <w:rFonts w:ascii="Arial" w:hAnsi="Arial" w:cs="Arial"/>
                <w:sz w:val="22"/>
                <w:szCs w:val="22"/>
              </w:rPr>
              <w:t>Definition</w:t>
            </w:r>
          </w:p>
        </w:tc>
      </w:tr>
      <w:tr w:rsidR="00381D18" w:rsidRPr="00FA7410" w14:paraId="45CB3D94" w14:textId="43EB79D3" w:rsidTr="00C775D6">
        <w:tc>
          <w:tcPr>
            <w:tcW w:w="864" w:type="pct"/>
          </w:tcPr>
          <w:p w14:paraId="2A2A6BFD" w14:textId="069D0E51"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ACE2</w:t>
            </w:r>
          </w:p>
        </w:tc>
        <w:tc>
          <w:tcPr>
            <w:tcW w:w="4136" w:type="pct"/>
          </w:tcPr>
          <w:p w14:paraId="387D9BB5" w14:textId="09C5BFAD"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Angiotensin converting enzyme 2</w:t>
            </w:r>
          </w:p>
        </w:tc>
      </w:tr>
      <w:tr w:rsidR="00381D18" w:rsidRPr="00FA7410" w14:paraId="145258C4" w14:textId="77777777" w:rsidTr="00C775D6">
        <w:tc>
          <w:tcPr>
            <w:tcW w:w="864" w:type="pct"/>
          </w:tcPr>
          <w:p w14:paraId="210633E7"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AE</w:t>
            </w:r>
          </w:p>
        </w:tc>
        <w:tc>
          <w:tcPr>
            <w:tcW w:w="4136" w:type="pct"/>
          </w:tcPr>
          <w:p w14:paraId="0601F64B"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Adverse event</w:t>
            </w:r>
          </w:p>
        </w:tc>
      </w:tr>
      <w:tr w:rsidR="00381D18" w:rsidRPr="00FA7410" w14:paraId="12FDBEA6" w14:textId="77777777" w:rsidTr="00C775D6">
        <w:tc>
          <w:tcPr>
            <w:tcW w:w="864" w:type="pct"/>
          </w:tcPr>
          <w:p w14:paraId="57F7FE19"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COVID-19</w:t>
            </w:r>
          </w:p>
        </w:tc>
        <w:tc>
          <w:tcPr>
            <w:tcW w:w="4136" w:type="pct"/>
          </w:tcPr>
          <w:p w14:paraId="5FDBEC1B" w14:textId="4FA83878" w:rsidR="00381D18" w:rsidRPr="00371DCB" w:rsidRDefault="00813FE4" w:rsidP="00FB2D39">
            <w:pPr>
              <w:pStyle w:val="TableText"/>
              <w:spacing w:before="20" w:after="20"/>
              <w:jc w:val="both"/>
              <w:rPr>
                <w:rFonts w:ascii="Arial" w:hAnsi="Arial" w:cs="Arial"/>
                <w:i/>
                <w:sz w:val="22"/>
                <w:szCs w:val="22"/>
              </w:rPr>
            </w:pPr>
            <w:r w:rsidRPr="00371DCB">
              <w:rPr>
                <w:rFonts w:ascii="Arial" w:hAnsi="Arial" w:cs="Arial"/>
                <w:sz w:val="22"/>
                <w:szCs w:val="22"/>
              </w:rPr>
              <w:t>C</w:t>
            </w:r>
            <w:r w:rsidR="00FC4C3A" w:rsidRPr="00371DCB">
              <w:rPr>
                <w:rFonts w:ascii="Arial" w:hAnsi="Arial" w:cs="Arial"/>
                <w:sz w:val="22"/>
                <w:szCs w:val="22"/>
              </w:rPr>
              <w:t>oronavirus disease</w:t>
            </w:r>
          </w:p>
        </w:tc>
      </w:tr>
      <w:tr w:rsidR="00381D18" w:rsidRPr="00FA7410" w14:paraId="5B9A5250" w14:textId="77777777" w:rsidTr="00C775D6">
        <w:tc>
          <w:tcPr>
            <w:tcW w:w="864" w:type="pct"/>
          </w:tcPr>
          <w:p w14:paraId="2B879CEE"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CQ</w:t>
            </w:r>
          </w:p>
        </w:tc>
        <w:tc>
          <w:tcPr>
            <w:tcW w:w="4136" w:type="pct"/>
          </w:tcPr>
          <w:p w14:paraId="0C9C19E6"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Chloroquine</w:t>
            </w:r>
          </w:p>
        </w:tc>
      </w:tr>
      <w:tr w:rsidR="0053408C" w:rsidRPr="00FA7410" w14:paraId="06E70979" w14:textId="77777777" w:rsidTr="00C775D6">
        <w:tc>
          <w:tcPr>
            <w:tcW w:w="864" w:type="pct"/>
          </w:tcPr>
          <w:p w14:paraId="42DE5B75" w14:textId="7C4C0993" w:rsidR="0053408C" w:rsidRPr="00371DCB" w:rsidRDefault="0053408C" w:rsidP="00FB2D39">
            <w:pPr>
              <w:pStyle w:val="TableText"/>
              <w:spacing w:before="20" w:after="20"/>
              <w:jc w:val="both"/>
              <w:rPr>
                <w:rFonts w:ascii="Arial" w:hAnsi="Arial" w:cs="Arial"/>
                <w:sz w:val="22"/>
                <w:szCs w:val="22"/>
              </w:rPr>
            </w:pPr>
            <w:r w:rsidRPr="00371DCB">
              <w:rPr>
                <w:rFonts w:ascii="Arial" w:hAnsi="Arial" w:cs="Arial"/>
                <w:sz w:val="22"/>
                <w:szCs w:val="22"/>
              </w:rPr>
              <w:t>DAIDS</w:t>
            </w:r>
          </w:p>
        </w:tc>
        <w:tc>
          <w:tcPr>
            <w:tcW w:w="4136" w:type="pct"/>
          </w:tcPr>
          <w:p w14:paraId="67677457" w14:textId="1F37E95A" w:rsidR="0053408C" w:rsidRPr="00371DCB" w:rsidRDefault="00E27AD8" w:rsidP="00FB2D39">
            <w:pPr>
              <w:pStyle w:val="TableText"/>
              <w:spacing w:before="20" w:after="20"/>
              <w:jc w:val="both"/>
              <w:rPr>
                <w:rFonts w:ascii="Arial" w:hAnsi="Arial" w:cs="Arial"/>
                <w:sz w:val="22"/>
                <w:szCs w:val="22"/>
              </w:rPr>
            </w:pPr>
            <w:r w:rsidRPr="00371DCB">
              <w:rPr>
                <w:rFonts w:ascii="Arial" w:hAnsi="Arial" w:cs="Arial"/>
                <w:sz w:val="22"/>
                <w:szCs w:val="22"/>
              </w:rPr>
              <w:t>Division of Acquired Immunodeficiency Syndrome</w:t>
            </w:r>
          </w:p>
        </w:tc>
      </w:tr>
      <w:tr w:rsidR="00DB6106" w:rsidRPr="00FA7410" w:rsidDel="00DC11BB" w14:paraId="6C285485" w14:textId="77777777" w:rsidTr="00C775D6">
        <w:tc>
          <w:tcPr>
            <w:tcW w:w="864" w:type="pct"/>
          </w:tcPr>
          <w:p w14:paraId="5281F7F8" w14:textId="6E997A5D" w:rsidR="00DB6106" w:rsidRPr="00371DCB" w:rsidDel="00DC11BB" w:rsidRDefault="00DB6106" w:rsidP="00FB2D39">
            <w:pPr>
              <w:pStyle w:val="TableText"/>
              <w:spacing w:before="20" w:after="20"/>
              <w:jc w:val="both"/>
              <w:rPr>
                <w:rFonts w:ascii="Arial" w:hAnsi="Arial" w:cs="Arial"/>
                <w:sz w:val="22"/>
                <w:szCs w:val="22"/>
              </w:rPr>
            </w:pPr>
            <w:r w:rsidRPr="00371DCB">
              <w:rPr>
                <w:rFonts w:ascii="Arial" w:hAnsi="Arial" w:cs="Arial"/>
                <w:sz w:val="22"/>
                <w:szCs w:val="22"/>
              </w:rPr>
              <w:t>DAIDS</w:t>
            </w:r>
          </w:p>
        </w:tc>
        <w:tc>
          <w:tcPr>
            <w:tcW w:w="4136" w:type="pct"/>
          </w:tcPr>
          <w:p w14:paraId="5F12B7F6" w14:textId="49668784" w:rsidR="00DB6106" w:rsidRPr="00371DCB" w:rsidDel="00DC11BB" w:rsidRDefault="00DB6106" w:rsidP="00FB2D39">
            <w:pPr>
              <w:pStyle w:val="TableText"/>
              <w:spacing w:before="20" w:after="20"/>
              <w:jc w:val="both"/>
              <w:rPr>
                <w:rFonts w:ascii="Arial" w:hAnsi="Arial" w:cs="Arial"/>
                <w:sz w:val="22"/>
                <w:szCs w:val="22"/>
              </w:rPr>
            </w:pPr>
            <w:r w:rsidRPr="00371DCB">
              <w:rPr>
                <w:rFonts w:ascii="Arial" w:hAnsi="Arial" w:cs="Arial"/>
                <w:sz w:val="22"/>
                <w:szCs w:val="22"/>
              </w:rPr>
              <w:t xml:space="preserve">Division of acquired immunodeficiency syndrome </w:t>
            </w:r>
          </w:p>
        </w:tc>
      </w:tr>
      <w:tr w:rsidR="00381D18" w:rsidRPr="00FA7410" w14:paraId="65DBCE95" w14:textId="77777777" w:rsidTr="00C775D6">
        <w:tc>
          <w:tcPr>
            <w:tcW w:w="864" w:type="pct"/>
          </w:tcPr>
          <w:p w14:paraId="0F531344"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DBS</w:t>
            </w:r>
          </w:p>
        </w:tc>
        <w:tc>
          <w:tcPr>
            <w:tcW w:w="4136" w:type="pct"/>
          </w:tcPr>
          <w:p w14:paraId="0116E1A9"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Dried blood spot</w:t>
            </w:r>
          </w:p>
        </w:tc>
      </w:tr>
      <w:tr w:rsidR="00381D18" w:rsidRPr="00FA7410" w14:paraId="42A3E02A" w14:textId="77777777" w:rsidTr="00C775D6">
        <w:tc>
          <w:tcPr>
            <w:tcW w:w="864" w:type="pct"/>
          </w:tcPr>
          <w:p w14:paraId="3C912131"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DSMB</w:t>
            </w:r>
          </w:p>
        </w:tc>
        <w:tc>
          <w:tcPr>
            <w:tcW w:w="4136" w:type="pct"/>
          </w:tcPr>
          <w:p w14:paraId="26B32BCB" w14:textId="3BB4D956"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 xml:space="preserve">Data </w:t>
            </w:r>
            <w:r w:rsidR="00C50A4B" w:rsidRPr="00371DCB">
              <w:rPr>
                <w:rFonts w:ascii="Arial" w:hAnsi="Arial" w:cs="Arial"/>
                <w:sz w:val="22"/>
                <w:szCs w:val="22"/>
              </w:rPr>
              <w:t xml:space="preserve">and </w:t>
            </w:r>
            <w:r w:rsidR="001810AD" w:rsidRPr="00371DCB">
              <w:rPr>
                <w:rFonts w:ascii="Arial" w:hAnsi="Arial" w:cs="Arial"/>
                <w:sz w:val="22"/>
                <w:szCs w:val="22"/>
              </w:rPr>
              <w:t>s</w:t>
            </w:r>
            <w:r w:rsidRPr="00371DCB">
              <w:rPr>
                <w:rFonts w:ascii="Arial" w:hAnsi="Arial" w:cs="Arial"/>
                <w:sz w:val="22"/>
                <w:szCs w:val="22"/>
              </w:rPr>
              <w:t xml:space="preserve">afety </w:t>
            </w:r>
            <w:r w:rsidR="001810AD" w:rsidRPr="00371DCB">
              <w:rPr>
                <w:rFonts w:ascii="Arial" w:hAnsi="Arial" w:cs="Arial"/>
                <w:sz w:val="22"/>
                <w:szCs w:val="22"/>
              </w:rPr>
              <w:t>m</w:t>
            </w:r>
            <w:r w:rsidRPr="00371DCB">
              <w:rPr>
                <w:rFonts w:ascii="Arial" w:hAnsi="Arial" w:cs="Arial"/>
                <w:sz w:val="22"/>
                <w:szCs w:val="22"/>
              </w:rPr>
              <w:t xml:space="preserve">onitoring </w:t>
            </w:r>
            <w:r w:rsidR="001810AD" w:rsidRPr="00371DCB">
              <w:rPr>
                <w:rFonts w:ascii="Arial" w:hAnsi="Arial" w:cs="Arial"/>
                <w:sz w:val="22"/>
                <w:szCs w:val="22"/>
              </w:rPr>
              <w:t>b</w:t>
            </w:r>
            <w:r w:rsidRPr="00371DCB">
              <w:rPr>
                <w:rFonts w:ascii="Arial" w:hAnsi="Arial" w:cs="Arial"/>
                <w:sz w:val="22"/>
                <w:szCs w:val="22"/>
              </w:rPr>
              <w:t>oard</w:t>
            </w:r>
          </w:p>
        </w:tc>
      </w:tr>
      <w:tr w:rsidR="00381D18" w:rsidRPr="00FA7410" w14:paraId="5B016691" w14:textId="77777777" w:rsidTr="00C775D6">
        <w:tc>
          <w:tcPr>
            <w:tcW w:w="864" w:type="pct"/>
          </w:tcPr>
          <w:p w14:paraId="23DB87CC"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EC</w:t>
            </w:r>
            <w:r w:rsidRPr="00371DCB">
              <w:rPr>
                <w:rFonts w:ascii="Arial" w:hAnsi="Arial" w:cs="Arial"/>
                <w:sz w:val="22"/>
                <w:szCs w:val="22"/>
                <w:vertAlign w:val="subscript"/>
              </w:rPr>
              <w:t>50</w:t>
            </w:r>
          </w:p>
        </w:tc>
        <w:tc>
          <w:tcPr>
            <w:tcW w:w="4136" w:type="pct"/>
          </w:tcPr>
          <w:p w14:paraId="37F55D19" w14:textId="24028366"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Half</w:t>
            </w:r>
            <w:r w:rsidR="00BC559C" w:rsidRPr="00371DCB">
              <w:rPr>
                <w:rFonts w:ascii="Arial" w:hAnsi="Arial" w:cs="Arial"/>
                <w:sz w:val="22"/>
                <w:szCs w:val="22"/>
              </w:rPr>
              <w:t>-</w:t>
            </w:r>
            <w:r w:rsidRPr="00371DCB">
              <w:rPr>
                <w:rFonts w:ascii="Arial" w:hAnsi="Arial" w:cs="Arial"/>
                <w:sz w:val="22"/>
                <w:szCs w:val="22"/>
              </w:rPr>
              <w:t>maximal effective concentration</w:t>
            </w:r>
          </w:p>
        </w:tc>
      </w:tr>
      <w:tr w:rsidR="00381D18" w:rsidRPr="00FA7410" w14:paraId="43B3F1C8" w14:textId="77777777" w:rsidTr="00C775D6">
        <w:tc>
          <w:tcPr>
            <w:tcW w:w="864" w:type="pct"/>
          </w:tcPr>
          <w:p w14:paraId="5FC8A463"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eCRFs</w:t>
            </w:r>
          </w:p>
        </w:tc>
        <w:tc>
          <w:tcPr>
            <w:tcW w:w="4136" w:type="pct"/>
          </w:tcPr>
          <w:p w14:paraId="2F575065"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Electronic case report forms</w:t>
            </w:r>
          </w:p>
        </w:tc>
      </w:tr>
      <w:tr w:rsidR="00381D18" w:rsidRPr="00FA7410" w14:paraId="6D27E1DE" w14:textId="77777777" w:rsidTr="00C775D6">
        <w:tc>
          <w:tcPr>
            <w:tcW w:w="864" w:type="pct"/>
          </w:tcPr>
          <w:p w14:paraId="694F5D3F"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Eligible</w:t>
            </w:r>
          </w:p>
        </w:tc>
        <w:tc>
          <w:tcPr>
            <w:tcW w:w="4136" w:type="pct"/>
          </w:tcPr>
          <w:p w14:paraId="24B920B1" w14:textId="0F779AA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Qualified for enrollment into the study based upon adherence to inclusion/exclusion criteria</w:t>
            </w:r>
          </w:p>
        </w:tc>
      </w:tr>
      <w:tr w:rsidR="00CC73A0" w:rsidRPr="00FA7410" w14:paraId="222A8CC4" w14:textId="77777777" w:rsidTr="00C775D6">
        <w:tc>
          <w:tcPr>
            <w:tcW w:w="864" w:type="pct"/>
          </w:tcPr>
          <w:p w14:paraId="25B4FDC0" w14:textId="364A883E" w:rsidR="00CC73A0" w:rsidRPr="00371DCB" w:rsidRDefault="00CC73A0" w:rsidP="00FB2D39">
            <w:pPr>
              <w:pStyle w:val="TableText"/>
              <w:spacing w:before="20" w:after="20"/>
              <w:jc w:val="both"/>
              <w:rPr>
                <w:rFonts w:ascii="Arial" w:hAnsi="Arial" w:cs="Arial"/>
                <w:sz w:val="22"/>
                <w:szCs w:val="22"/>
              </w:rPr>
            </w:pPr>
            <w:r w:rsidRPr="00371DCB">
              <w:rPr>
                <w:rFonts w:ascii="Arial" w:hAnsi="Arial" w:cs="Arial"/>
                <w:sz w:val="22"/>
                <w:szCs w:val="22"/>
              </w:rPr>
              <w:t>GFR</w:t>
            </w:r>
          </w:p>
        </w:tc>
        <w:tc>
          <w:tcPr>
            <w:tcW w:w="4136" w:type="pct"/>
          </w:tcPr>
          <w:p w14:paraId="2B777E07" w14:textId="1E0CA2FF" w:rsidR="00CC73A0" w:rsidRPr="00371DCB" w:rsidRDefault="00CC73A0" w:rsidP="00FB2D39">
            <w:pPr>
              <w:pStyle w:val="TableText"/>
              <w:spacing w:before="20" w:after="20"/>
              <w:jc w:val="both"/>
              <w:rPr>
                <w:rFonts w:ascii="Arial" w:hAnsi="Arial" w:cs="Arial"/>
                <w:sz w:val="22"/>
                <w:szCs w:val="22"/>
              </w:rPr>
            </w:pPr>
            <w:r w:rsidRPr="00371DCB">
              <w:rPr>
                <w:rFonts w:ascii="Arial" w:hAnsi="Arial" w:cs="Arial"/>
                <w:sz w:val="22"/>
                <w:szCs w:val="22"/>
              </w:rPr>
              <w:t>Glomerular filtration rate</w:t>
            </w:r>
          </w:p>
        </w:tc>
      </w:tr>
      <w:tr w:rsidR="00381D18" w:rsidRPr="00FA7410" w14:paraId="2AF6361B" w14:textId="77777777" w:rsidTr="00C775D6">
        <w:tc>
          <w:tcPr>
            <w:tcW w:w="864" w:type="pct"/>
          </w:tcPr>
          <w:p w14:paraId="3F3EDAB8"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HCQ</w:t>
            </w:r>
          </w:p>
        </w:tc>
        <w:tc>
          <w:tcPr>
            <w:tcW w:w="4136" w:type="pct"/>
          </w:tcPr>
          <w:p w14:paraId="69598953"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Hydroxychloroquine</w:t>
            </w:r>
          </w:p>
        </w:tc>
      </w:tr>
      <w:tr w:rsidR="00381D18" w:rsidRPr="00FA7410" w14:paraId="65A78067" w14:textId="77777777" w:rsidTr="00C775D6">
        <w:tc>
          <w:tcPr>
            <w:tcW w:w="864" w:type="pct"/>
          </w:tcPr>
          <w:p w14:paraId="42867470"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HIPAA</w:t>
            </w:r>
          </w:p>
        </w:tc>
        <w:tc>
          <w:tcPr>
            <w:tcW w:w="4136" w:type="pct"/>
          </w:tcPr>
          <w:p w14:paraId="3B2DC33B"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Health Insurance Portability and Accountability Act</w:t>
            </w:r>
          </w:p>
        </w:tc>
      </w:tr>
      <w:tr w:rsidR="00A00A1F" w:rsidRPr="00FA7410" w14:paraId="4C6816A0" w14:textId="77777777" w:rsidTr="00C775D6">
        <w:tc>
          <w:tcPr>
            <w:tcW w:w="864" w:type="pct"/>
          </w:tcPr>
          <w:p w14:paraId="600DDCCF" w14:textId="28DC87EB" w:rsidR="00A00A1F" w:rsidRPr="00371DCB" w:rsidRDefault="00A00A1F" w:rsidP="00FB2D39">
            <w:pPr>
              <w:pStyle w:val="TableText"/>
              <w:spacing w:before="20" w:after="20"/>
              <w:jc w:val="both"/>
              <w:rPr>
                <w:rFonts w:ascii="Arial" w:hAnsi="Arial" w:cs="Arial"/>
                <w:sz w:val="22"/>
                <w:szCs w:val="22"/>
              </w:rPr>
            </w:pPr>
            <w:r w:rsidRPr="00371DCB">
              <w:rPr>
                <w:rFonts w:ascii="Arial" w:hAnsi="Arial" w:cs="Arial"/>
                <w:sz w:val="22"/>
                <w:szCs w:val="22"/>
              </w:rPr>
              <w:t>IATA</w:t>
            </w:r>
          </w:p>
        </w:tc>
        <w:tc>
          <w:tcPr>
            <w:tcW w:w="4136" w:type="pct"/>
          </w:tcPr>
          <w:p w14:paraId="0EDCEC76" w14:textId="4FEACEE5" w:rsidR="00A00A1F" w:rsidRPr="00371DCB" w:rsidRDefault="00A00A1F" w:rsidP="00FB2D39">
            <w:pPr>
              <w:pStyle w:val="TableText"/>
              <w:spacing w:before="20" w:after="20"/>
              <w:jc w:val="both"/>
              <w:rPr>
                <w:rFonts w:ascii="Arial" w:hAnsi="Arial" w:cs="Arial"/>
                <w:sz w:val="22"/>
                <w:szCs w:val="22"/>
              </w:rPr>
            </w:pPr>
            <w:r w:rsidRPr="00371DCB">
              <w:rPr>
                <w:rFonts w:ascii="Arial" w:hAnsi="Arial" w:cs="Arial"/>
                <w:sz w:val="22"/>
                <w:szCs w:val="22"/>
              </w:rPr>
              <w:t>International Air Transport Association</w:t>
            </w:r>
          </w:p>
        </w:tc>
      </w:tr>
      <w:tr w:rsidR="00DC11BB" w:rsidRPr="00FA7410" w14:paraId="47922277" w14:textId="77777777" w:rsidTr="00C775D6">
        <w:tc>
          <w:tcPr>
            <w:tcW w:w="864" w:type="pct"/>
          </w:tcPr>
          <w:p w14:paraId="082E6234" w14:textId="6CAA0DD4" w:rsidR="00DC11BB" w:rsidRPr="00371DCB" w:rsidRDefault="00DC11BB" w:rsidP="00FB2D39">
            <w:pPr>
              <w:pStyle w:val="TableText"/>
              <w:spacing w:before="20" w:after="20"/>
              <w:jc w:val="both"/>
              <w:rPr>
                <w:rFonts w:ascii="Arial" w:hAnsi="Arial" w:cs="Arial"/>
                <w:sz w:val="22"/>
                <w:szCs w:val="22"/>
              </w:rPr>
            </w:pPr>
            <w:r w:rsidRPr="00371DCB">
              <w:rPr>
                <w:rFonts w:ascii="Arial" w:hAnsi="Arial" w:cs="Arial"/>
                <w:sz w:val="22"/>
                <w:szCs w:val="22"/>
              </w:rPr>
              <w:t>ICF</w:t>
            </w:r>
          </w:p>
        </w:tc>
        <w:tc>
          <w:tcPr>
            <w:tcW w:w="4136" w:type="pct"/>
          </w:tcPr>
          <w:p w14:paraId="767A295F" w14:textId="53FDC435" w:rsidR="00DC11BB" w:rsidRPr="00371DCB" w:rsidRDefault="00DC11BB" w:rsidP="00FB2D39">
            <w:pPr>
              <w:pStyle w:val="TableText"/>
              <w:spacing w:before="20" w:after="20"/>
              <w:jc w:val="both"/>
              <w:rPr>
                <w:rFonts w:ascii="Arial" w:hAnsi="Arial" w:cs="Arial"/>
                <w:sz w:val="22"/>
                <w:szCs w:val="22"/>
              </w:rPr>
            </w:pPr>
            <w:r w:rsidRPr="00371DCB">
              <w:rPr>
                <w:rFonts w:ascii="Arial" w:hAnsi="Arial" w:cs="Arial"/>
                <w:color w:val="000000" w:themeColor="text1"/>
                <w:sz w:val="22"/>
                <w:szCs w:val="22"/>
                <w:lang w:eastAsia="ja-JP"/>
              </w:rPr>
              <w:t>Informed consent form</w:t>
            </w:r>
          </w:p>
        </w:tc>
      </w:tr>
      <w:tr w:rsidR="00381D18" w:rsidRPr="00FA7410" w14:paraId="744EAFAD" w14:textId="77777777" w:rsidTr="00C775D6">
        <w:tc>
          <w:tcPr>
            <w:tcW w:w="864" w:type="pct"/>
          </w:tcPr>
          <w:p w14:paraId="65F5E4AE" w14:textId="7A74ADCA"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 xml:space="preserve">Index </w:t>
            </w:r>
            <w:r w:rsidR="00637F3E" w:rsidRPr="00371DCB">
              <w:rPr>
                <w:rFonts w:ascii="Arial" w:hAnsi="Arial" w:cs="Arial"/>
                <w:sz w:val="22"/>
                <w:szCs w:val="22"/>
              </w:rPr>
              <w:t>c</w:t>
            </w:r>
            <w:r w:rsidRPr="00371DCB">
              <w:rPr>
                <w:rFonts w:ascii="Arial" w:hAnsi="Arial" w:cs="Arial"/>
                <w:sz w:val="22"/>
                <w:szCs w:val="22"/>
              </w:rPr>
              <w:t>ase</w:t>
            </w:r>
          </w:p>
        </w:tc>
        <w:tc>
          <w:tcPr>
            <w:tcW w:w="4136" w:type="pct"/>
          </w:tcPr>
          <w:p w14:paraId="2552CB51" w14:textId="47FF64C9"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Term used throughout the protocol to denote the person with confirmed or suspected SARS</w:t>
            </w:r>
            <w:r w:rsidR="00637F3E" w:rsidRPr="00371DCB">
              <w:rPr>
                <w:rFonts w:ascii="Arial" w:hAnsi="Arial" w:cs="Arial"/>
                <w:sz w:val="22"/>
                <w:szCs w:val="22"/>
              </w:rPr>
              <w:noBreakHyphen/>
            </w:r>
            <w:r w:rsidRPr="00371DCB">
              <w:rPr>
                <w:rFonts w:ascii="Arial" w:hAnsi="Arial" w:cs="Arial"/>
                <w:sz w:val="22"/>
                <w:szCs w:val="22"/>
              </w:rPr>
              <w:t>CoV</w:t>
            </w:r>
            <w:r w:rsidR="00637F3E" w:rsidRPr="00371DCB">
              <w:rPr>
                <w:rFonts w:ascii="Arial" w:hAnsi="Arial" w:cs="Arial"/>
                <w:sz w:val="22"/>
                <w:szCs w:val="22"/>
              </w:rPr>
              <w:noBreakHyphen/>
            </w:r>
            <w:r w:rsidRPr="00371DCB">
              <w:rPr>
                <w:rFonts w:ascii="Arial" w:hAnsi="Arial" w:cs="Arial"/>
                <w:sz w:val="22"/>
                <w:szCs w:val="22"/>
              </w:rPr>
              <w:t>2 infection to whom the study participant was exposed</w:t>
            </w:r>
          </w:p>
        </w:tc>
      </w:tr>
      <w:tr w:rsidR="00381D18" w:rsidRPr="00FA7410" w14:paraId="50C9269B" w14:textId="77777777" w:rsidTr="00C775D6">
        <w:tc>
          <w:tcPr>
            <w:tcW w:w="864" w:type="pct"/>
          </w:tcPr>
          <w:p w14:paraId="09B6641B"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IRB</w:t>
            </w:r>
          </w:p>
        </w:tc>
        <w:tc>
          <w:tcPr>
            <w:tcW w:w="4136" w:type="pct"/>
          </w:tcPr>
          <w:p w14:paraId="352B14C9"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Institutional Review Board</w:t>
            </w:r>
          </w:p>
        </w:tc>
      </w:tr>
      <w:tr w:rsidR="00381D18" w:rsidRPr="00FA7410" w14:paraId="40F772E7" w14:textId="77777777" w:rsidTr="00C775D6">
        <w:tc>
          <w:tcPr>
            <w:tcW w:w="864" w:type="pct"/>
          </w:tcPr>
          <w:p w14:paraId="290A714B"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MERS-</w:t>
            </w:r>
            <w:proofErr w:type="spellStart"/>
            <w:r w:rsidRPr="00371DCB">
              <w:rPr>
                <w:rFonts w:ascii="Arial" w:hAnsi="Arial" w:cs="Arial"/>
                <w:sz w:val="22"/>
                <w:szCs w:val="22"/>
              </w:rPr>
              <w:t>CoV</w:t>
            </w:r>
            <w:proofErr w:type="spellEnd"/>
          </w:p>
        </w:tc>
        <w:tc>
          <w:tcPr>
            <w:tcW w:w="4136" w:type="pct"/>
          </w:tcPr>
          <w:p w14:paraId="10A910D5" w14:textId="08BA3F34"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 xml:space="preserve">Middle East </w:t>
            </w:r>
            <w:r w:rsidR="008F73B0" w:rsidRPr="00371DCB">
              <w:rPr>
                <w:rFonts w:ascii="Arial" w:hAnsi="Arial" w:cs="Arial"/>
                <w:sz w:val="22"/>
                <w:szCs w:val="22"/>
              </w:rPr>
              <w:t>r</w:t>
            </w:r>
            <w:r w:rsidRPr="00371DCB">
              <w:rPr>
                <w:rFonts w:ascii="Arial" w:hAnsi="Arial" w:cs="Arial"/>
                <w:sz w:val="22"/>
                <w:szCs w:val="22"/>
              </w:rPr>
              <w:t xml:space="preserve">espiratory </w:t>
            </w:r>
            <w:r w:rsidR="008F73B0" w:rsidRPr="00371DCB">
              <w:rPr>
                <w:rFonts w:ascii="Arial" w:hAnsi="Arial" w:cs="Arial"/>
                <w:sz w:val="22"/>
                <w:szCs w:val="22"/>
              </w:rPr>
              <w:t>s</w:t>
            </w:r>
            <w:r w:rsidRPr="00371DCB">
              <w:rPr>
                <w:rFonts w:ascii="Arial" w:hAnsi="Arial" w:cs="Arial"/>
                <w:sz w:val="22"/>
                <w:szCs w:val="22"/>
              </w:rPr>
              <w:t>yndrome coronavirus</w:t>
            </w:r>
          </w:p>
        </w:tc>
      </w:tr>
      <w:tr w:rsidR="00381D18" w:rsidRPr="00FA7410" w14:paraId="1C613285" w14:textId="77777777" w:rsidTr="00C775D6">
        <w:tc>
          <w:tcPr>
            <w:tcW w:w="864" w:type="pct"/>
          </w:tcPr>
          <w:p w14:paraId="40A9A507"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Participant(s)</w:t>
            </w:r>
          </w:p>
        </w:tc>
        <w:tc>
          <w:tcPr>
            <w:tcW w:w="4136" w:type="pct"/>
          </w:tcPr>
          <w:p w14:paraId="472CCA7F" w14:textId="6C176B41"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Term used throughout the protocol to denote the enrolled individual(s)</w:t>
            </w:r>
          </w:p>
        </w:tc>
      </w:tr>
      <w:tr w:rsidR="00381D18" w:rsidRPr="00FA7410" w14:paraId="1FC7E03E" w14:textId="77777777" w:rsidTr="00C775D6">
        <w:tc>
          <w:tcPr>
            <w:tcW w:w="864" w:type="pct"/>
          </w:tcPr>
          <w:p w14:paraId="57DBDDA0"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PCR</w:t>
            </w:r>
          </w:p>
        </w:tc>
        <w:tc>
          <w:tcPr>
            <w:tcW w:w="4136" w:type="pct"/>
          </w:tcPr>
          <w:p w14:paraId="28D21DA4"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Polymerase chain reaction</w:t>
            </w:r>
          </w:p>
        </w:tc>
      </w:tr>
      <w:tr w:rsidR="00381D18" w:rsidRPr="00FA7410" w14:paraId="7B8CE7AB" w14:textId="77777777" w:rsidTr="00C775D6">
        <w:tc>
          <w:tcPr>
            <w:tcW w:w="864" w:type="pct"/>
          </w:tcPr>
          <w:p w14:paraId="51F25ED3"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PEP</w:t>
            </w:r>
          </w:p>
        </w:tc>
        <w:tc>
          <w:tcPr>
            <w:tcW w:w="4136" w:type="pct"/>
          </w:tcPr>
          <w:p w14:paraId="5A2C963F" w14:textId="597A93C0"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Post</w:t>
            </w:r>
            <w:r w:rsidR="00E36C58" w:rsidRPr="00371DCB">
              <w:rPr>
                <w:rFonts w:ascii="Arial" w:hAnsi="Arial" w:cs="Arial"/>
                <w:sz w:val="22"/>
                <w:szCs w:val="22"/>
              </w:rPr>
              <w:t>-</w:t>
            </w:r>
            <w:r w:rsidRPr="00371DCB">
              <w:rPr>
                <w:rFonts w:ascii="Arial" w:hAnsi="Arial" w:cs="Arial"/>
                <w:sz w:val="22"/>
                <w:szCs w:val="22"/>
              </w:rPr>
              <w:t>exposure prophylaxis</w:t>
            </w:r>
          </w:p>
        </w:tc>
      </w:tr>
      <w:tr w:rsidR="00381D18" w:rsidRPr="00FA7410" w14:paraId="382CBAD9" w14:textId="77777777" w:rsidTr="00C775D6">
        <w:tc>
          <w:tcPr>
            <w:tcW w:w="864" w:type="pct"/>
          </w:tcPr>
          <w:p w14:paraId="67A083D4"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PK</w:t>
            </w:r>
          </w:p>
        </w:tc>
        <w:tc>
          <w:tcPr>
            <w:tcW w:w="4136" w:type="pct"/>
          </w:tcPr>
          <w:p w14:paraId="13EE4DD6"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Pharmacokinetic</w:t>
            </w:r>
          </w:p>
        </w:tc>
      </w:tr>
      <w:tr w:rsidR="00A22544" w:rsidRPr="00FA7410" w14:paraId="29B9C1DF" w14:textId="77777777" w:rsidTr="00C775D6">
        <w:tc>
          <w:tcPr>
            <w:tcW w:w="864" w:type="pct"/>
          </w:tcPr>
          <w:p w14:paraId="3825F3C5" w14:textId="66F5171D" w:rsidR="00A22544" w:rsidRPr="00371DCB" w:rsidRDefault="00A22544" w:rsidP="00FB2D39">
            <w:pPr>
              <w:pStyle w:val="TableText"/>
              <w:spacing w:before="20" w:after="20"/>
              <w:jc w:val="both"/>
              <w:rPr>
                <w:rFonts w:ascii="Arial" w:hAnsi="Arial" w:cs="Arial"/>
                <w:sz w:val="22"/>
                <w:szCs w:val="22"/>
              </w:rPr>
            </w:pPr>
            <w:r w:rsidRPr="00371DCB">
              <w:rPr>
                <w:rFonts w:ascii="Arial" w:hAnsi="Arial" w:cs="Arial"/>
                <w:sz w:val="22"/>
                <w:szCs w:val="22"/>
              </w:rPr>
              <w:t>RNA</w:t>
            </w:r>
          </w:p>
        </w:tc>
        <w:tc>
          <w:tcPr>
            <w:tcW w:w="4136" w:type="pct"/>
          </w:tcPr>
          <w:p w14:paraId="23059F37" w14:textId="61018E82" w:rsidR="00A22544" w:rsidRPr="00371DCB" w:rsidRDefault="00A22544" w:rsidP="00FB2D39">
            <w:pPr>
              <w:pStyle w:val="TableText"/>
              <w:spacing w:before="20" w:after="20"/>
              <w:jc w:val="both"/>
              <w:rPr>
                <w:rFonts w:ascii="Arial" w:hAnsi="Arial" w:cs="Arial"/>
                <w:sz w:val="22"/>
                <w:szCs w:val="22"/>
              </w:rPr>
            </w:pPr>
            <w:r w:rsidRPr="00371DCB">
              <w:rPr>
                <w:rFonts w:ascii="Arial" w:hAnsi="Arial" w:cs="Arial"/>
                <w:sz w:val="22"/>
                <w:szCs w:val="22"/>
              </w:rPr>
              <w:t>Ribonucleic acid</w:t>
            </w:r>
          </w:p>
        </w:tc>
      </w:tr>
      <w:tr w:rsidR="00381D18" w:rsidRPr="00FA7410" w14:paraId="38C841D4" w14:textId="77777777" w:rsidTr="00C775D6">
        <w:tc>
          <w:tcPr>
            <w:tcW w:w="864" w:type="pct"/>
          </w:tcPr>
          <w:p w14:paraId="39D7A655"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SAE</w:t>
            </w:r>
          </w:p>
        </w:tc>
        <w:tc>
          <w:tcPr>
            <w:tcW w:w="4136" w:type="pct"/>
          </w:tcPr>
          <w:p w14:paraId="2114DF53"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Serious adverse event</w:t>
            </w:r>
          </w:p>
        </w:tc>
      </w:tr>
      <w:tr w:rsidR="00381D18" w:rsidRPr="00FA7410" w14:paraId="602C7E59" w14:textId="77777777" w:rsidTr="00C775D6">
        <w:tc>
          <w:tcPr>
            <w:tcW w:w="864" w:type="pct"/>
          </w:tcPr>
          <w:p w14:paraId="75923136"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SARS-</w:t>
            </w:r>
            <w:proofErr w:type="spellStart"/>
            <w:r w:rsidRPr="00371DCB">
              <w:rPr>
                <w:rFonts w:ascii="Arial" w:hAnsi="Arial" w:cs="Arial"/>
                <w:sz w:val="22"/>
                <w:szCs w:val="22"/>
              </w:rPr>
              <w:t>CoV</w:t>
            </w:r>
            <w:proofErr w:type="spellEnd"/>
          </w:p>
        </w:tc>
        <w:tc>
          <w:tcPr>
            <w:tcW w:w="4136" w:type="pct"/>
          </w:tcPr>
          <w:p w14:paraId="0476E499"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Severe acute respiratory syndrome coronavirus</w:t>
            </w:r>
          </w:p>
        </w:tc>
      </w:tr>
      <w:tr w:rsidR="00381D18" w:rsidRPr="00FA7410" w14:paraId="3AD31609" w14:textId="77777777" w:rsidTr="00C775D6">
        <w:tc>
          <w:tcPr>
            <w:tcW w:w="864" w:type="pct"/>
          </w:tcPr>
          <w:p w14:paraId="25F80216"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SARS-CoV-2</w:t>
            </w:r>
          </w:p>
        </w:tc>
        <w:tc>
          <w:tcPr>
            <w:tcW w:w="4136" w:type="pct"/>
          </w:tcPr>
          <w:p w14:paraId="3674D318"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Severe acute respiratory syndrome coronavirus 2</w:t>
            </w:r>
          </w:p>
        </w:tc>
      </w:tr>
      <w:tr w:rsidR="00CC3BEF" w:rsidRPr="00FA7410" w14:paraId="71EAA592" w14:textId="77777777" w:rsidTr="00C775D6">
        <w:tc>
          <w:tcPr>
            <w:tcW w:w="864" w:type="pct"/>
          </w:tcPr>
          <w:p w14:paraId="2001C762" w14:textId="6CD08582" w:rsidR="00CC3BEF" w:rsidRPr="00371DCB" w:rsidRDefault="00CC3BEF" w:rsidP="00FB2D39">
            <w:pPr>
              <w:pStyle w:val="TableText"/>
              <w:spacing w:before="20" w:after="20"/>
              <w:jc w:val="both"/>
              <w:rPr>
                <w:rFonts w:ascii="Arial" w:hAnsi="Arial" w:cs="Arial"/>
                <w:sz w:val="22"/>
                <w:szCs w:val="22"/>
              </w:rPr>
            </w:pPr>
            <w:proofErr w:type="spellStart"/>
            <w:r w:rsidRPr="00371DCB">
              <w:rPr>
                <w:rFonts w:ascii="Arial" w:hAnsi="Arial" w:cs="Arial"/>
                <w:sz w:val="22"/>
                <w:szCs w:val="22"/>
              </w:rPr>
              <w:t>SoA</w:t>
            </w:r>
            <w:proofErr w:type="spellEnd"/>
          </w:p>
        </w:tc>
        <w:tc>
          <w:tcPr>
            <w:tcW w:w="4136" w:type="pct"/>
          </w:tcPr>
          <w:p w14:paraId="7F4AC168" w14:textId="4F83C2A4" w:rsidR="00CC3BEF" w:rsidRPr="00371DCB" w:rsidRDefault="00CC3BEF" w:rsidP="00FB2D39">
            <w:pPr>
              <w:pStyle w:val="TableText"/>
              <w:spacing w:before="20" w:after="20"/>
              <w:jc w:val="both"/>
              <w:rPr>
                <w:rFonts w:ascii="Arial" w:hAnsi="Arial" w:cs="Arial"/>
                <w:sz w:val="22"/>
                <w:szCs w:val="22"/>
              </w:rPr>
            </w:pPr>
            <w:r w:rsidRPr="00371DCB">
              <w:rPr>
                <w:rFonts w:ascii="Arial" w:hAnsi="Arial" w:cs="Arial"/>
                <w:sz w:val="22"/>
                <w:szCs w:val="22"/>
              </w:rPr>
              <w:t>Schedule of Activities</w:t>
            </w:r>
          </w:p>
        </w:tc>
      </w:tr>
      <w:tr w:rsidR="00381D18" w:rsidRPr="00FA7410" w14:paraId="55CEBA9D" w14:textId="77777777" w:rsidTr="00C775D6">
        <w:tc>
          <w:tcPr>
            <w:tcW w:w="864" w:type="pct"/>
          </w:tcPr>
          <w:p w14:paraId="7CF21ED3"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WHO</w:t>
            </w:r>
          </w:p>
        </w:tc>
        <w:tc>
          <w:tcPr>
            <w:tcW w:w="4136" w:type="pct"/>
          </w:tcPr>
          <w:p w14:paraId="6F9582FB" w14:textId="77777777" w:rsidR="00381D18" w:rsidRPr="00371DCB" w:rsidRDefault="00FC4C3A" w:rsidP="00FB2D39">
            <w:pPr>
              <w:pStyle w:val="TableText"/>
              <w:spacing w:before="20" w:after="20"/>
              <w:jc w:val="both"/>
              <w:rPr>
                <w:rFonts w:ascii="Arial" w:hAnsi="Arial" w:cs="Arial"/>
                <w:sz w:val="22"/>
                <w:szCs w:val="22"/>
              </w:rPr>
            </w:pPr>
            <w:r w:rsidRPr="00371DCB">
              <w:rPr>
                <w:rFonts w:ascii="Arial" w:hAnsi="Arial" w:cs="Arial"/>
                <w:sz w:val="22"/>
                <w:szCs w:val="22"/>
              </w:rPr>
              <w:t>World Health Organization</w:t>
            </w:r>
          </w:p>
        </w:tc>
      </w:tr>
    </w:tbl>
    <w:p w14:paraId="4D23FD13" w14:textId="127160D6" w:rsidR="00523480" w:rsidRPr="00371DCB" w:rsidRDefault="00523480" w:rsidP="00FB2D39">
      <w:pPr>
        <w:pStyle w:val="Heading2non-numbered"/>
        <w:jc w:val="both"/>
      </w:pPr>
      <w:bookmarkStart w:id="187" w:name="_Toc38818805"/>
      <w:bookmarkStart w:id="188" w:name="Appendix_2"/>
      <w:r w:rsidRPr="00371DCB">
        <w:t>Appendix 2: Protocol Structure</w:t>
      </w:r>
      <w:bookmarkEnd w:id="187"/>
      <w:r w:rsidRPr="00371DCB">
        <w:t xml:space="preserve"> </w:t>
      </w:r>
    </w:p>
    <w:p w14:paraId="56E47D0D" w14:textId="303AFF9B" w:rsidR="00840EC6" w:rsidRPr="00371DCB" w:rsidRDefault="00840EC6" w:rsidP="00FB2D39">
      <w:pPr>
        <w:jc w:val="both"/>
        <w:rPr>
          <w:rFonts w:ascii="Arial" w:hAnsi="Arial" w:cs="Arial"/>
          <w:sz w:val="22"/>
          <w:szCs w:val="22"/>
        </w:rPr>
      </w:pPr>
      <w:r w:rsidRPr="00371DCB">
        <w:rPr>
          <w:rFonts w:ascii="Arial" w:hAnsi="Arial" w:cs="Arial"/>
          <w:sz w:val="22"/>
          <w:szCs w:val="22"/>
          <w:lang w:eastAsia="ja-JP"/>
        </w:rPr>
        <w:t>The protocol for this trial will be structured to be modular</w:t>
      </w:r>
      <w:r w:rsidR="00114D0A" w:rsidRPr="00371DCB">
        <w:rPr>
          <w:rFonts w:ascii="Arial" w:hAnsi="Arial" w:cs="Arial"/>
          <w:sz w:val="22"/>
          <w:szCs w:val="22"/>
          <w:lang w:eastAsia="ja-JP"/>
        </w:rPr>
        <w:t xml:space="preserve"> organized around the main protocol. </w:t>
      </w:r>
    </w:p>
    <w:p w14:paraId="6C769B4B" w14:textId="53F18A9E" w:rsidR="00840EC6" w:rsidRPr="00371DCB" w:rsidRDefault="00840EC6" w:rsidP="00FB2D39">
      <w:pPr>
        <w:jc w:val="both"/>
        <w:rPr>
          <w:rFonts w:ascii="Arial" w:hAnsi="Arial" w:cs="Arial"/>
          <w:sz w:val="22"/>
          <w:szCs w:val="22"/>
        </w:rPr>
      </w:pPr>
      <w:r w:rsidRPr="00371DCB">
        <w:rPr>
          <w:rFonts w:ascii="Arial" w:hAnsi="Arial" w:cs="Arial"/>
          <w:sz w:val="22"/>
          <w:szCs w:val="22"/>
        </w:rPr>
        <w:lastRenderedPageBreak/>
        <w:t xml:space="preserve">The main protocol will contain all the background and rationale for this trial and all generic information to the trial, the research approach, the trial design and conduct, and the overall trial governance, and ethical considerations. Other appendices for study governance, site-specific protocol addendum template, </w:t>
      </w:r>
      <w:r w:rsidR="00114D0A" w:rsidRPr="00371DCB">
        <w:rPr>
          <w:rFonts w:ascii="Arial" w:hAnsi="Arial" w:cs="Arial"/>
          <w:sz w:val="22"/>
          <w:szCs w:val="22"/>
        </w:rPr>
        <w:t xml:space="preserve">intervention-specific </w:t>
      </w:r>
      <w:r w:rsidRPr="00371DCB">
        <w:rPr>
          <w:rFonts w:ascii="Arial" w:hAnsi="Arial" w:cs="Arial"/>
          <w:sz w:val="22"/>
          <w:szCs w:val="22"/>
        </w:rPr>
        <w:t>label</w:t>
      </w:r>
      <w:r w:rsidR="00114D0A" w:rsidRPr="00371DCB">
        <w:rPr>
          <w:rFonts w:ascii="Arial" w:hAnsi="Arial" w:cs="Arial"/>
          <w:sz w:val="22"/>
          <w:szCs w:val="22"/>
        </w:rPr>
        <w:t>s</w:t>
      </w:r>
      <w:r w:rsidRPr="00371DCB">
        <w:rPr>
          <w:rFonts w:ascii="Arial" w:hAnsi="Arial" w:cs="Arial"/>
          <w:sz w:val="22"/>
          <w:szCs w:val="22"/>
        </w:rPr>
        <w:t xml:space="preserve">, pharmacokinetic modelling, and pharmacokinetic sample collection and analysis are provided below. The Intervention-Specific Appendices (e.g. </w:t>
      </w:r>
      <w:r w:rsidR="00C862C7" w:rsidRPr="00371DCB">
        <w:rPr>
          <w:rFonts w:ascii="Arial" w:hAnsi="Arial" w:cs="Arial"/>
          <w:sz w:val="22"/>
          <w:szCs w:val="22"/>
        </w:rPr>
        <w:t xml:space="preserve">LPV/r </w:t>
      </w:r>
      <w:r w:rsidRPr="00371DCB">
        <w:rPr>
          <w:rFonts w:ascii="Arial" w:hAnsi="Arial" w:cs="Arial"/>
          <w:sz w:val="22"/>
          <w:szCs w:val="22"/>
        </w:rPr>
        <w:t xml:space="preserve">label appendix) will contain the information about the interventions. There will be a specific appendix for each of the intervention arm with features of the given intervention strategy and how it will be delivered, and any additional endpoints and data collection that are not covered in the </w:t>
      </w:r>
      <w:r w:rsidR="00114D0A" w:rsidRPr="00371DCB">
        <w:rPr>
          <w:rFonts w:ascii="Arial" w:hAnsi="Arial" w:cs="Arial"/>
          <w:sz w:val="22"/>
          <w:szCs w:val="22"/>
        </w:rPr>
        <w:t>main</w:t>
      </w:r>
      <w:r w:rsidRPr="00371DCB">
        <w:rPr>
          <w:rFonts w:ascii="Arial" w:hAnsi="Arial" w:cs="Arial"/>
          <w:sz w:val="22"/>
          <w:szCs w:val="22"/>
        </w:rPr>
        <w:t xml:space="preserve"> </w:t>
      </w:r>
      <w:r w:rsidR="00114D0A" w:rsidRPr="00371DCB">
        <w:rPr>
          <w:rFonts w:ascii="Arial" w:hAnsi="Arial" w:cs="Arial"/>
          <w:sz w:val="22"/>
          <w:szCs w:val="22"/>
        </w:rPr>
        <w:t>protocol</w:t>
      </w:r>
      <w:r w:rsidRPr="00371DCB">
        <w:rPr>
          <w:rFonts w:ascii="Arial" w:hAnsi="Arial" w:cs="Arial"/>
          <w:sz w:val="22"/>
          <w:szCs w:val="22"/>
        </w:rPr>
        <w:t xml:space="preserve">. </w:t>
      </w:r>
      <w:r w:rsidR="00114D0A" w:rsidRPr="00371DCB">
        <w:rPr>
          <w:rFonts w:ascii="Arial" w:hAnsi="Arial" w:cs="Arial"/>
          <w:sz w:val="22"/>
          <w:szCs w:val="22"/>
        </w:rPr>
        <w:t>Given the perpetual nature of this trial, there may be modifications and/or additions to the main protocol. Each modification and/or addition to the main protocol will be subject to the Trial Steering Committee who will receive recommendation from other study committees (see Appendix 3).</w:t>
      </w:r>
    </w:p>
    <w:p w14:paraId="1D3DD3FD" w14:textId="343DFB2F" w:rsidR="00523480" w:rsidRPr="00371DCB" w:rsidRDefault="00523480" w:rsidP="00FB2D39">
      <w:pPr>
        <w:jc w:val="both"/>
        <w:rPr>
          <w:rFonts w:ascii="Arial" w:hAnsi="Arial" w:cs="Arial"/>
          <w:sz w:val="22"/>
          <w:szCs w:val="22"/>
          <w:lang w:eastAsia="ja-JP"/>
        </w:rPr>
      </w:pPr>
    </w:p>
    <w:p w14:paraId="0925CAE0" w14:textId="77777777" w:rsidR="007066B7" w:rsidRDefault="007066B7" w:rsidP="00FB2D39">
      <w:pPr>
        <w:jc w:val="both"/>
        <w:rPr>
          <w:rFonts w:eastAsia="MS Gothic"/>
          <w:b/>
          <w:bCs/>
          <w:i/>
          <w:iCs/>
          <w:color w:val="000000"/>
          <w:sz w:val="28"/>
          <w:szCs w:val="28"/>
          <w:lang w:val="en-US" w:eastAsia="ja-JP"/>
        </w:rPr>
      </w:pPr>
      <w:bookmarkStart w:id="189" w:name="_Toc38818806"/>
      <w:r>
        <w:br w:type="page"/>
      </w:r>
    </w:p>
    <w:p w14:paraId="6F0A42E5" w14:textId="354091CA" w:rsidR="00377738" w:rsidRPr="00371DCB" w:rsidRDefault="00FC4C3A" w:rsidP="00FB2D39">
      <w:pPr>
        <w:pStyle w:val="Heading2non-numbered"/>
        <w:jc w:val="both"/>
      </w:pPr>
      <w:r w:rsidRPr="00371DCB">
        <w:lastRenderedPageBreak/>
        <w:t xml:space="preserve">Appendix </w:t>
      </w:r>
      <w:r w:rsidR="00523480" w:rsidRPr="00371DCB">
        <w:t>3</w:t>
      </w:r>
      <w:r w:rsidRPr="00371DCB">
        <w:t>: Study Governance Considerations</w:t>
      </w:r>
      <w:bookmarkEnd w:id="188"/>
      <w:bookmarkEnd w:id="189"/>
    </w:p>
    <w:p w14:paraId="2829E471" w14:textId="77777777" w:rsidR="00373815" w:rsidRPr="00371DCB" w:rsidRDefault="00373815" w:rsidP="00FB2D39">
      <w:pPr>
        <w:keepNext/>
        <w:jc w:val="both"/>
        <w:rPr>
          <w:rFonts w:ascii="Arial" w:hAnsi="Arial" w:cs="Arial"/>
          <w:b/>
          <w:bCs/>
          <w:sz w:val="22"/>
          <w:szCs w:val="22"/>
        </w:rPr>
      </w:pPr>
      <w:r w:rsidRPr="00371DCB">
        <w:rPr>
          <w:rFonts w:ascii="Arial" w:hAnsi="Arial" w:cs="Arial"/>
          <w:b/>
          <w:bCs/>
          <w:sz w:val="22"/>
          <w:szCs w:val="22"/>
        </w:rPr>
        <w:t>Committees Structure</w:t>
      </w:r>
    </w:p>
    <w:p w14:paraId="6A2D9D30" w14:textId="74844011" w:rsidR="00373815" w:rsidRPr="00371DCB" w:rsidRDefault="00373815" w:rsidP="00FB2D39">
      <w:pPr>
        <w:jc w:val="both"/>
        <w:rPr>
          <w:rFonts w:ascii="Arial" w:hAnsi="Arial" w:cs="Arial"/>
          <w:sz w:val="22"/>
          <w:szCs w:val="22"/>
        </w:rPr>
      </w:pPr>
      <w:r w:rsidRPr="00371DCB">
        <w:rPr>
          <w:rFonts w:ascii="Arial" w:hAnsi="Arial" w:cs="Arial"/>
          <w:bCs/>
          <w:sz w:val="22"/>
          <w:szCs w:val="22"/>
        </w:rPr>
        <w:t xml:space="preserve">The Trial Steering Committee will </w:t>
      </w:r>
      <w:r w:rsidRPr="00371DCB">
        <w:rPr>
          <w:rFonts w:ascii="Arial" w:hAnsi="Arial" w:cs="Arial"/>
          <w:sz w:val="22"/>
          <w:szCs w:val="22"/>
        </w:rPr>
        <w:t>take the overall responsibility for the trial design and conduct. All committees will act in accordance to the International Clinical Harmonization Guidelines for Good Clinical Practice (GCP) Principles.</w:t>
      </w:r>
    </w:p>
    <w:p w14:paraId="109AC231" w14:textId="37B17C68" w:rsidR="00373815" w:rsidRPr="00371DCB" w:rsidRDefault="00373815" w:rsidP="00FB2D39">
      <w:pPr>
        <w:jc w:val="both"/>
        <w:rPr>
          <w:rFonts w:ascii="Arial" w:hAnsi="Arial" w:cs="Arial"/>
          <w:sz w:val="22"/>
          <w:szCs w:val="22"/>
        </w:rPr>
      </w:pPr>
      <w:r w:rsidRPr="00371DCB">
        <w:rPr>
          <w:rFonts w:ascii="Arial" w:hAnsi="Arial" w:cs="Arial"/>
          <w:bCs/>
          <w:noProof/>
          <w:sz w:val="22"/>
          <w:szCs w:val="22"/>
          <w:lang w:eastAsia="en-ZA"/>
        </w:rPr>
        <w:drawing>
          <wp:inline distT="0" distB="0" distL="0" distR="0" wp14:anchorId="743C40C6" wp14:editId="468DCFCF">
            <wp:extent cx="5372100" cy="348813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 Organization.pdf"/>
                    <pic:cNvPicPr/>
                  </pic:nvPicPr>
                  <pic:blipFill rotWithShape="1">
                    <a:blip r:embed="rId32">
                      <a:extLst>
                        <a:ext uri="{28A0092B-C50C-407E-A947-70E740481C1C}">
                          <a14:useLocalDpi xmlns:a14="http://schemas.microsoft.com/office/drawing/2010/main" val="0"/>
                        </a:ext>
                      </a:extLst>
                    </a:blip>
                    <a:srcRect l="13845" t="8889" r="30770" b="27180"/>
                    <a:stretch/>
                  </pic:blipFill>
                  <pic:spPr bwMode="auto">
                    <a:xfrm>
                      <a:off x="0" y="0"/>
                      <a:ext cx="5379859" cy="3493172"/>
                    </a:xfrm>
                    <a:prstGeom prst="rect">
                      <a:avLst/>
                    </a:prstGeom>
                    <a:ln>
                      <a:noFill/>
                    </a:ln>
                    <a:extLst>
                      <a:ext uri="{53640926-AAD7-44D8-BBD7-CCE9431645EC}">
                        <a14:shadowObscured xmlns:a14="http://schemas.microsoft.com/office/drawing/2010/main"/>
                      </a:ext>
                    </a:extLst>
                  </pic:spPr>
                </pic:pic>
              </a:graphicData>
            </a:graphic>
          </wp:inline>
        </w:drawing>
      </w:r>
    </w:p>
    <w:p w14:paraId="2EFE6F09" w14:textId="4088EB57" w:rsidR="00C06AFD" w:rsidRPr="00371DCB" w:rsidRDefault="00C06AFD" w:rsidP="00FB2D39">
      <w:pPr>
        <w:pStyle w:val="captiontable"/>
        <w:rPr>
          <w:rFonts w:ascii="Arial" w:hAnsi="Arial"/>
          <w:sz w:val="22"/>
        </w:rPr>
      </w:pPr>
      <w:r w:rsidRPr="00371DCB">
        <w:rPr>
          <w:rFonts w:ascii="Arial" w:hAnsi="Arial"/>
          <w:sz w:val="22"/>
        </w:rPr>
        <w:t xml:space="preserve">Figure </w:t>
      </w:r>
      <w:r w:rsidR="007F12A4" w:rsidRPr="00371DCB">
        <w:rPr>
          <w:rFonts w:ascii="Arial" w:hAnsi="Arial"/>
          <w:sz w:val="22"/>
        </w:rPr>
        <w:t>1</w:t>
      </w:r>
      <w:r w:rsidRPr="00371DCB">
        <w:rPr>
          <w:rFonts w:ascii="Arial" w:hAnsi="Arial"/>
          <w:sz w:val="22"/>
        </w:rPr>
        <w:t xml:space="preserve">: </w:t>
      </w:r>
      <w:r w:rsidRPr="00371DCB">
        <w:rPr>
          <w:rFonts w:ascii="Arial" w:hAnsi="Arial"/>
          <w:b w:val="0"/>
          <w:bCs w:val="0"/>
          <w:sz w:val="22"/>
        </w:rPr>
        <w:t>Administrative Structure</w:t>
      </w:r>
    </w:p>
    <w:p w14:paraId="72F427FB" w14:textId="77777777" w:rsidR="00373815" w:rsidRPr="00371DCB" w:rsidRDefault="00373815" w:rsidP="00FB2D39">
      <w:pPr>
        <w:jc w:val="both"/>
        <w:rPr>
          <w:rFonts w:ascii="Arial" w:hAnsi="Arial" w:cs="Arial"/>
          <w:sz w:val="22"/>
          <w:szCs w:val="22"/>
          <w:u w:val="single"/>
          <w:lang w:eastAsia="ja-JP"/>
        </w:rPr>
      </w:pPr>
      <w:r w:rsidRPr="00371DCB">
        <w:rPr>
          <w:rFonts w:ascii="Arial" w:hAnsi="Arial" w:cs="Arial"/>
          <w:sz w:val="22"/>
          <w:szCs w:val="22"/>
          <w:u w:val="single"/>
          <w:lang w:eastAsia="ja-JP"/>
        </w:rPr>
        <w:t>Study Team Monitoring</w:t>
      </w:r>
    </w:p>
    <w:p w14:paraId="1BAEB774" w14:textId="77777777" w:rsidR="00373815" w:rsidRPr="00371DCB" w:rsidRDefault="00373815" w:rsidP="00FB2D39">
      <w:pPr>
        <w:jc w:val="both"/>
        <w:rPr>
          <w:rFonts w:ascii="Arial" w:hAnsi="Arial" w:cs="Arial"/>
          <w:sz w:val="22"/>
          <w:szCs w:val="22"/>
          <w:lang w:eastAsia="ja-JP"/>
        </w:rPr>
      </w:pPr>
      <w:r w:rsidRPr="00371DCB">
        <w:rPr>
          <w:rFonts w:ascii="Arial" w:hAnsi="Arial" w:cs="Arial"/>
          <w:sz w:val="22"/>
          <w:szCs w:val="22"/>
          <w:lang w:eastAsia="ja-JP"/>
        </w:rPr>
        <w:t>The study team will monitor the conduct of the study through monthly summary reports of arms of accrual and baseline characteristics and quarterly reports of data pooled over treatment arms of data completeness, specimen collection, and adverse events (AEs). The study team will review individual participant-level safety data frequently to assess the relation of all reported AEs to study treatment. On a weekly basis, the study team will review by-arm summaries of premature study discontinuations and premature study treatment discontinuations (and reasons) and AEs.</w:t>
      </w:r>
    </w:p>
    <w:p w14:paraId="18C0ACF1" w14:textId="77777777" w:rsidR="00373815" w:rsidRPr="00371DCB" w:rsidRDefault="00373815" w:rsidP="00FB2D39">
      <w:pPr>
        <w:keepNext/>
        <w:jc w:val="both"/>
        <w:rPr>
          <w:rFonts w:ascii="Arial" w:hAnsi="Arial" w:cs="Arial"/>
          <w:sz w:val="22"/>
          <w:szCs w:val="22"/>
          <w:u w:val="single"/>
          <w:lang w:eastAsia="ja-JP"/>
        </w:rPr>
      </w:pPr>
      <w:r w:rsidRPr="00371DCB">
        <w:rPr>
          <w:rFonts w:ascii="Arial" w:hAnsi="Arial" w:cs="Arial"/>
          <w:sz w:val="22"/>
          <w:szCs w:val="22"/>
          <w:u w:val="single"/>
          <w:lang w:eastAsia="ja-JP"/>
        </w:rPr>
        <w:t>Independent Monitor</w:t>
      </w:r>
    </w:p>
    <w:p w14:paraId="32B75E30" w14:textId="77777777" w:rsidR="00373815" w:rsidRPr="00371DCB" w:rsidRDefault="00373815" w:rsidP="00FB2D39">
      <w:pPr>
        <w:jc w:val="both"/>
        <w:rPr>
          <w:rFonts w:ascii="Arial" w:hAnsi="Arial" w:cs="Arial"/>
          <w:sz w:val="22"/>
          <w:szCs w:val="22"/>
          <w:lang w:eastAsia="ja-JP"/>
        </w:rPr>
      </w:pPr>
      <w:r w:rsidRPr="00371DCB">
        <w:rPr>
          <w:rFonts w:ascii="Arial" w:hAnsi="Arial" w:cs="Arial"/>
          <w:sz w:val="22"/>
          <w:szCs w:val="22"/>
          <w:lang w:eastAsia="ja-JP"/>
        </w:rPr>
        <w:t>Study conduct will be monitored by an independent monitor. Monitors will visit participating clinical research sites to review the individual participant records, including consent forms, electronic case report forms, supporting data, laboratory specimen records, and endpoints through laboratory and medical records (physicians’ progress notes, nurses’ notes, individuals’ hospital charts), to ensure protection of study participants, compliance with the protocol, and accuracy and completeness of records. The monitors also will inspect the sites’ regulatory files to ensure that regulatory requirements are being followed and the sites’ pharmacies to review product storage and management.</w:t>
      </w:r>
    </w:p>
    <w:p w14:paraId="3FA51999" w14:textId="77777777" w:rsidR="00373815" w:rsidRPr="00371DCB" w:rsidRDefault="00373815" w:rsidP="00FB2D39">
      <w:pPr>
        <w:jc w:val="both"/>
        <w:rPr>
          <w:rFonts w:ascii="Arial" w:hAnsi="Arial" w:cs="Arial"/>
          <w:sz w:val="22"/>
          <w:szCs w:val="22"/>
          <w:u w:val="single"/>
          <w:lang w:eastAsia="ja-JP"/>
        </w:rPr>
      </w:pPr>
      <w:r w:rsidRPr="00371DCB">
        <w:rPr>
          <w:rFonts w:ascii="Arial" w:hAnsi="Arial" w:cs="Arial"/>
          <w:sz w:val="22"/>
          <w:szCs w:val="22"/>
          <w:u w:val="single"/>
          <w:lang w:eastAsia="ja-JP"/>
        </w:rPr>
        <w:t>Data and Safety Monitoring Board</w:t>
      </w:r>
    </w:p>
    <w:p w14:paraId="3BD3EB55" w14:textId="77777777" w:rsidR="00373815" w:rsidRPr="00371DCB" w:rsidRDefault="00373815" w:rsidP="00FB2D39">
      <w:pPr>
        <w:jc w:val="both"/>
        <w:rPr>
          <w:rFonts w:ascii="Arial" w:hAnsi="Arial" w:cs="Arial"/>
          <w:sz w:val="22"/>
          <w:szCs w:val="22"/>
          <w:lang w:eastAsia="ja-JP"/>
        </w:rPr>
      </w:pPr>
      <w:r w:rsidRPr="00371DCB">
        <w:rPr>
          <w:rFonts w:ascii="Arial" w:hAnsi="Arial" w:cs="Arial"/>
          <w:sz w:val="22"/>
          <w:szCs w:val="22"/>
          <w:lang w:eastAsia="ja-JP"/>
        </w:rPr>
        <w:t xml:space="preserve">An independent data and safety monitoring board (DSMB) will be convened for this study with expertise in coronavirus disease (COVID-19) or respiratory viruses, </w:t>
      </w:r>
      <w:r w:rsidRPr="00371DCB">
        <w:rPr>
          <w:rFonts w:ascii="Arial" w:hAnsi="Arial" w:cs="Arial"/>
          <w:sz w:val="22"/>
          <w:szCs w:val="22"/>
        </w:rPr>
        <w:t>antiviral therapies and shedding</w:t>
      </w:r>
      <w:r w:rsidRPr="00371DCB">
        <w:rPr>
          <w:rFonts w:ascii="Arial" w:hAnsi="Arial" w:cs="Arial"/>
          <w:sz w:val="22"/>
          <w:szCs w:val="22"/>
          <w:lang w:eastAsia="ja-JP"/>
        </w:rPr>
        <w:t xml:space="preserve">, and emerging epidemics and a biostatistician. The purpose of the DSMB is to monitor the study for operational futility, social harms, and efficacy. The DSMB will evaluate the progress </w:t>
      </w:r>
      <w:r w:rsidRPr="00371DCB">
        <w:rPr>
          <w:rFonts w:ascii="Arial" w:hAnsi="Arial" w:cs="Arial"/>
          <w:sz w:val="22"/>
          <w:szCs w:val="22"/>
          <w:lang w:eastAsia="ja-JP"/>
        </w:rPr>
        <w:lastRenderedPageBreak/>
        <w:t>of the project, including periodic assessments of accrual, retention, safety, performance and variation of the project sites, and other factors that can affect project implementation.</w:t>
      </w:r>
    </w:p>
    <w:p w14:paraId="4BF7F32C" w14:textId="5FB936AE" w:rsidR="00373815" w:rsidRPr="00371DCB" w:rsidRDefault="00373815" w:rsidP="00FB2D39">
      <w:pPr>
        <w:jc w:val="both"/>
        <w:rPr>
          <w:rFonts w:ascii="Arial" w:hAnsi="Arial" w:cs="Arial"/>
          <w:sz w:val="22"/>
          <w:szCs w:val="22"/>
          <w:lang w:eastAsia="ja-JP"/>
        </w:rPr>
      </w:pPr>
      <w:r w:rsidRPr="00371DCB">
        <w:rPr>
          <w:rFonts w:ascii="Arial" w:hAnsi="Arial" w:cs="Arial"/>
          <w:sz w:val="22"/>
          <w:szCs w:val="22"/>
          <w:lang w:eastAsia="ja-JP"/>
        </w:rPr>
        <w:t xml:space="preserve">The DSMB will review and approve modifications to the overall </w:t>
      </w:r>
      <w:proofErr w:type="spellStart"/>
      <w:r w:rsidRPr="00371DCB">
        <w:rPr>
          <w:rFonts w:ascii="Arial" w:hAnsi="Arial" w:cs="Arial"/>
          <w:sz w:val="22"/>
          <w:szCs w:val="22"/>
          <w:lang w:eastAsia="ja-JP"/>
        </w:rPr>
        <w:t>enrollment</w:t>
      </w:r>
      <w:proofErr w:type="spellEnd"/>
      <w:r w:rsidRPr="00371DCB">
        <w:rPr>
          <w:rFonts w:ascii="Arial" w:hAnsi="Arial" w:cs="Arial"/>
          <w:sz w:val="22"/>
          <w:szCs w:val="22"/>
          <w:lang w:eastAsia="ja-JP"/>
        </w:rPr>
        <w:t xml:space="preserve"> target based on the event rate. Due to the anticipated rapid speed of </w:t>
      </w:r>
      <w:proofErr w:type="spellStart"/>
      <w:r w:rsidRPr="00371DCB">
        <w:rPr>
          <w:rFonts w:ascii="Arial" w:hAnsi="Arial" w:cs="Arial"/>
          <w:sz w:val="22"/>
          <w:szCs w:val="22"/>
          <w:lang w:eastAsia="ja-JP"/>
        </w:rPr>
        <w:t>enrollment</w:t>
      </w:r>
      <w:proofErr w:type="spellEnd"/>
      <w:r w:rsidRPr="00371DCB">
        <w:rPr>
          <w:rFonts w:ascii="Arial" w:hAnsi="Arial" w:cs="Arial"/>
          <w:sz w:val="22"/>
          <w:szCs w:val="22"/>
          <w:lang w:eastAsia="ja-JP"/>
        </w:rPr>
        <w:t xml:space="preserve"> and the short duration of the study, it is unlikely that pre-specified stopping rules for efficacy and futility in terms of the efficacy of </w:t>
      </w:r>
      <w:r w:rsidR="00B2010D" w:rsidRPr="00371DCB">
        <w:rPr>
          <w:rFonts w:ascii="Arial" w:hAnsi="Arial" w:cs="Arial"/>
          <w:sz w:val="22"/>
          <w:szCs w:val="22"/>
          <w:lang w:eastAsia="ja-JP"/>
        </w:rPr>
        <w:t>interventions</w:t>
      </w:r>
      <w:r w:rsidRPr="00371DCB">
        <w:rPr>
          <w:rFonts w:ascii="Arial" w:hAnsi="Arial" w:cs="Arial"/>
          <w:sz w:val="22"/>
          <w:szCs w:val="22"/>
          <w:lang w:eastAsia="ja-JP"/>
        </w:rPr>
        <w:t xml:space="preserve"> will be reached before all participants are enrolled. The DSMB will review </w:t>
      </w:r>
      <w:r w:rsidRPr="00371DCB">
        <w:rPr>
          <w:rFonts w:ascii="Arial" w:hAnsi="Arial" w:cs="Arial"/>
          <w:sz w:val="22"/>
          <w:szCs w:val="22"/>
        </w:rPr>
        <w:t>severe acute respiratory syndrome coronavirus 2 (</w:t>
      </w:r>
      <w:r w:rsidRPr="00371DCB">
        <w:rPr>
          <w:rFonts w:ascii="Arial" w:hAnsi="Arial" w:cs="Arial"/>
          <w:sz w:val="22"/>
          <w:szCs w:val="22"/>
          <w:lang w:eastAsia="ja-JP"/>
        </w:rPr>
        <w:t>SARS-CoV-2) endpoints.</w:t>
      </w:r>
    </w:p>
    <w:p w14:paraId="0238A9EB" w14:textId="77777777" w:rsidR="00373815" w:rsidRPr="00371DCB" w:rsidRDefault="00373815" w:rsidP="00FB2D39">
      <w:pPr>
        <w:jc w:val="both"/>
        <w:rPr>
          <w:rFonts w:ascii="Arial" w:hAnsi="Arial" w:cs="Arial"/>
          <w:sz w:val="22"/>
          <w:szCs w:val="22"/>
          <w:lang w:eastAsia="ja-JP"/>
        </w:rPr>
      </w:pPr>
      <w:r w:rsidRPr="00371DCB">
        <w:rPr>
          <w:rFonts w:ascii="Arial" w:hAnsi="Arial" w:cs="Arial"/>
          <w:sz w:val="22"/>
          <w:szCs w:val="22"/>
          <w:lang w:eastAsia="ja-JP"/>
        </w:rPr>
        <w:t>The DSMB will conduct interim reviews (if specified) when adequate data have been accrued and convene by teleconference. Open reports containing accrual and retention rates, participant characteristics, and serious adverse events will be sent to the protocol team and DSMB members the week prior to the DSMB meeting. Only the DSMB members and the unblinded biostatistician will receive password-protected closed reports of SARS-CoV-2 endpoints by randomization arm.</w:t>
      </w:r>
    </w:p>
    <w:p w14:paraId="52DB420F" w14:textId="77777777" w:rsidR="00373815" w:rsidRPr="00371DCB" w:rsidRDefault="00373815" w:rsidP="00FB2D39">
      <w:pPr>
        <w:keepNext/>
        <w:jc w:val="both"/>
        <w:rPr>
          <w:rFonts w:ascii="Arial" w:hAnsi="Arial" w:cs="Arial"/>
          <w:b/>
          <w:bCs/>
          <w:sz w:val="22"/>
          <w:szCs w:val="22"/>
        </w:rPr>
      </w:pPr>
      <w:r w:rsidRPr="00371DCB">
        <w:rPr>
          <w:rFonts w:ascii="Arial" w:hAnsi="Arial" w:cs="Arial"/>
          <w:b/>
          <w:bCs/>
          <w:sz w:val="22"/>
          <w:szCs w:val="22"/>
        </w:rPr>
        <w:t>Regulatory and Ethical Considerations</w:t>
      </w:r>
    </w:p>
    <w:p w14:paraId="4082214D" w14:textId="29594D03" w:rsidR="00373815" w:rsidRPr="00371DCB" w:rsidRDefault="00373815" w:rsidP="00FB2D39">
      <w:pPr>
        <w:jc w:val="both"/>
        <w:rPr>
          <w:rFonts w:ascii="Arial" w:hAnsi="Arial" w:cs="Arial"/>
          <w:sz w:val="22"/>
          <w:szCs w:val="22"/>
        </w:rPr>
      </w:pPr>
      <w:r w:rsidRPr="00371DCB">
        <w:rPr>
          <w:rFonts w:ascii="Arial" w:hAnsi="Arial" w:cs="Arial"/>
          <w:sz w:val="22"/>
          <w:szCs w:val="22"/>
        </w:rPr>
        <w:t>The study will be conducted according to GCP, the Belmont Report, and the Declaration of Helsinki. The study protocol, site-specific informed consent forms (ICFs), participant education and recruitment materials, and other requested documents—including any subsequent modifications—will be reviewed and approved by Western Institutional Review Board (WIRB), as the single IRB of record, responsible for oversight of research conducted at the study sites. Subsequent to initial review and approval, the WIRB will review the study at least annually.</w:t>
      </w:r>
    </w:p>
    <w:p w14:paraId="5B446E5F" w14:textId="77777777" w:rsidR="00373815" w:rsidRPr="00371DCB" w:rsidRDefault="00373815" w:rsidP="00FB2D39">
      <w:pPr>
        <w:jc w:val="both"/>
        <w:rPr>
          <w:rFonts w:ascii="Arial" w:hAnsi="Arial" w:cs="Arial"/>
          <w:b/>
          <w:bCs/>
          <w:sz w:val="22"/>
          <w:szCs w:val="22"/>
        </w:rPr>
      </w:pPr>
      <w:r w:rsidRPr="00371DCB">
        <w:rPr>
          <w:rFonts w:ascii="Arial" w:hAnsi="Arial" w:cs="Arial"/>
          <w:b/>
          <w:bCs/>
          <w:sz w:val="22"/>
          <w:szCs w:val="22"/>
        </w:rPr>
        <w:t>Informed Consent Process</w:t>
      </w:r>
    </w:p>
    <w:p w14:paraId="6B4B25D3" w14:textId="77777777" w:rsidR="00373815" w:rsidRPr="00371DCB" w:rsidRDefault="00373815" w:rsidP="00FB2D39">
      <w:pPr>
        <w:jc w:val="both"/>
        <w:rPr>
          <w:rFonts w:ascii="Arial" w:hAnsi="Arial" w:cs="Arial"/>
          <w:sz w:val="22"/>
          <w:szCs w:val="22"/>
        </w:rPr>
      </w:pPr>
      <w:r w:rsidRPr="00371DCB">
        <w:rPr>
          <w:rFonts w:ascii="Arial" w:hAnsi="Arial" w:cs="Arial"/>
          <w:sz w:val="22"/>
          <w:szCs w:val="22"/>
        </w:rPr>
        <w:t>The principles of informed consent in the current edition of the Declaration of Helsinki will be implemented in each clinical study before any protocol-specified procedures or interventions are carried out. The consent form will describe the purpose of the study, the procedures to be followed, and the risks and benefits of participation. A copy of the consent form will be given to the participant, and this fact will be documented in the participant’s record.</w:t>
      </w:r>
    </w:p>
    <w:p w14:paraId="3CF6FE66" w14:textId="77777777" w:rsidR="00373815" w:rsidRPr="00371DCB" w:rsidRDefault="00373815" w:rsidP="00FB2D39">
      <w:pPr>
        <w:jc w:val="both"/>
        <w:rPr>
          <w:rFonts w:ascii="Arial" w:hAnsi="Arial" w:cs="Arial"/>
          <w:sz w:val="22"/>
          <w:szCs w:val="22"/>
        </w:rPr>
      </w:pPr>
      <w:r w:rsidRPr="00371DCB">
        <w:rPr>
          <w:rFonts w:ascii="Arial" w:hAnsi="Arial" w:cs="Arial"/>
          <w:sz w:val="22"/>
          <w:szCs w:val="22"/>
        </w:rPr>
        <w:t xml:space="preserve">A participant who is rescreened is not required to sign another ICF; eligibility for the study must be re-checked prior to </w:t>
      </w:r>
      <w:proofErr w:type="spellStart"/>
      <w:r w:rsidRPr="00371DCB">
        <w:rPr>
          <w:rFonts w:ascii="Arial" w:hAnsi="Arial" w:cs="Arial"/>
          <w:sz w:val="22"/>
          <w:szCs w:val="22"/>
        </w:rPr>
        <w:t>enrollment</w:t>
      </w:r>
      <w:proofErr w:type="spellEnd"/>
      <w:r w:rsidRPr="00371DCB">
        <w:rPr>
          <w:rFonts w:ascii="Arial" w:hAnsi="Arial" w:cs="Arial"/>
          <w:sz w:val="22"/>
          <w:szCs w:val="22"/>
        </w:rPr>
        <w:t>.</w:t>
      </w:r>
    </w:p>
    <w:p w14:paraId="6A8A5483" w14:textId="77777777" w:rsidR="00373815" w:rsidRPr="00371DCB" w:rsidRDefault="00373815" w:rsidP="00FB2D39">
      <w:pPr>
        <w:jc w:val="both"/>
        <w:rPr>
          <w:rFonts w:ascii="Arial" w:hAnsi="Arial" w:cs="Arial"/>
          <w:b/>
          <w:bCs/>
          <w:sz w:val="22"/>
          <w:szCs w:val="22"/>
        </w:rPr>
      </w:pPr>
      <w:r w:rsidRPr="00371DCB">
        <w:rPr>
          <w:rFonts w:ascii="Arial" w:hAnsi="Arial" w:cs="Arial"/>
          <w:b/>
          <w:bCs/>
          <w:sz w:val="22"/>
          <w:szCs w:val="22"/>
        </w:rPr>
        <w:t>Study Records</w:t>
      </w:r>
    </w:p>
    <w:p w14:paraId="57D90E0A" w14:textId="77777777" w:rsidR="00373815" w:rsidRPr="00371DCB" w:rsidRDefault="00373815" w:rsidP="00FB2D39">
      <w:pPr>
        <w:jc w:val="both"/>
        <w:rPr>
          <w:rFonts w:ascii="Arial" w:hAnsi="Arial" w:cs="Arial"/>
          <w:sz w:val="22"/>
          <w:szCs w:val="22"/>
        </w:rPr>
      </w:pPr>
      <w:r w:rsidRPr="00371DCB">
        <w:rPr>
          <w:rFonts w:ascii="Arial" w:hAnsi="Arial" w:cs="Arial"/>
          <w:sz w:val="22"/>
          <w:szCs w:val="22"/>
        </w:rPr>
        <w:t>Each study site will establish a standard operating procedure for confidentiality protection. Each site will ensure that study records including administrative documentation and regulatory documentation as well as documentation related to each participant enrolled in the study, including ICFs, locator forms, case report forms, notations of all contacts with the participant, and all other source documents are stored in a secure manner.</w:t>
      </w:r>
    </w:p>
    <w:p w14:paraId="3CFC776A" w14:textId="77777777" w:rsidR="00373815" w:rsidRPr="00371DCB" w:rsidRDefault="00373815" w:rsidP="00FB2D39">
      <w:pPr>
        <w:jc w:val="both"/>
        <w:rPr>
          <w:rFonts w:ascii="Arial" w:hAnsi="Arial" w:cs="Arial"/>
          <w:b/>
          <w:bCs/>
          <w:sz w:val="22"/>
          <w:szCs w:val="22"/>
        </w:rPr>
      </w:pPr>
      <w:r w:rsidRPr="00371DCB">
        <w:rPr>
          <w:rFonts w:ascii="Arial" w:hAnsi="Arial" w:cs="Arial"/>
          <w:b/>
          <w:bCs/>
          <w:sz w:val="22"/>
          <w:szCs w:val="22"/>
        </w:rPr>
        <w:t>Confidentiality</w:t>
      </w:r>
    </w:p>
    <w:p w14:paraId="3C7DF8EC" w14:textId="77777777" w:rsidR="00373815" w:rsidRPr="00371DCB" w:rsidRDefault="00373815" w:rsidP="00FB2D39">
      <w:pPr>
        <w:jc w:val="both"/>
        <w:rPr>
          <w:rFonts w:ascii="Arial" w:hAnsi="Arial" w:cs="Arial"/>
          <w:sz w:val="22"/>
          <w:szCs w:val="22"/>
        </w:rPr>
      </w:pPr>
      <w:r w:rsidRPr="00371DCB">
        <w:rPr>
          <w:rFonts w:ascii="Arial" w:hAnsi="Arial" w:cs="Arial"/>
          <w:sz w:val="22"/>
          <w:szCs w:val="22"/>
        </w:rPr>
        <w:t>Participants’ study information will not be released without their written permission, except as necessary for oversight by:</w:t>
      </w:r>
    </w:p>
    <w:p w14:paraId="47C3404A" w14:textId="77777777" w:rsidR="00373815" w:rsidRPr="00371DCB" w:rsidRDefault="00373815" w:rsidP="00FB2D39">
      <w:pPr>
        <w:numPr>
          <w:ilvl w:val="0"/>
          <w:numId w:val="14"/>
        </w:numPr>
        <w:jc w:val="both"/>
        <w:rPr>
          <w:rFonts w:ascii="Arial" w:hAnsi="Arial" w:cs="Arial"/>
          <w:sz w:val="22"/>
          <w:szCs w:val="22"/>
        </w:rPr>
      </w:pPr>
      <w:r w:rsidRPr="00371DCB">
        <w:rPr>
          <w:rFonts w:ascii="Arial" w:hAnsi="Arial" w:cs="Arial"/>
          <w:sz w:val="22"/>
          <w:szCs w:val="22"/>
        </w:rPr>
        <w:t>The protocol Principal Investigators or designees</w:t>
      </w:r>
    </w:p>
    <w:p w14:paraId="28862675" w14:textId="59D90D7B" w:rsidR="00373815" w:rsidRPr="00371DCB" w:rsidRDefault="00373815" w:rsidP="00FB2D39">
      <w:pPr>
        <w:numPr>
          <w:ilvl w:val="0"/>
          <w:numId w:val="14"/>
        </w:numPr>
        <w:jc w:val="both"/>
        <w:rPr>
          <w:rFonts w:ascii="Arial" w:hAnsi="Arial" w:cs="Arial"/>
          <w:sz w:val="22"/>
          <w:szCs w:val="22"/>
        </w:rPr>
      </w:pPr>
      <w:r w:rsidRPr="00371DCB">
        <w:rPr>
          <w:rFonts w:ascii="Arial" w:hAnsi="Arial" w:cs="Arial"/>
          <w:sz w:val="22"/>
          <w:szCs w:val="22"/>
        </w:rPr>
        <w:t>Study funders</w:t>
      </w:r>
    </w:p>
    <w:p w14:paraId="76E717D9" w14:textId="382B21EF" w:rsidR="009658D3" w:rsidRPr="00371DCB" w:rsidRDefault="009658D3" w:rsidP="00FB2D39">
      <w:pPr>
        <w:numPr>
          <w:ilvl w:val="0"/>
          <w:numId w:val="14"/>
        </w:numPr>
        <w:jc w:val="both"/>
        <w:rPr>
          <w:rFonts w:ascii="Arial" w:hAnsi="Arial" w:cs="Arial"/>
          <w:sz w:val="22"/>
          <w:szCs w:val="22"/>
        </w:rPr>
      </w:pPr>
      <w:r w:rsidRPr="00371DCB">
        <w:rPr>
          <w:rFonts w:ascii="Arial" w:hAnsi="Arial" w:cs="Arial"/>
          <w:sz w:val="22"/>
          <w:szCs w:val="22"/>
        </w:rPr>
        <w:t>South African Health Products Regulatory Authority (SAHPRA)</w:t>
      </w:r>
    </w:p>
    <w:p w14:paraId="69C1A7F6" w14:textId="0AED36DA" w:rsidR="009658D3" w:rsidRPr="00371DCB" w:rsidRDefault="009658D3" w:rsidP="00FB2D39">
      <w:pPr>
        <w:numPr>
          <w:ilvl w:val="0"/>
          <w:numId w:val="14"/>
        </w:numPr>
        <w:jc w:val="both"/>
        <w:rPr>
          <w:rFonts w:ascii="Arial" w:hAnsi="Arial" w:cs="Arial"/>
          <w:sz w:val="22"/>
          <w:szCs w:val="22"/>
        </w:rPr>
      </w:pPr>
      <w:r w:rsidRPr="00371DCB">
        <w:rPr>
          <w:rFonts w:ascii="Arial" w:hAnsi="Arial" w:cs="Arial"/>
          <w:sz w:val="22"/>
          <w:szCs w:val="22"/>
        </w:rPr>
        <w:t>Stellenbosch University Health Research Ethics Committee (SU HREC)</w:t>
      </w:r>
    </w:p>
    <w:p w14:paraId="0780CB70" w14:textId="77777777" w:rsidR="00373815" w:rsidRPr="00371DCB" w:rsidRDefault="00373815" w:rsidP="00FB2D39">
      <w:pPr>
        <w:jc w:val="both"/>
        <w:rPr>
          <w:rFonts w:ascii="Arial" w:hAnsi="Arial" w:cs="Arial"/>
          <w:sz w:val="22"/>
          <w:szCs w:val="22"/>
        </w:rPr>
      </w:pPr>
      <w:r w:rsidRPr="00371DCB">
        <w:rPr>
          <w:rFonts w:ascii="Arial" w:hAnsi="Arial" w:cs="Arial"/>
          <w:sz w:val="22"/>
          <w:szCs w:val="22"/>
        </w:rPr>
        <w:t>All laboratory specimens, evaluation forms, reports, and other records that leave the site will be identified by coded number only to maintain participant confidentiality. The exceptions are SARS-CoV-2 testing results, which are subject to local and state reporting which is name-based. Local public health may contact participants diagnosed with SARS-CoV-2 for the purpose of surveillance and contact notification. Participants will be informed prior to SARS-CoV-2 testing that results are reportable and may lead to contact by local public health if results are positive for infection.</w:t>
      </w:r>
    </w:p>
    <w:p w14:paraId="7309432E" w14:textId="693A9A85" w:rsidR="00373815" w:rsidRPr="00371DCB" w:rsidRDefault="00373815" w:rsidP="00FB2D39">
      <w:pPr>
        <w:jc w:val="both"/>
        <w:rPr>
          <w:rFonts w:ascii="Arial" w:hAnsi="Arial" w:cs="Arial"/>
          <w:sz w:val="22"/>
          <w:szCs w:val="22"/>
        </w:rPr>
      </w:pPr>
      <w:r w:rsidRPr="00371DCB">
        <w:rPr>
          <w:rFonts w:ascii="Arial" w:hAnsi="Arial" w:cs="Arial"/>
          <w:sz w:val="22"/>
          <w:szCs w:val="22"/>
        </w:rPr>
        <w:t xml:space="preserve">All records will be kept locked. All computer entry and networking programs will be done with coded numbers only. </w:t>
      </w:r>
    </w:p>
    <w:p w14:paraId="21BEF8F2" w14:textId="77777777" w:rsidR="00C55832" w:rsidRPr="00371DCB" w:rsidRDefault="00C55832" w:rsidP="00FB2D39">
      <w:pPr>
        <w:jc w:val="both"/>
        <w:rPr>
          <w:rFonts w:ascii="Arial" w:hAnsi="Arial" w:cs="Arial"/>
          <w:b/>
          <w:bCs/>
          <w:sz w:val="22"/>
          <w:szCs w:val="22"/>
        </w:rPr>
      </w:pPr>
    </w:p>
    <w:p w14:paraId="2EC77782" w14:textId="77777777" w:rsidR="007066B7" w:rsidRDefault="007066B7" w:rsidP="00FB2D39">
      <w:pPr>
        <w:jc w:val="both"/>
        <w:rPr>
          <w:rFonts w:eastAsia="MS Gothic"/>
          <w:b/>
          <w:bCs/>
          <w:i/>
          <w:iCs/>
          <w:color w:val="000000"/>
          <w:sz w:val="28"/>
          <w:szCs w:val="28"/>
          <w:lang w:val="en-US" w:eastAsia="ja-JP"/>
        </w:rPr>
      </w:pPr>
      <w:bookmarkStart w:id="190" w:name="Appendix_6"/>
      <w:bookmarkStart w:id="191" w:name="_Toc38818807"/>
      <w:r>
        <w:lastRenderedPageBreak/>
        <w:br w:type="page"/>
      </w:r>
    </w:p>
    <w:p w14:paraId="05CE551C" w14:textId="21A0BEE1" w:rsidR="004465E0" w:rsidRPr="00371DCB" w:rsidRDefault="004465E0" w:rsidP="00FB2D39">
      <w:pPr>
        <w:pStyle w:val="Heading2non-numbered"/>
        <w:jc w:val="both"/>
      </w:pPr>
      <w:r w:rsidRPr="00371DCB">
        <w:lastRenderedPageBreak/>
        <w:t xml:space="preserve">Appendix </w:t>
      </w:r>
      <w:bookmarkEnd w:id="190"/>
      <w:r w:rsidRPr="00371DCB">
        <w:t xml:space="preserve">4: </w:t>
      </w:r>
      <w:r w:rsidRPr="00371DCB">
        <w:rPr>
          <w:bdr w:val="none" w:sz="0" w:space="0" w:color="auto" w:frame="1"/>
        </w:rPr>
        <w:t>Pharmacokinetic Sample Collection and Analysis</w:t>
      </w:r>
      <w:bookmarkEnd w:id="191"/>
    </w:p>
    <w:p w14:paraId="57A3BF01" w14:textId="77777777" w:rsidR="004465E0" w:rsidRPr="00371DCB" w:rsidRDefault="004465E0" w:rsidP="00FB2D39">
      <w:pPr>
        <w:jc w:val="both"/>
        <w:rPr>
          <w:rFonts w:ascii="Arial" w:hAnsi="Arial" w:cs="Arial"/>
          <w:b/>
          <w:bCs/>
          <w:sz w:val="22"/>
          <w:szCs w:val="22"/>
        </w:rPr>
      </w:pPr>
      <w:r w:rsidRPr="00371DCB">
        <w:rPr>
          <w:rFonts w:ascii="Arial" w:hAnsi="Arial" w:cs="Arial"/>
          <w:b/>
          <w:bCs/>
          <w:sz w:val="22"/>
          <w:szCs w:val="22"/>
        </w:rPr>
        <w:t>Collection of Blood</w:t>
      </w:r>
    </w:p>
    <w:p w14:paraId="3FE36D2B" w14:textId="77777777" w:rsidR="004465E0" w:rsidRPr="00371DCB" w:rsidRDefault="004465E0" w:rsidP="00FB2D39">
      <w:pPr>
        <w:jc w:val="both"/>
        <w:rPr>
          <w:rFonts w:ascii="Arial" w:hAnsi="Arial" w:cs="Arial"/>
          <w:sz w:val="22"/>
          <w:szCs w:val="22"/>
        </w:rPr>
      </w:pPr>
      <w:r w:rsidRPr="00371DCB">
        <w:rPr>
          <w:rFonts w:ascii="Arial" w:hAnsi="Arial" w:cs="Arial"/>
          <w:sz w:val="22"/>
          <w:szCs w:val="22"/>
        </w:rPr>
        <w:t>Skin puncture</w:t>
      </w:r>
    </w:p>
    <w:p w14:paraId="12DFE25D" w14:textId="77777777" w:rsidR="004465E0" w:rsidRPr="00371DCB" w:rsidRDefault="004465E0" w:rsidP="00FB2D39">
      <w:pPr>
        <w:pStyle w:val="ListParagraph"/>
        <w:numPr>
          <w:ilvl w:val="0"/>
          <w:numId w:val="34"/>
        </w:numPr>
        <w:ind w:left="720"/>
        <w:rPr>
          <w:rFonts w:ascii="Arial" w:hAnsi="Arial" w:cs="Arial"/>
          <w:sz w:val="22"/>
          <w:szCs w:val="22"/>
        </w:rPr>
      </w:pPr>
      <w:r w:rsidRPr="00371DCB">
        <w:rPr>
          <w:rFonts w:ascii="Arial" w:hAnsi="Arial" w:cs="Arial"/>
          <w:sz w:val="22"/>
          <w:szCs w:val="22"/>
        </w:rPr>
        <w:t>Put on a pair of disposable gloves.</w:t>
      </w:r>
    </w:p>
    <w:p w14:paraId="31FBD829" w14:textId="77777777" w:rsidR="004465E0" w:rsidRPr="00371DCB" w:rsidRDefault="004465E0" w:rsidP="00FB2D39">
      <w:pPr>
        <w:pStyle w:val="ListParagraph"/>
        <w:numPr>
          <w:ilvl w:val="0"/>
          <w:numId w:val="34"/>
        </w:numPr>
        <w:ind w:left="720"/>
        <w:rPr>
          <w:rFonts w:ascii="Arial" w:hAnsi="Arial" w:cs="Arial"/>
          <w:sz w:val="22"/>
          <w:szCs w:val="22"/>
        </w:rPr>
      </w:pPr>
      <w:r w:rsidRPr="00371DCB">
        <w:rPr>
          <w:rFonts w:ascii="Arial" w:hAnsi="Arial" w:cs="Arial"/>
          <w:sz w:val="22"/>
          <w:szCs w:val="22"/>
        </w:rPr>
        <w:t>Before skin puncture, the participant should warm his/her hands. The finger is massaged anterogradely to enrich the blood flow toward the puncture site.</w:t>
      </w:r>
    </w:p>
    <w:p w14:paraId="25A07696" w14:textId="77777777" w:rsidR="004465E0" w:rsidRPr="00371DCB" w:rsidRDefault="004465E0" w:rsidP="00FB2D39">
      <w:pPr>
        <w:pStyle w:val="ListParagraph"/>
        <w:numPr>
          <w:ilvl w:val="0"/>
          <w:numId w:val="34"/>
        </w:numPr>
        <w:ind w:left="720"/>
        <w:rPr>
          <w:rFonts w:ascii="Arial" w:hAnsi="Arial" w:cs="Arial"/>
          <w:sz w:val="22"/>
          <w:szCs w:val="22"/>
        </w:rPr>
      </w:pPr>
      <w:r w:rsidRPr="00371DCB">
        <w:rPr>
          <w:rFonts w:ascii="Arial" w:hAnsi="Arial" w:cs="Arial"/>
          <w:sz w:val="22"/>
          <w:szCs w:val="22"/>
        </w:rPr>
        <w:t>Clean the skin of the palmar side of the tip of the distal phalanx of the third or fourth finger of the non-writing hand with a suitable disinfectant, for example, 70% isopropyl alcohol. Puncture the skin by a single-use safety lancet. The finger should be held in such a position that the gravity facilitates the collection of blood from the fingertip.</w:t>
      </w:r>
    </w:p>
    <w:p w14:paraId="17F21C3B" w14:textId="77777777" w:rsidR="004465E0" w:rsidRPr="00371DCB" w:rsidRDefault="004465E0" w:rsidP="00FB2D39">
      <w:pPr>
        <w:pStyle w:val="ListParagraph"/>
        <w:numPr>
          <w:ilvl w:val="0"/>
          <w:numId w:val="34"/>
        </w:numPr>
        <w:ind w:left="720"/>
        <w:rPr>
          <w:rFonts w:ascii="Arial" w:hAnsi="Arial" w:cs="Arial"/>
          <w:sz w:val="22"/>
          <w:szCs w:val="22"/>
        </w:rPr>
      </w:pPr>
      <w:r w:rsidRPr="00371DCB">
        <w:rPr>
          <w:rFonts w:ascii="Arial" w:hAnsi="Arial" w:cs="Arial"/>
          <w:sz w:val="22"/>
          <w:szCs w:val="22"/>
        </w:rPr>
        <w:t>When collection of capillary blood by skin puncture is complete, place a bandage on the fingertip.</w:t>
      </w:r>
    </w:p>
    <w:p w14:paraId="3E31BEB4" w14:textId="77777777" w:rsidR="004465E0" w:rsidRPr="00371DCB" w:rsidRDefault="004465E0" w:rsidP="00FB2D39">
      <w:pPr>
        <w:jc w:val="both"/>
        <w:rPr>
          <w:rFonts w:ascii="Arial" w:hAnsi="Arial" w:cs="Arial"/>
          <w:sz w:val="22"/>
          <w:szCs w:val="22"/>
        </w:rPr>
      </w:pPr>
      <w:proofErr w:type="spellStart"/>
      <w:r w:rsidRPr="00371DCB">
        <w:rPr>
          <w:rFonts w:ascii="Arial" w:hAnsi="Arial" w:cs="Arial"/>
          <w:sz w:val="22"/>
          <w:szCs w:val="22"/>
        </w:rPr>
        <w:t>Venipuncture</w:t>
      </w:r>
      <w:proofErr w:type="spellEnd"/>
    </w:p>
    <w:p w14:paraId="156DCCDF" w14:textId="77777777" w:rsidR="004465E0" w:rsidRPr="00371DCB" w:rsidRDefault="004465E0" w:rsidP="00FB2D39">
      <w:pPr>
        <w:ind w:left="720"/>
        <w:jc w:val="both"/>
        <w:rPr>
          <w:rFonts w:ascii="Arial" w:hAnsi="Arial" w:cs="Arial"/>
          <w:sz w:val="22"/>
          <w:szCs w:val="22"/>
        </w:rPr>
      </w:pPr>
      <w:r w:rsidRPr="00371DCB">
        <w:rPr>
          <w:rFonts w:ascii="Arial" w:hAnsi="Arial" w:cs="Arial"/>
          <w:sz w:val="22"/>
          <w:szCs w:val="22"/>
        </w:rPr>
        <w:t>To be conducted by trained personnel per standard procedures.</w:t>
      </w:r>
    </w:p>
    <w:p w14:paraId="30593372" w14:textId="77777777" w:rsidR="004465E0" w:rsidRPr="00371DCB" w:rsidRDefault="004465E0" w:rsidP="00FB2D39">
      <w:pPr>
        <w:jc w:val="both"/>
        <w:rPr>
          <w:rFonts w:ascii="Arial" w:hAnsi="Arial" w:cs="Arial"/>
          <w:b/>
          <w:bCs/>
          <w:sz w:val="22"/>
          <w:szCs w:val="22"/>
        </w:rPr>
      </w:pPr>
      <w:r w:rsidRPr="00371DCB">
        <w:rPr>
          <w:rFonts w:ascii="Arial" w:hAnsi="Arial" w:cs="Arial"/>
          <w:b/>
          <w:bCs/>
          <w:sz w:val="22"/>
          <w:szCs w:val="22"/>
        </w:rPr>
        <w:t>Preparation of Blood Spots</w:t>
      </w:r>
    </w:p>
    <w:p w14:paraId="69176B3D" w14:textId="77777777" w:rsidR="004465E0" w:rsidRPr="00371DCB" w:rsidRDefault="004465E0" w:rsidP="00FB2D39">
      <w:pPr>
        <w:jc w:val="both"/>
        <w:rPr>
          <w:rFonts w:ascii="Arial" w:hAnsi="Arial" w:cs="Arial"/>
          <w:sz w:val="22"/>
          <w:szCs w:val="22"/>
        </w:rPr>
      </w:pPr>
      <w:r w:rsidRPr="00371DCB">
        <w:rPr>
          <w:rFonts w:ascii="Arial" w:hAnsi="Arial" w:cs="Arial"/>
          <w:sz w:val="22"/>
          <w:szCs w:val="22"/>
        </w:rPr>
        <w:t>Preparation from blood collected by skin puncture</w:t>
      </w:r>
    </w:p>
    <w:p w14:paraId="4279E04C" w14:textId="77777777" w:rsidR="004465E0" w:rsidRPr="00371DCB" w:rsidRDefault="004465E0" w:rsidP="00FB2D39">
      <w:pPr>
        <w:pStyle w:val="ListParagraph"/>
        <w:numPr>
          <w:ilvl w:val="0"/>
          <w:numId w:val="32"/>
        </w:numPr>
        <w:ind w:left="720"/>
        <w:rPr>
          <w:rFonts w:ascii="Arial" w:hAnsi="Arial" w:cs="Arial"/>
          <w:sz w:val="22"/>
          <w:szCs w:val="22"/>
        </w:rPr>
      </w:pPr>
      <w:r w:rsidRPr="00371DCB">
        <w:rPr>
          <w:rFonts w:ascii="Arial" w:hAnsi="Arial" w:cs="Arial"/>
          <w:sz w:val="22"/>
          <w:szCs w:val="22"/>
        </w:rPr>
        <w:t>Wipe off the first drop of blood with a gauze pad because it may contain excess tissue fluids. Massage the finger again to increase blood flow at the puncture site. Transfer the following drop to one of the circles of a filter card without touching the surface directly with the fingertip. Allow the blood to be soaked into the texture of the filter by capillary forces only.</w:t>
      </w:r>
    </w:p>
    <w:p w14:paraId="589E94FB" w14:textId="77777777" w:rsidR="004465E0" w:rsidRPr="00371DCB" w:rsidRDefault="004465E0" w:rsidP="00FB2D39">
      <w:pPr>
        <w:pStyle w:val="ListParagraph"/>
        <w:numPr>
          <w:ilvl w:val="0"/>
          <w:numId w:val="32"/>
        </w:numPr>
        <w:ind w:left="720"/>
        <w:rPr>
          <w:rFonts w:ascii="Arial" w:hAnsi="Arial" w:cs="Arial"/>
          <w:sz w:val="22"/>
          <w:szCs w:val="22"/>
        </w:rPr>
      </w:pPr>
      <w:r w:rsidRPr="00371DCB">
        <w:rPr>
          <w:rFonts w:ascii="Arial" w:hAnsi="Arial" w:cs="Arial"/>
          <w:sz w:val="22"/>
          <w:szCs w:val="22"/>
        </w:rPr>
        <w:t>Let the next large drop of capillary blood form on the fingertip and collect it in the next circle. Continue this procedure until all necessary circles are filled or blood flow stops.</w:t>
      </w:r>
    </w:p>
    <w:p w14:paraId="56C64510" w14:textId="77777777" w:rsidR="004465E0" w:rsidRPr="00371DCB" w:rsidRDefault="004465E0" w:rsidP="00FB2D39">
      <w:pPr>
        <w:pStyle w:val="ListParagraph"/>
        <w:numPr>
          <w:ilvl w:val="0"/>
          <w:numId w:val="32"/>
        </w:numPr>
        <w:ind w:left="720"/>
        <w:rPr>
          <w:rFonts w:ascii="Arial" w:hAnsi="Arial" w:cs="Arial"/>
          <w:sz w:val="22"/>
          <w:szCs w:val="22"/>
        </w:rPr>
      </w:pPr>
      <w:r w:rsidRPr="00371DCB">
        <w:rPr>
          <w:rFonts w:ascii="Arial" w:hAnsi="Arial" w:cs="Arial"/>
          <w:sz w:val="22"/>
          <w:szCs w:val="22"/>
        </w:rPr>
        <w:t>Do not squeeze or “milk” the finger excessively if the blood flow is not sufficient to fill all the required circles of the filter card. If blood flow stops, place a bandage on the fingertip. Perform a second skin puncture on another finger if more blood is needed for the examination.</w:t>
      </w:r>
    </w:p>
    <w:p w14:paraId="0F545586" w14:textId="77777777" w:rsidR="004465E0" w:rsidRPr="00371DCB" w:rsidRDefault="004465E0" w:rsidP="00FB2D39">
      <w:pPr>
        <w:pStyle w:val="ListParagraph"/>
        <w:numPr>
          <w:ilvl w:val="0"/>
          <w:numId w:val="32"/>
        </w:numPr>
        <w:ind w:left="720"/>
        <w:rPr>
          <w:rFonts w:ascii="Arial" w:hAnsi="Arial" w:cs="Arial"/>
          <w:sz w:val="22"/>
          <w:szCs w:val="22"/>
        </w:rPr>
      </w:pPr>
      <w:r w:rsidRPr="00371DCB">
        <w:rPr>
          <w:rFonts w:ascii="Arial" w:hAnsi="Arial" w:cs="Arial"/>
          <w:sz w:val="22"/>
          <w:szCs w:val="22"/>
        </w:rPr>
        <w:t>For blood obtained by venipuncture, use syringe to apply approximately 100 µL of blood on the filter paper.</w:t>
      </w:r>
    </w:p>
    <w:p w14:paraId="3161BFEF" w14:textId="77777777" w:rsidR="004465E0" w:rsidRPr="00371DCB" w:rsidRDefault="004465E0" w:rsidP="00FB2D39">
      <w:pPr>
        <w:jc w:val="both"/>
        <w:rPr>
          <w:rFonts w:ascii="Arial" w:hAnsi="Arial" w:cs="Arial"/>
          <w:b/>
          <w:bCs/>
          <w:sz w:val="22"/>
          <w:szCs w:val="22"/>
        </w:rPr>
      </w:pPr>
      <w:r w:rsidRPr="00371DCB">
        <w:rPr>
          <w:rFonts w:ascii="Arial" w:hAnsi="Arial" w:cs="Arial"/>
          <w:b/>
          <w:bCs/>
          <w:sz w:val="22"/>
          <w:szCs w:val="22"/>
        </w:rPr>
        <w:t>Drying of Blood Spots</w:t>
      </w:r>
    </w:p>
    <w:p w14:paraId="0E0D0DE4" w14:textId="77777777" w:rsidR="004465E0" w:rsidRPr="00371DCB" w:rsidRDefault="004465E0" w:rsidP="00FB2D39">
      <w:pPr>
        <w:jc w:val="both"/>
        <w:rPr>
          <w:rFonts w:ascii="Arial" w:hAnsi="Arial" w:cs="Arial"/>
          <w:sz w:val="22"/>
          <w:szCs w:val="22"/>
        </w:rPr>
      </w:pPr>
      <w:r w:rsidRPr="00371DCB">
        <w:rPr>
          <w:rFonts w:ascii="Arial" w:hAnsi="Arial" w:cs="Arial"/>
          <w:sz w:val="22"/>
          <w:szCs w:val="22"/>
        </w:rPr>
        <w:t xml:space="preserve">To dry the blood spots, put the filter cards on a clean paper towel and let them dry, preferably overnight (but for at least 4 hours), at room temperature in the absence of any external source of heat. When the drying process is complete, the blood spots have a uniformly dark brownish </w:t>
      </w:r>
      <w:proofErr w:type="spellStart"/>
      <w:r w:rsidRPr="00371DCB">
        <w:rPr>
          <w:rFonts w:ascii="Arial" w:hAnsi="Arial" w:cs="Arial"/>
          <w:sz w:val="22"/>
          <w:szCs w:val="22"/>
        </w:rPr>
        <w:t>color</w:t>
      </w:r>
      <w:proofErr w:type="spellEnd"/>
      <w:r w:rsidRPr="00371DCB">
        <w:rPr>
          <w:rFonts w:ascii="Arial" w:hAnsi="Arial" w:cs="Arial"/>
          <w:sz w:val="22"/>
          <w:szCs w:val="22"/>
        </w:rPr>
        <w:t xml:space="preserve"> and no red areas are visible anymore.</w:t>
      </w:r>
    </w:p>
    <w:p w14:paraId="25DAA40B" w14:textId="77777777" w:rsidR="004465E0" w:rsidRPr="00371DCB" w:rsidRDefault="004465E0" w:rsidP="00FB2D39">
      <w:pPr>
        <w:keepNext/>
        <w:jc w:val="both"/>
        <w:rPr>
          <w:rFonts w:ascii="Arial" w:hAnsi="Arial" w:cs="Arial"/>
          <w:b/>
          <w:bCs/>
          <w:sz w:val="22"/>
          <w:szCs w:val="22"/>
        </w:rPr>
      </w:pPr>
      <w:r w:rsidRPr="00371DCB">
        <w:rPr>
          <w:rFonts w:ascii="Arial" w:hAnsi="Arial" w:cs="Arial"/>
          <w:b/>
          <w:bCs/>
          <w:sz w:val="22"/>
          <w:szCs w:val="22"/>
        </w:rPr>
        <w:t>Storage and Transportation of Dried Blood Spots (DBS)</w:t>
      </w:r>
    </w:p>
    <w:p w14:paraId="4FD40706" w14:textId="77777777" w:rsidR="004465E0" w:rsidRPr="00371DCB" w:rsidRDefault="004465E0" w:rsidP="00FB2D39">
      <w:pPr>
        <w:jc w:val="both"/>
        <w:rPr>
          <w:rFonts w:ascii="Arial" w:hAnsi="Arial" w:cs="Arial"/>
          <w:sz w:val="22"/>
          <w:szCs w:val="22"/>
        </w:rPr>
      </w:pPr>
      <w:r w:rsidRPr="00371DCB">
        <w:rPr>
          <w:rFonts w:ascii="Arial" w:hAnsi="Arial" w:cs="Arial"/>
          <w:sz w:val="22"/>
          <w:szCs w:val="22"/>
        </w:rPr>
        <w:t>NOTE: Processing of the blood spots can be interrupted after drying. The filter cards can now be stored.</w:t>
      </w:r>
    </w:p>
    <w:p w14:paraId="141E4088" w14:textId="77777777" w:rsidR="004465E0" w:rsidRPr="00371DCB" w:rsidRDefault="004465E0" w:rsidP="00FB2D39">
      <w:pPr>
        <w:pStyle w:val="ListParagraph"/>
        <w:numPr>
          <w:ilvl w:val="0"/>
          <w:numId w:val="33"/>
        </w:numPr>
        <w:ind w:left="720"/>
        <w:rPr>
          <w:rFonts w:ascii="Arial" w:hAnsi="Arial" w:cs="Arial"/>
          <w:sz w:val="22"/>
          <w:szCs w:val="22"/>
        </w:rPr>
      </w:pPr>
      <w:r w:rsidRPr="00371DCB">
        <w:rPr>
          <w:rFonts w:ascii="Arial" w:hAnsi="Arial" w:cs="Arial"/>
          <w:sz w:val="22"/>
          <w:szCs w:val="22"/>
        </w:rPr>
        <w:t>For storage, put the filter paper card in a single, gas-impermeable zipper bag, containing 1 to 2 desiccant sachets to protect the specimens from moisture. Optionally, add a humidity indicator card.</w:t>
      </w:r>
    </w:p>
    <w:p w14:paraId="679E6297" w14:textId="77777777" w:rsidR="004465E0" w:rsidRPr="00371DCB" w:rsidRDefault="004465E0" w:rsidP="00FB2D39">
      <w:pPr>
        <w:pStyle w:val="ListParagraph"/>
        <w:numPr>
          <w:ilvl w:val="0"/>
          <w:numId w:val="33"/>
        </w:numPr>
        <w:ind w:left="720"/>
        <w:rPr>
          <w:rFonts w:ascii="Arial" w:hAnsi="Arial" w:cs="Arial"/>
          <w:sz w:val="22"/>
          <w:szCs w:val="22"/>
        </w:rPr>
      </w:pPr>
      <w:r w:rsidRPr="00371DCB">
        <w:rPr>
          <w:rFonts w:ascii="Arial" w:hAnsi="Arial" w:cs="Arial"/>
          <w:sz w:val="22"/>
          <w:szCs w:val="22"/>
        </w:rPr>
        <w:t>Transfer this bag to a freezer as soon as possible. If freezers are not available under field conditions, storage at -4°C or even at ambient temperature is feasible for up to 14 days.</w:t>
      </w:r>
    </w:p>
    <w:p w14:paraId="42393C1B" w14:textId="77777777" w:rsidR="004465E0" w:rsidRPr="00371DCB" w:rsidRDefault="004465E0" w:rsidP="00FB2D39">
      <w:pPr>
        <w:pStyle w:val="ListParagraph"/>
        <w:numPr>
          <w:ilvl w:val="0"/>
          <w:numId w:val="33"/>
        </w:numPr>
        <w:ind w:left="720"/>
        <w:rPr>
          <w:rFonts w:ascii="Arial" w:hAnsi="Arial" w:cs="Arial"/>
          <w:sz w:val="22"/>
          <w:szCs w:val="22"/>
        </w:rPr>
      </w:pPr>
      <w:r w:rsidRPr="00371DCB">
        <w:rPr>
          <w:rFonts w:ascii="Arial" w:hAnsi="Arial" w:cs="Arial"/>
          <w:sz w:val="22"/>
          <w:szCs w:val="22"/>
        </w:rPr>
        <w:lastRenderedPageBreak/>
        <w:t>Transport frozen DBS specimens on dry ice. For filter cards initially kept at ambient temperature, use a triple packaging system, which consists of the zipper bag(s) as the inner container(s) as well as an inner and an outer envelope. No content markings are required on the outer envelope for shipment by regular mail, but the international biohazard symbol must be affixed to the primary inner container.</w:t>
      </w:r>
    </w:p>
    <w:p w14:paraId="28C3BE50" w14:textId="77777777" w:rsidR="004465E0" w:rsidRPr="00371DCB" w:rsidRDefault="004465E0" w:rsidP="00FB2D39">
      <w:pPr>
        <w:pStyle w:val="ListParagraph"/>
        <w:numPr>
          <w:ilvl w:val="0"/>
          <w:numId w:val="33"/>
        </w:numPr>
        <w:ind w:left="720"/>
        <w:rPr>
          <w:rFonts w:ascii="Arial" w:hAnsi="Arial" w:cs="Arial"/>
          <w:sz w:val="22"/>
          <w:szCs w:val="22"/>
        </w:rPr>
      </w:pPr>
      <w:r w:rsidRPr="00371DCB">
        <w:rPr>
          <w:rFonts w:ascii="Arial" w:hAnsi="Arial" w:cs="Arial"/>
          <w:sz w:val="22"/>
          <w:szCs w:val="22"/>
        </w:rPr>
        <w:t>Exclude the filter cards from further processing if the desiccant packs and/or the additional humidity indicator card changes to a pink color.</w:t>
      </w:r>
    </w:p>
    <w:p w14:paraId="7868C91E" w14:textId="77777777" w:rsidR="004465E0" w:rsidRPr="00371DCB" w:rsidRDefault="004465E0" w:rsidP="00FB2D39">
      <w:pPr>
        <w:jc w:val="both"/>
        <w:rPr>
          <w:rFonts w:ascii="Arial" w:hAnsi="Arial" w:cs="Arial"/>
          <w:sz w:val="22"/>
          <w:szCs w:val="22"/>
        </w:rPr>
      </w:pPr>
      <w:r w:rsidRPr="00371DCB">
        <w:rPr>
          <w:rFonts w:ascii="Arial" w:hAnsi="Arial" w:cs="Arial"/>
          <w:sz w:val="22"/>
          <w:szCs w:val="22"/>
        </w:rPr>
        <w:t>On the filter paper, the participant should record the following:</w:t>
      </w:r>
    </w:p>
    <w:p w14:paraId="66F87DBB" w14:textId="77777777" w:rsidR="004465E0" w:rsidRPr="00371DCB" w:rsidRDefault="004465E0" w:rsidP="00FB2D39">
      <w:pPr>
        <w:pStyle w:val="ListParagraph"/>
        <w:numPr>
          <w:ilvl w:val="0"/>
          <w:numId w:val="13"/>
        </w:numPr>
        <w:spacing w:before="0" w:after="160" w:line="259" w:lineRule="auto"/>
        <w:rPr>
          <w:rFonts w:ascii="Arial" w:hAnsi="Arial" w:cs="Arial"/>
          <w:sz w:val="22"/>
          <w:szCs w:val="22"/>
        </w:rPr>
      </w:pPr>
      <w:r w:rsidRPr="00371DCB">
        <w:rPr>
          <w:rFonts w:ascii="Arial" w:hAnsi="Arial" w:cs="Arial"/>
          <w:sz w:val="22"/>
          <w:szCs w:val="22"/>
        </w:rPr>
        <w:t>His/her name and date of birth</w:t>
      </w:r>
    </w:p>
    <w:p w14:paraId="65FC5642" w14:textId="77777777" w:rsidR="004465E0" w:rsidRPr="00371DCB" w:rsidRDefault="004465E0" w:rsidP="00FB2D39">
      <w:pPr>
        <w:pStyle w:val="ListParagraph"/>
        <w:numPr>
          <w:ilvl w:val="0"/>
          <w:numId w:val="13"/>
        </w:numPr>
        <w:spacing w:before="0" w:after="160" w:line="259" w:lineRule="auto"/>
        <w:rPr>
          <w:rFonts w:ascii="Arial" w:hAnsi="Arial" w:cs="Arial"/>
          <w:sz w:val="22"/>
          <w:szCs w:val="22"/>
        </w:rPr>
      </w:pPr>
      <w:r w:rsidRPr="00371DCB">
        <w:rPr>
          <w:rFonts w:ascii="Arial" w:hAnsi="Arial" w:cs="Arial"/>
          <w:sz w:val="22"/>
          <w:szCs w:val="22"/>
        </w:rPr>
        <w:t>Date and time of sample</w:t>
      </w:r>
    </w:p>
    <w:p w14:paraId="1C860E53" w14:textId="77777777" w:rsidR="004465E0" w:rsidRPr="00371DCB" w:rsidRDefault="004465E0" w:rsidP="00FB2D39">
      <w:pPr>
        <w:pStyle w:val="ListParagraph"/>
        <w:numPr>
          <w:ilvl w:val="0"/>
          <w:numId w:val="13"/>
        </w:numPr>
        <w:spacing w:before="0" w:after="160" w:line="259" w:lineRule="auto"/>
        <w:rPr>
          <w:rFonts w:ascii="Arial" w:hAnsi="Arial" w:cs="Arial"/>
          <w:sz w:val="22"/>
          <w:szCs w:val="22"/>
        </w:rPr>
      </w:pPr>
      <w:r w:rsidRPr="00371DCB">
        <w:rPr>
          <w:rFonts w:ascii="Arial" w:hAnsi="Arial" w:cs="Arial"/>
          <w:sz w:val="22"/>
          <w:szCs w:val="22"/>
        </w:rPr>
        <w:t>Date and time of last dose</w:t>
      </w:r>
    </w:p>
    <w:p w14:paraId="5DE052A7" w14:textId="76D629CB" w:rsidR="004465E0" w:rsidRPr="00371DCB" w:rsidRDefault="004465E0" w:rsidP="00FB2D39">
      <w:pPr>
        <w:jc w:val="both"/>
        <w:rPr>
          <w:rFonts w:ascii="Arial" w:hAnsi="Arial" w:cs="Arial"/>
          <w:sz w:val="22"/>
          <w:szCs w:val="22"/>
        </w:rPr>
      </w:pPr>
      <w:r w:rsidRPr="00371DCB">
        <w:rPr>
          <w:rFonts w:ascii="Arial" w:hAnsi="Arial" w:cs="Arial"/>
          <w:sz w:val="22"/>
          <w:szCs w:val="22"/>
        </w:rPr>
        <w:t>Samples that appear to be collected according to the schedule of activities, which have the required amount of blood for a 5- to 6-mm punch and have the minimal required information (1 through 3 above), will be processed for</w:t>
      </w:r>
      <w:r w:rsidR="009658D3" w:rsidRPr="00371DCB">
        <w:rPr>
          <w:rFonts w:ascii="Arial" w:hAnsi="Arial" w:cs="Arial"/>
          <w:sz w:val="22"/>
          <w:szCs w:val="22"/>
        </w:rPr>
        <w:t xml:space="preserve"> investigational drug</w:t>
      </w:r>
      <w:r w:rsidRPr="00371DCB">
        <w:rPr>
          <w:rFonts w:ascii="Arial" w:hAnsi="Arial" w:cs="Arial"/>
          <w:sz w:val="22"/>
          <w:szCs w:val="22"/>
        </w:rPr>
        <w:t xml:space="preserve"> concentration</w:t>
      </w:r>
      <w:r w:rsidR="007F12A4" w:rsidRPr="00371DCB">
        <w:rPr>
          <w:rFonts w:ascii="Arial" w:hAnsi="Arial" w:cs="Arial"/>
          <w:sz w:val="22"/>
          <w:szCs w:val="22"/>
        </w:rPr>
        <w:t>s</w:t>
      </w:r>
      <w:r w:rsidRPr="00371DCB">
        <w:rPr>
          <w:rFonts w:ascii="Arial" w:hAnsi="Arial" w:cs="Arial"/>
          <w:sz w:val="22"/>
          <w:szCs w:val="22"/>
        </w:rPr>
        <w:t>.</w:t>
      </w:r>
    </w:p>
    <w:p w14:paraId="0B7E429E" w14:textId="77777777" w:rsidR="004465E0" w:rsidRPr="00371DCB" w:rsidRDefault="004465E0" w:rsidP="00FB2D39">
      <w:pPr>
        <w:jc w:val="both"/>
        <w:rPr>
          <w:rFonts w:ascii="Arial" w:hAnsi="Arial" w:cs="Arial"/>
          <w:sz w:val="22"/>
          <w:szCs w:val="22"/>
        </w:rPr>
      </w:pPr>
    </w:p>
    <w:p w14:paraId="282725B9" w14:textId="4623CC61" w:rsidR="00381D18" w:rsidRPr="00371DCB" w:rsidRDefault="00FC4C3A" w:rsidP="00FB2D39">
      <w:pPr>
        <w:jc w:val="both"/>
        <w:rPr>
          <w:rFonts w:ascii="Arial" w:eastAsia="MS Gothic" w:hAnsi="Arial" w:cs="Arial"/>
          <w:sz w:val="22"/>
          <w:szCs w:val="22"/>
          <w:lang w:eastAsia="ja-JP"/>
        </w:rPr>
      </w:pPr>
      <w:r w:rsidRPr="00371DCB">
        <w:rPr>
          <w:rFonts w:ascii="Arial" w:eastAsia="MS Gothic" w:hAnsi="Arial" w:cs="Arial"/>
          <w:sz w:val="22"/>
          <w:szCs w:val="22"/>
          <w:lang w:eastAsia="ja-JP"/>
        </w:rPr>
        <w:br w:type="page"/>
      </w:r>
    </w:p>
    <w:p w14:paraId="061FF011" w14:textId="09C9B732" w:rsidR="007C799B" w:rsidRPr="00371DCB" w:rsidRDefault="007C799B" w:rsidP="00FB2D39">
      <w:pPr>
        <w:pStyle w:val="Heading2non-numbered"/>
        <w:jc w:val="both"/>
      </w:pPr>
      <w:bookmarkStart w:id="192" w:name="_Toc38818808"/>
      <w:bookmarkStart w:id="193" w:name="Appendix_3"/>
      <w:r w:rsidRPr="00371DCB">
        <w:lastRenderedPageBreak/>
        <w:t>Appendix</w:t>
      </w:r>
      <w:r w:rsidR="004465E0" w:rsidRPr="00371DCB">
        <w:t xml:space="preserve"> 5</w:t>
      </w:r>
      <w:r w:rsidRPr="00371DCB">
        <w:t xml:space="preserve">: </w:t>
      </w:r>
      <w:r w:rsidR="009D2B4D" w:rsidRPr="00371DCB">
        <w:t xml:space="preserve">Site-Specific </w:t>
      </w:r>
      <w:bookmarkEnd w:id="192"/>
      <w:r w:rsidR="00F712AD" w:rsidRPr="00371DCB">
        <w:t>Capacity</w:t>
      </w:r>
    </w:p>
    <w:bookmarkEnd w:id="193"/>
    <w:p w14:paraId="4D59F598" w14:textId="2CBC1F6F" w:rsidR="00373815" w:rsidRPr="00371DCB" w:rsidRDefault="00373815" w:rsidP="00FB2D39">
      <w:pPr>
        <w:jc w:val="both"/>
        <w:rPr>
          <w:rFonts w:ascii="Arial" w:hAnsi="Arial" w:cs="Arial"/>
          <w:b/>
          <w:bCs/>
          <w:sz w:val="22"/>
          <w:szCs w:val="22"/>
        </w:rPr>
      </w:pPr>
      <w:r w:rsidRPr="00371DCB">
        <w:rPr>
          <w:rFonts w:ascii="Arial" w:hAnsi="Arial" w:cs="Arial"/>
          <w:b/>
          <w:bCs/>
          <w:sz w:val="22"/>
          <w:szCs w:val="22"/>
        </w:rPr>
        <w:t>Study Personnel</w:t>
      </w:r>
      <w:r w:rsidR="004F4C8E">
        <w:rPr>
          <w:rFonts w:ascii="Arial" w:hAnsi="Arial" w:cs="Arial"/>
          <w:b/>
          <w:bCs/>
          <w:sz w:val="22"/>
          <w:szCs w:val="22"/>
        </w:rPr>
        <w:t xml:space="preserve"> and responsibilities</w:t>
      </w:r>
    </w:p>
    <w:p w14:paraId="4CC368E7" w14:textId="31A725B4" w:rsidR="004F4C8E" w:rsidRPr="004F4C8E" w:rsidRDefault="004F4C8E" w:rsidP="00FB2D39">
      <w:pPr>
        <w:jc w:val="both"/>
        <w:rPr>
          <w:rFonts w:ascii="Arial" w:hAnsi="Arial" w:cs="Arial"/>
          <w:b/>
          <w:bCs/>
          <w:sz w:val="22"/>
          <w:szCs w:val="22"/>
        </w:rPr>
      </w:pPr>
      <w:r w:rsidRPr="004F4C8E">
        <w:rPr>
          <w:rFonts w:ascii="Arial" w:hAnsi="Arial" w:cs="Arial"/>
          <w:b/>
          <w:bCs/>
          <w:sz w:val="22"/>
          <w:szCs w:val="22"/>
        </w:rPr>
        <w:t>Study leads</w:t>
      </w:r>
    </w:p>
    <w:p w14:paraId="3F38F03D" w14:textId="68AA54C2"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PI:</w:t>
      </w:r>
      <w:r>
        <w:rPr>
          <w:rFonts w:ascii="Arial" w:hAnsi="Arial" w:cs="Arial"/>
          <w:sz w:val="22"/>
          <w:szCs w:val="22"/>
        </w:rPr>
        <w:t xml:space="preserve"> </w:t>
      </w:r>
      <w:r w:rsidRPr="00371DCB">
        <w:rPr>
          <w:rFonts w:ascii="Arial" w:hAnsi="Arial" w:cs="Arial"/>
          <w:sz w:val="22"/>
          <w:szCs w:val="22"/>
        </w:rPr>
        <w:t xml:space="preserve">Prof Mark Cotton, Stellenbosch University, </w:t>
      </w:r>
      <w:hyperlink r:id="rId33" w:history="1">
        <w:r w:rsidRPr="00371DCB">
          <w:rPr>
            <w:rStyle w:val="Hyperlink"/>
            <w:rFonts w:ascii="Arial" w:eastAsia="MS Gothic" w:hAnsi="Arial" w:cs="Arial"/>
            <w:sz w:val="22"/>
            <w:szCs w:val="22"/>
          </w:rPr>
          <w:t>mcot@sun.ac.za</w:t>
        </w:r>
      </w:hyperlink>
    </w:p>
    <w:p w14:paraId="221DDCFA" w14:textId="3E2378EE" w:rsidR="004F4C8E" w:rsidRDefault="004F4C8E" w:rsidP="00FB2D39">
      <w:pPr>
        <w:jc w:val="both"/>
        <w:rPr>
          <w:rFonts w:ascii="Arial" w:hAnsi="Arial" w:cs="Arial"/>
          <w:sz w:val="22"/>
          <w:szCs w:val="22"/>
        </w:rPr>
      </w:pPr>
      <w:r w:rsidRPr="00BB49F1">
        <w:rPr>
          <w:rFonts w:ascii="Arial" w:hAnsi="Arial" w:cs="Arial"/>
          <w:i/>
          <w:iCs/>
          <w:sz w:val="22"/>
          <w:szCs w:val="22"/>
          <w:u w:val="single"/>
        </w:rPr>
        <w:t>Co-PI and Lead:</w:t>
      </w:r>
      <w:r>
        <w:rPr>
          <w:rFonts w:ascii="Arial" w:hAnsi="Arial" w:cs="Arial"/>
          <w:sz w:val="22"/>
          <w:szCs w:val="22"/>
        </w:rPr>
        <w:t xml:space="preserve"> </w:t>
      </w:r>
      <w:r w:rsidRPr="00371DCB">
        <w:rPr>
          <w:rFonts w:ascii="Arial" w:hAnsi="Arial" w:cs="Arial"/>
          <w:sz w:val="22"/>
          <w:szCs w:val="22"/>
        </w:rPr>
        <w:t xml:space="preserve">Prof Eric Decloedt, Stellenbosch University, </w:t>
      </w:r>
      <w:hyperlink r:id="rId34" w:history="1">
        <w:r w:rsidRPr="00371DCB">
          <w:rPr>
            <w:rStyle w:val="Hyperlink"/>
            <w:rFonts w:ascii="Arial" w:hAnsi="Arial" w:cs="Arial"/>
            <w:sz w:val="22"/>
            <w:szCs w:val="22"/>
          </w:rPr>
          <w:t>ericdecloedt@sun.ac.za</w:t>
        </w:r>
      </w:hyperlink>
    </w:p>
    <w:p w14:paraId="06652C0E" w14:textId="4AE62D03"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Co-PI:</w:t>
      </w:r>
      <w:r>
        <w:rPr>
          <w:rFonts w:ascii="Arial" w:hAnsi="Arial" w:cs="Arial"/>
          <w:sz w:val="22"/>
          <w:szCs w:val="22"/>
        </w:rPr>
        <w:t xml:space="preserve"> </w:t>
      </w:r>
      <w:r w:rsidRPr="00371DCB">
        <w:rPr>
          <w:rFonts w:ascii="Arial" w:hAnsi="Arial" w:cs="Arial"/>
          <w:sz w:val="22"/>
          <w:szCs w:val="22"/>
        </w:rPr>
        <w:t xml:space="preserve">Prof Jean </w:t>
      </w:r>
      <w:proofErr w:type="spellStart"/>
      <w:r w:rsidRPr="00371DCB">
        <w:rPr>
          <w:rFonts w:ascii="Arial" w:hAnsi="Arial" w:cs="Arial"/>
          <w:sz w:val="22"/>
          <w:szCs w:val="22"/>
        </w:rPr>
        <w:t>Nachega</w:t>
      </w:r>
      <w:proofErr w:type="spellEnd"/>
      <w:r w:rsidRPr="00371DCB">
        <w:rPr>
          <w:rFonts w:ascii="Arial" w:hAnsi="Arial" w:cs="Arial"/>
          <w:sz w:val="22"/>
          <w:szCs w:val="22"/>
        </w:rPr>
        <w:t xml:space="preserve">, Stellenbosch University, </w:t>
      </w:r>
      <w:hyperlink r:id="rId35" w:history="1">
        <w:r w:rsidRPr="00371DCB">
          <w:rPr>
            <w:rStyle w:val="Hyperlink"/>
            <w:rFonts w:ascii="Arial" w:hAnsi="Arial" w:cs="Arial"/>
            <w:sz w:val="22"/>
            <w:szCs w:val="22"/>
          </w:rPr>
          <w:t>jnacheg1@jhu.edu</w:t>
        </w:r>
      </w:hyperlink>
      <w:r w:rsidRPr="00371DCB">
        <w:rPr>
          <w:rFonts w:ascii="Arial" w:hAnsi="Arial" w:cs="Arial"/>
          <w:sz w:val="22"/>
          <w:szCs w:val="22"/>
        </w:rPr>
        <w:t xml:space="preserve"> </w:t>
      </w:r>
    </w:p>
    <w:p w14:paraId="745E49EC" w14:textId="08230965" w:rsidR="004F4C8E" w:rsidRDefault="004F4C8E" w:rsidP="00FB2D39">
      <w:pPr>
        <w:jc w:val="both"/>
        <w:rPr>
          <w:rFonts w:ascii="Arial" w:hAnsi="Arial" w:cs="Arial"/>
          <w:sz w:val="22"/>
          <w:szCs w:val="22"/>
        </w:rPr>
      </w:pPr>
      <w:r w:rsidRPr="00BB49F1">
        <w:rPr>
          <w:rFonts w:ascii="Arial" w:hAnsi="Arial" w:cs="Arial"/>
          <w:i/>
          <w:iCs/>
          <w:sz w:val="22"/>
          <w:szCs w:val="22"/>
          <w:u w:val="single"/>
        </w:rPr>
        <w:t>Co-PI:</w:t>
      </w:r>
      <w:r>
        <w:rPr>
          <w:rFonts w:ascii="Arial" w:hAnsi="Arial" w:cs="Arial"/>
          <w:sz w:val="22"/>
          <w:szCs w:val="22"/>
        </w:rPr>
        <w:t xml:space="preserve"> </w:t>
      </w:r>
      <w:r w:rsidRPr="00371DCB">
        <w:rPr>
          <w:rFonts w:ascii="Arial" w:hAnsi="Arial" w:cs="Arial"/>
          <w:sz w:val="22"/>
          <w:szCs w:val="22"/>
        </w:rPr>
        <w:t xml:space="preserve">Prof Landon Myer, University of Cape Town, </w:t>
      </w:r>
      <w:hyperlink r:id="rId36" w:history="1">
        <w:r w:rsidRPr="00371DCB">
          <w:rPr>
            <w:rStyle w:val="Hyperlink"/>
            <w:rFonts w:ascii="Arial" w:hAnsi="Arial" w:cs="Arial"/>
            <w:sz w:val="22"/>
            <w:szCs w:val="22"/>
          </w:rPr>
          <w:t>landon.myer@uct.ac.za</w:t>
        </w:r>
      </w:hyperlink>
      <w:r w:rsidRPr="00371DCB">
        <w:rPr>
          <w:rFonts w:ascii="Arial" w:hAnsi="Arial" w:cs="Arial"/>
          <w:sz w:val="22"/>
          <w:szCs w:val="22"/>
        </w:rPr>
        <w:t xml:space="preserve"> </w:t>
      </w:r>
    </w:p>
    <w:p w14:paraId="0FB823F0" w14:textId="53966C3E" w:rsidR="004F4C8E" w:rsidRPr="004F4C8E" w:rsidRDefault="004F4C8E" w:rsidP="00FB2D39">
      <w:pPr>
        <w:jc w:val="both"/>
        <w:rPr>
          <w:rFonts w:ascii="Arial" w:hAnsi="Arial" w:cs="Arial"/>
          <w:b/>
          <w:bCs/>
          <w:sz w:val="22"/>
          <w:szCs w:val="22"/>
        </w:rPr>
      </w:pPr>
      <w:r w:rsidRPr="004F4C8E">
        <w:rPr>
          <w:rFonts w:ascii="Arial" w:hAnsi="Arial" w:cs="Arial"/>
          <w:b/>
          <w:bCs/>
          <w:sz w:val="22"/>
          <w:szCs w:val="22"/>
        </w:rPr>
        <w:t>Clinical Pharmacology</w:t>
      </w:r>
    </w:p>
    <w:p w14:paraId="601439D6" w14:textId="26F76133"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Dr Roland van Rensburg, Stellenbosch University, </w:t>
      </w:r>
      <w:hyperlink r:id="rId37" w:history="1">
        <w:r w:rsidRPr="00371DCB">
          <w:rPr>
            <w:rStyle w:val="Hyperlink"/>
            <w:rFonts w:ascii="Arial" w:hAnsi="Arial" w:cs="Arial"/>
            <w:sz w:val="22"/>
            <w:szCs w:val="22"/>
          </w:rPr>
          <w:t>rolandmed@gmail.com</w:t>
        </w:r>
      </w:hyperlink>
    </w:p>
    <w:p w14:paraId="02FBAC20" w14:textId="67B26912"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Dr </w:t>
      </w:r>
      <w:proofErr w:type="spellStart"/>
      <w:r w:rsidRPr="00371DCB">
        <w:rPr>
          <w:rFonts w:ascii="Arial" w:hAnsi="Arial" w:cs="Arial"/>
          <w:sz w:val="22"/>
          <w:szCs w:val="22"/>
        </w:rPr>
        <w:t>Veshni</w:t>
      </w:r>
      <w:proofErr w:type="spellEnd"/>
      <w:r w:rsidRPr="00371DCB">
        <w:rPr>
          <w:rFonts w:ascii="Arial" w:hAnsi="Arial" w:cs="Arial"/>
          <w:sz w:val="22"/>
          <w:szCs w:val="22"/>
        </w:rPr>
        <w:t xml:space="preserve"> Pillay Fuentes-</w:t>
      </w:r>
      <w:proofErr w:type="spellStart"/>
      <w:r w:rsidRPr="00371DCB">
        <w:rPr>
          <w:rFonts w:ascii="Arial" w:hAnsi="Arial" w:cs="Arial"/>
          <w:sz w:val="22"/>
          <w:szCs w:val="22"/>
        </w:rPr>
        <w:t>Lorente</w:t>
      </w:r>
      <w:proofErr w:type="spellEnd"/>
      <w:r w:rsidRPr="00371DCB">
        <w:rPr>
          <w:rFonts w:ascii="Arial" w:hAnsi="Arial" w:cs="Arial"/>
          <w:sz w:val="22"/>
          <w:szCs w:val="22"/>
        </w:rPr>
        <w:t>,</w:t>
      </w:r>
      <w:r w:rsidRPr="004F4C8E">
        <w:rPr>
          <w:rFonts w:ascii="Arial" w:hAnsi="Arial" w:cs="Arial"/>
          <w:sz w:val="22"/>
          <w:szCs w:val="22"/>
        </w:rPr>
        <w:t xml:space="preserve"> </w:t>
      </w:r>
      <w:r w:rsidRPr="00371DCB">
        <w:rPr>
          <w:rFonts w:ascii="Arial" w:hAnsi="Arial" w:cs="Arial"/>
          <w:sz w:val="22"/>
          <w:szCs w:val="22"/>
        </w:rPr>
        <w:t xml:space="preserve">Stellenbosch University, </w:t>
      </w:r>
      <w:hyperlink r:id="rId38" w:history="1">
        <w:r w:rsidRPr="00371DCB">
          <w:rPr>
            <w:rStyle w:val="Hyperlink"/>
            <w:rFonts w:ascii="Arial" w:hAnsi="Arial" w:cs="Arial"/>
            <w:sz w:val="22"/>
            <w:szCs w:val="22"/>
          </w:rPr>
          <w:t>14847795@sun.ac.za</w:t>
        </w:r>
      </w:hyperlink>
    </w:p>
    <w:p w14:paraId="017A5608" w14:textId="0E5911B1"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PK analytical analysis:</w:t>
      </w:r>
      <w:r>
        <w:rPr>
          <w:rFonts w:ascii="Arial" w:hAnsi="Arial" w:cs="Arial"/>
          <w:sz w:val="22"/>
          <w:szCs w:val="22"/>
        </w:rPr>
        <w:t xml:space="preserve"> </w:t>
      </w:r>
      <w:r w:rsidRPr="00371DCB">
        <w:rPr>
          <w:rFonts w:ascii="Arial" w:hAnsi="Arial" w:cs="Arial"/>
          <w:sz w:val="22"/>
          <w:szCs w:val="22"/>
        </w:rPr>
        <w:t xml:space="preserve">Dr Tracy </w:t>
      </w:r>
      <w:proofErr w:type="spellStart"/>
      <w:r w:rsidRPr="00371DCB">
        <w:rPr>
          <w:rFonts w:ascii="Arial" w:hAnsi="Arial" w:cs="Arial"/>
          <w:sz w:val="22"/>
          <w:szCs w:val="22"/>
        </w:rPr>
        <w:t>Kellermann</w:t>
      </w:r>
      <w:proofErr w:type="spellEnd"/>
      <w:r w:rsidRPr="00371DCB">
        <w:rPr>
          <w:rFonts w:ascii="Arial" w:hAnsi="Arial" w:cs="Arial"/>
          <w:sz w:val="22"/>
          <w:szCs w:val="22"/>
        </w:rPr>
        <w:t>,</w:t>
      </w:r>
      <w:r w:rsidRPr="004F4C8E">
        <w:rPr>
          <w:rFonts w:ascii="Arial" w:hAnsi="Arial" w:cs="Arial"/>
          <w:sz w:val="22"/>
          <w:szCs w:val="22"/>
        </w:rPr>
        <w:t xml:space="preserve"> </w:t>
      </w:r>
      <w:r w:rsidRPr="00371DCB">
        <w:rPr>
          <w:rFonts w:ascii="Arial" w:hAnsi="Arial" w:cs="Arial"/>
          <w:sz w:val="22"/>
          <w:szCs w:val="22"/>
        </w:rPr>
        <w:t xml:space="preserve">Stellenbosch University, </w:t>
      </w:r>
      <w:hyperlink r:id="rId39" w:history="1">
        <w:r w:rsidRPr="005230EB">
          <w:rPr>
            <w:rStyle w:val="Hyperlink"/>
            <w:rFonts w:ascii="Arial" w:hAnsi="Arial" w:cs="Arial"/>
            <w:sz w:val="22"/>
            <w:szCs w:val="22"/>
          </w:rPr>
          <w:t>tkellermann@sun.ac.za</w:t>
        </w:r>
      </w:hyperlink>
      <w:r>
        <w:rPr>
          <w:rFonts w:ascii="Arial" w:hAnsi="Arial" w:cs="Arial"/>
          <w:sz w:val="22"/>
          <w:szCs w:val="22"/>
        </w:rPr>
        <w:t xml:space="preserve"> </w:t>
      </w:r>
    </w:p>
    <w:p w14:paraId="637A9DC6" w14:textId="39948BE7" w:rsidR="004F4C8E" w:rsidRPr="004F4C8E" w:rsidRDefault="004F4C8E" w:rsidP="00FB2D39">
      <w:pPr>
        <w:jc w:val="both"/>
        <w:rPr>
          <w:rFonts w:ascii="Arial" w:hAnsi="Arial" w:cs="Arial"/>
          <w:color w:val="0000FF" w:themeColor="hyperlink"/>
          <w:sz w:val="22"/>
          <w:szCs w:val="22"/>
          <w:u w:val="single"/>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Prof Helmuth Reuter, Stellenbosch University, </w:t>
      </w:r>
      <w:hyperlink r:id="rId40" w:history="1">
        <w:r w:rsidRPr="00371DCB">
          <w:rPr>
            <w:rStyle w:val="Hyperlink"/>
            <w:rFonts w:ascii="Arial" w:hAnsi="Arial" w:cs="Arial"/>
            <w:sz w:val="22"/>
            <w:szCs w:val="22"/>
          </w:rPr>
          <w:t>hr@sun.ac.za</w:t>
        </w:r>
      </w:hyperlink>
    </w:p>
    <w:p w14:paraId="126E34DB" w14:textId="4D6294EB" w:rsidR="004F4C8E" w:rsidRPr="004F4C8E" w:rsidRDefault="004F4C8E" w:rsidP="00FB2D39">
      <w:pPr>
        <w:jc w:val="both"/>
        <w:rPr>
          <w:rFonts w:ascii="Arial" w:hAnsi="Arial" w:cs="Arial"/>
          <w:b/>
          <w:bCs/>
          <w:sz w:val="22"/>
          <w:szCs w:val="22"/>
        </w:rPr>
      </w:pPr>
      <w:r w:rsidRPr="004F4C8E">
        <w:rPr>
          <w:rFonts w:ascii="Arial" w:hAnsi="Arial" w:cs="Arial"/>
          <w:b/>
          <w:bCs/>
          <w:sz w:val="22"/>
          <w:szCs w:val="22"/>
        </w:rPr>
        <w:t>Infectious Diseases</w:t>
      </w:r>
      <w:r w:rsidR="00097C0A">
        <w:rPr>
          <w:rFonts w:ascii="Arial" w:hAnsi="Arial" w:cs="Arial"/>
          <w:b/>
          <w:bCs/>
          <w:sz w:val="22"/>
          <w:szCs w:val="22"/>
        </w:rPr>
        <w:t xml:space="preserve"> (Clinical liaison) </w:t>
      </w:r>
    </w:p>
    <w:p w14:paraId="15A40BA0" w14:textId="1C804015"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Prof Helena Rabie, Stellenbosch University, </w:t>
      </w:r>
      <w:hyperlink r:id="rId41" w:history="1">
        <w:r w:rsidRPr="00371DCB">
          <w:rPr>
            <w:rStyle w:val="Hyperlink"/>
            <w:rFonts w:ascii="Arial" w:eastAsia="MS Gothic" w:hAnsi="Arial" w:cs="Arial"/>
            <w:sz w:val="22"/>
            <w:szCs w:val="22"/>
          </w:rPr>
          <w:t>hrabie@sun.ac.za</w:t>
        </w:r>
      </w:hyperlink>
    </w:p>
    <w:p w14:paraId="515EA51B" w14:textId="7F272371"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Dr </w:t>
      </w:r>
      <w:proofErr w:type="spellStart"/>
      <w:r w:rsidRPr="00371DCB">
        <w:rPr>
          <w:rFonts w:ascii="Arial" w:hAnsi="Arial" w:cs="Arial"/>
          <w:sz w:val="22"/>
          <w:szCs w:val="22"/>
        </w:rPr>
        <w:t>Jantjie</w:t>
      </w:r>
      <w:proofErr w:type="spellEnd"/>
      <w:r w:rsidRPr="00371DCB">
        <w:rPr>
          <w:rFonts w:ascii="Arial" w:hAnsi="Arial" w:cs="Arial"/>
          <w:sz w:val="22"/>
          <w:szCs w:val="22"/>
        </w:rPr>
        <w:t xml:space="preserve"> </w:t>
      </w:r>
      <w:proofErr w:type="spellStart"/>
      <w:r w:rsidRPr="00371DCB">
        <w:rPr>
          <w:rFonts w:ascii="Arial" w:hAnsi="Arial" w:cs="Arial"/>
          <w:sz w:val="22"/>
          <w:szCs w:val="22"/>
        </w:rPr>
        <w:t>Taljaard</w:t>
      </w:r>
      <w:proofErr w:type="spellEnd"/>
      <w:r w:rsidRPr="00371DCB">
        <w:rPr>
          <w:rFonts w:ascii="Arial" w:hAnsi="Arial" w:cs="Arial"/>
          <w:sz w:val="22"/>
          <w:szCs w:val="22"/>
        </w:rPr>
        <w:t xml:space="preserve">, Stellenbosch University, </w:t>
      </w:r>
      <w:hyperlink r:id="rId42" w:history="1">
        <w:r w:rsidRPr="00371DCB">
          <w:rPr>
            <w:rStyle w:val="Hyperlink"/>
            <w:rFonts w:ascii="Arial" w:hAnsi="Arial" w:cs="Arial"/>
            <w:sz w:val="22"/>
            <w:szCs w:val="22"/>
          </w:rPr>
          <w:t>jjt@sun.ac.za</w:t>
        </w:r>
      </w:hyperlink>
    </w:p>
    <w:p w14:paraId="554118FD" w14:textId="1B87A0A3" w:rsidR="004F4C8E"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Dr </w:t>
      </w:r>
      <w:proofErr w:type="spellStart"/>
      <w:r>
        <w:rPr>
          <w:rFonts w:ascii="Arial" w:hAnsi="Arial" w:cs="Arial"/>
          <w:sz w:val="22"/>
          <w:szCs w:val="22"/>
        </w:rPr>
        <w:t>Arifa</w:t>
      </w:r>
      <w:proofErr w:type="spellEnd"/>
      <w:r>
        <w:rPr>
          <w:rFonts w:ascii="Arial" w:hAnsi="Arial" w:cs="Arial"/>
          <w:sz w:val="22"/>
          <w:szCs w:val="22"/>
        </w:rPr>
        <w:t xml:space="preserve"> Parker, Stellenbosch University, aparker@sun.ac.za</w:t>
      </w:r>
    </w:p>
    <w:p w14:paraId="699729AB" w14:textId="3D2A46FC" w:rsidR="004F4C8E"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Dr Hans </w:t>
      </w:r>
      <w:proofErr w:type="spellStart"/>
      <w:r w:rsidRPr="00371DCB">
        <w:rPr>
          <w:rFonts w:ascii="Arial" w:hAnsi="Arial" w:cs="Arial"/>
          <w:sz w:val="22"/>
          <w:szCs w:val="22"/>
        </w:rPr>
        <w:t>Prozesky</w:t>
      </w:r>
      <w:proofErr w:type="spellEnd"/>
      <w:r w:rsidRPr="00371DCB">
        <w:rPr>
          <w:rFonts w:ascii="Arial" w:hAnsi="Arial" w:cs="Arial"/>
          <w:sz w:val="22"/>
          <w:szCs w:val="22"/>
        </w:rPr>
        <w:t xml:space="preserve">, Stellenbosch University, </w:t>
      </w:r>
      <w:hyperlink r:id="rId43" w:history="1">
        <w:r w:rsidRPr="00371DCB">
          <w:rPr>
            <w:rStyle w:val="Hyperlink"/>
            <w:rFonts w:ascii="Arial" w:hAnsi="Arial" w:cs="Arial"/>
            <w:sz w:val="22"/>
            <w:szCs w:val="22"/>
          </w:rPr>
          <w:t>hwp</w:t>
        </w:r>
        <w:bookmarkStart w:id="194" w:name="_Hlk36469041"/>
        <w:r w:rsidRPr="00371DCB">
          <w:rPr>
            <w:rStyle w:val="Hyperlink"/>
            <w:rFonts w:ascii="Arial" w:hAnsi="Arial" w:cs="Arial"/>
            <w:sz w:val="22"/>
            <w:szCs w:val="22"/>
          </w:rPr>
          <w:t>@</w:t>
        </w:r>
        <w:bookmarkEnd w:id="194"/>
        <w:r w:rsidRPr="00371DCB">
          <w:rPr>
            <w:rStyle w:val="Hyperlink"/>
            <w:rFonts w:ascii="Arial" w:hAnsi="Arial" w:cs="Arial"/>
            <w:sz w:val="22"/>
            <w:szCs w:val="22"/>
          </w:rPr>
          <w:t>sun.ac.za</w:t>
        </w:r>
      </w:hyperlink>
    </w:p>
    <w:p w14:paraId="240D539F" w14:textId="19F20D1D"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Dr </w:t>
      </w:r>
      <w:proofErr w:type="spellStart"/>
      <w:r w:rsidRPr="00371DCB">
        <w:rPr>
          <w:rFonts w:ascii="Arial" w:hAnsi="Arial" w:cs="Arial"/>
          <w:sz w:val="22"/>
          <w:szCs w:val="22"/>
        </w:rPr>
        <w:t>Marije</w:t>
      </w:r>
      <w:proofErr w:type="spellEnd"/>
      <w:r w:rsidRPr="00371DCB">
        <w:rPr>
          <w:rFonts w:ascii="Arial" w:hAnsi="Arial" w:cs="Arial"/>
          <w:sz w:val="22"/>
          <w:szCs w:val="22"/>
        </w:rPr>
        <w:t xml:space="preserve"> van </w:t>
      </w:r>
      <w:proofErr w:type="spellStart"/>
      <w:r w:rsidRPr="00371DCB">
        <w:rPr>
          <w:rFonts w:ascii="Arial" w:hAnsi="Arial" w:cs="Arial"/>
          <w:sz w:val="22"/>
          <w:szCs w:val="22"/>
        </w:rPr>
        <w:t>Schalkwyk</w:t>
      </w:r>
      <w:proofErr w:type="spellEnd"/>
      <w:r w:rsidRPr="00371DCB">
        <w:rPr>
          <w:rFonts w:ascii="Arial" w:hAnsi="Arial" w:cs="Arial"/>
          <w:sz w:val="22"/>
          <w:szCs w:val="22"/>
        </w:rPr>
        <w:t xml:space="preserve">, Stellenbosch University, </w:t>
      </w:r>
      <w:hyperlink r:id="rId44" w:history="1">
        <w:r w:rsidRPr="00371DCB">
          <w:rPr>
            <w:rStyle w:val="Hyperlink"/>
            <w:rFonts w:ascii="Arial" w:hAnsi="Arial" w:cs="Arial"/>
            <w:sz w:val="22"/>
            <w:szCs w:val="22"/>
          </w:rPr>
          <w:t>marije@sun.ac.za</w:t>
        </w:r>
      </w:hyperlink>
    </w:p>
    <w:p w14:paraId="4A06C7A5" w14:textId="3156F4EE" w:rsidR="004F4C8E" w:rsidRDefault="004F4C8E" w:rsidP="00FB2D39">
      <w:pPr>
        <w:jc w:val="both"/>
        <w:rPr>
          <w:rFonts w:ascii="Arial" w:hAnsi="Arial" w:cs="Arial"/>
          <w:b/>
          <w:bCs/>
          <w:sz w:val="22"/>
          <w:szCs w:val="22"/>
        </w:rPr>
      </w:pPr>
      <w:r w:rsidRPr="004F4C8E">
        <w:rPr>
          <w:rFonts w:ascii="Arial" w:hAnsi="Arial" w:cs="Arial"/>
          <w:b/>
          <w:bCs/>
          <w:sz w:val="22"/>
          <w:szCs w:val="22"/>
        </w:rPr>
        <w:t>FAMCRU</w:t>
      </w:r>
    </w:p>
    <w:p w14:paraId="10763DE3" w14:textId="3D781817" w:rsidR="004F4C8E"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Dr Shaun Barnabas, Stellenbosch University, </w:t>
      </w:r>
      <w:hyperlink r:id="rId45" w:history="1">
        <w:r w:rsidRPr="00371DCB">
          <w:rPr>
            <w:rStyle w:val="Hyperlink"/>
            <w:rFonts w:ascii="Arial" w:hAnsi="Arial" w:cs="Arial"/>
            <w:sz w:val="22"/>
            <w:szCs w:val="22"/>
          </w:rPr>
          <w:t>barnabas@sun.ac.za</w:t>
        </w:r>
      </w:hyperlink>
    </w:p>
    <w:p w14:paraId="530FD786" w14:textId="75EDC3A9"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Dr Samantha Fry, Stellenbosch University, </w:t>
      </w:r>
      <w:hyperlink r:id="rId46" w:history="1">
        <w:r w:rsidRPr="00371DCB">
          <w:rPr>
            <w:rStyle w:val="Hyperlink"/>
            <w:rFonts w:ascii="Arial" w:hAnsi="Arial" w:cs="Arial"/>
            <w:sz w:val="22"/>
            <w:szCs w:val="22"/>
          </w:rPr>
          <w:t>fry@sun.ac.za</w:t>
        </w:r>
      </w:hyperlink>
    </w:p>
    <w:p w14:paraId="41250877" w14:textId="413918B4" w:rsidR="006C00C2" w:rsidRPr="006C00C2" w:rsidRDefault="006C00C2" w:rsidP="006C00C2">
      <w:pPr>
        <w:rPr>
          <w:rFonts w:ascii="Arial" w:hAnsi="Arial" w:cs="Arial"/>
          <w:sz w:val="22"/>
        </w:rPr>
      </w:pPr>
      <w:r w:rsidRPr="00BB49F1">
        <w:rPr>
          <w:rFonts w:ascii="Arial" w:hAnsi="Arial" w:cs="Arial"/>
          <w:i/>
          <w:iCs/>
          <w:sz w:val="22"/>
          <w:szCs w:val="22"/>
          <w:u w:val="single"/>
        </w:rPr>
        <w:t>Co-I:</w:t>
      </w:r>
      <w:r>
        <w:rPr>
          <w:rFonts w:ascii="Arial" w:hAnsi="Arial" w:cs="Arial"/>
          <w:sz w:val="22"/>
          <w:szCs w:val="22"/>
        </w:rPr>
        <w:t xml:space="preserve"> </w:t>
      </w:r>
      <w:r w:rsidRPr="006C00C2">
        <w:rPr>
          <w:rFonts w:ascii="Arial" w:hAnsi="Arial" w:cs="Arial"/>
          <w:sz w:val="22"/>
        </w:rPr>
        <w:t>Dr Maria Magdalena Groenewald</w:t>
      </w:r>
    </w:p>
    <w:p w14:paraId="44C288D5" w14:textId="64499DF2" w:rsidR="006C00C2" w:rsidRPr="006C00C2" w:rsidRDefault="006C00C2" w:rsidP="006C00C2">
      <w:pPr>
        <w:rPr>
          <w:rFonts w:ascii="Arial" w:hAnsi="Arial" w:cs="Arial"/>
          <w:sz w:val="22"/>
        </w:rPr>
      </w:pPr>
      <w:r w:rsidRPr="00BB49F1">
        <w:rPr>
          <w:rFonts w:ascii="Arial" w:hAnsi="Arial" w:cs="Arial"/>
          <w:i/>
          <w:iCs/>
          <w:sz w:val="22"/>
          <w:szCs w:val="22"/>
          <w:u w:val="single"/>
        </w:rPr>
        <w:t>Co-I:</w:t>
      </w:r>
      <w:r>
        <w:rPr>
          <w:rFonts w:ascii="Arial" w:hAnsi="Arial" w:cs="Arial"/>
          <w:sz w:val="22"/>
          <w:szCs w:val="22"/>
        </w:rPr>
        <w:t xml:space="preserve"> </w:t>
      </w:r>
      <w:r w:rsidRPr="006C00C2">
        <w:rPr>
          <w:rFonts w:ascii="Arial" w:hAnsi="Arial" w:cs="Arial"/>
          <w:sz w:val="22"/>
        </w:rPr>
        <w:t xml:space="preserve">Dr Yasmeen </w:t>
      </w:r>
      <w:proofErr w:type="spellStart"/>
      <w:r w:rsidRPr="006C00C2">
        <w:rPr>
          <w:rFonts w:ascii="Arial" w:hAnsi="Arial" w:cs="Arial"/>
          <w:sz w:val="22"/>
        </w:rPr>
        <w:t>Alkhalwaya</w:t>
      </w:r>
      <w:proofErr w:type="spellEnd"/>
    </w:p>
    <w:p w14:paraId="760837C8" w14:textId="357B08EC" w:rsidR="006C00C2" w:rsidRPr="006C00C2" w:rsidRDefault="006C00C2" w:rsidP="006C00C2">
      <w:pPr>
        <w:rPr>
          <w:rFonts w:ascii="Arial" w:hAnsi="Arial" w:cs="Arial"/>
          <w:sz w:val="22"/>
        </w:rPr>
      </w:pPr>
      <w:r w:rsidRPr="00BB49F1">
        <w:rPr>
          <w:rFonts w:ascii="Arial" w:hAnsi="Arial" w:cs="Arial"/>
          <w:i/>
          <w:iCs/>
          <w:sz w:val="22"/>
          <w:szCs w:val="22"/>
          <w:u w:val="single"/>
        </w:rPr>
        <w:t>Co-I:</w:t>
      </w:r>
      <w:r>
        <w:rPr>
          <w:rFonts w:ascii="Arial" w:hAnsi="Arial" w:cs="Arial"/>
          <w:sz w:val="22"/>
          <w:szCs w:val="22"/>
        </w:rPr>
        <w:t xml:space="preserve"> </w:t>
      </w:r>
      <w:r w:rsidRPr="006C00C2">
        <w:rPr>
          <w:rFonts w:ascii="Arial" w:hAnsi="Arial" w:cs="Arial"/>
          <w:sz w:val="22"/>
        </w:rPr>
        <w:t>Dr Caro-lee Saal</w:t>
      </w:r>
    </w:p>
    <w:p w14:paraId="6731B3CE" w14:textId="6F860D18"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Manager:</w:t>
      </w:r>
      <w:r>
        <w:rPr>
          <w:rFonts w:ascii="Arial" w:hAnsi="Arial" w:cs="Arial"/>
          <w:sz w:val="22"/>
          <w:szCs w:val="22"/>
        </w:rPr>
        <w:t xml:space="preserve"> </w:t>
      </w:r>
      <w:r w:rsidRPr="00371DCB">
        <w:rPr>
          <w:rFonts w:ascii="Arial" w:hAnsi="Arial" w:cs="Arial"/>
          <w:sz w:val="22"/>
          <w:szCs w:val="22"/>
        </w:rPr>
        <w:t xml:space="preserve">Mr George Fourie, Stellenbosch University, </w:t>
      </w:r>
      <w:hyperlink r:id="rId47" w:history="1">
        <w:r w:rsidRPr="00371DCB">
          <w:rPr>
            <w:rStyle w:val="Hyperlink"/>
            <w:rFonts w:ascii="Arial" w:hAnsi="Arial" w:cs="Arial"/>
            <w:sz w:val="22"/>
            <w:szCs w:val="22"/>
          </w:rPr>
          <w:t>georgef@sun.ac.za</w:t>
        </w:r>
      </w:hyperlink>
    </w:p>
    <w:p w14:paraId="78CBD3FA" w14:textId="603F52B4"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Pharmacist:</w:t>
      </w:r>
      <w:r>
        <w:rPr>
          <w:rFonts w:ascii="Arial" w:hAnsi="Arial" w:cs="Arial"/>
          <w:sz w:val="22"/>
          <w:szCs w:val="22"/>
        </w:rPr>
        <w:t xml:space="preserve"> </w:t>
      </w:r>
      <w:r w:rsidRPr="00371DCB">
        <w:rPr>
          <w:rFonts w:ascii="Arial" w:hAnsi="Arial" w:cs="Arial"/>
          <w:sz w:val="22"/>
          <w:szCs w:val="22"/>
        </w:rPr>
        <w:t xml:space="preserve">Ms Sonja Pieterse, Stellenbosch University, </w:t>
      </w:r>
      <w:hyperlink r:id="rId48" w:history="1">
        <w:r w:rsidRPr="00371DCB">
          <w:rPr>
            <w:rStyle w:val="Hyperlink"/>
            <w:rFonts w:ascii="Arial" w:hAnsi="Arial" w:cs="Arial"/>
            <w:sz w:val="22"/>
            <w:szCs w:val="22"/>
          </w:rPr>
          <w:t>sonjap@sun.ac.za</w:t>
        </w:r>
      </w:hyperlink>
    </w:p>
    <w:p w14:paraId="62B6AC95" w14:textId="77777777" w:rsidR="00530B12" w:rsidRPr="00530B12" w:rsidRDefault="004F4C8E" w:rsidP="00530B12">
      <w:pPr>
        <w:rPr>
          <w:rFonts w:ascii="Arial" w:hAnsi="Arial" w:cs="Arial"/>
          <w:sz w:val="22"/>
          <w:szCs w:val="22"/>
        </w:rPr>
      </w:pPr>
      <w:r w:rsidRPr="00BB49F1">
        <w:rPr>
          <w:rFonts w:ascii="Arial" w:hAnsi="Arial" w:cs="Arial"/>
          <w:i/>
          <w:iCs/>
          <w:sz w:val="22"/>
          <w:szCs w:val="22"/>
          <w:u w:val="single"/>
        </w:rPr>
        <w:t>Study co-ordinator:</w:t>
      </w:r>
      <w:r>
        <w:rPr>
          <w:rFonts w:ascii="Arial" w:hAnsi="Arial" w:cs="Arial"/>
          <w:sz w:val="22"/>
          <w:szCs w:val="22"/>
        </w:rPr>
        <w:t xml:space="preserve"> </w:t>
      </w:r>
      <w:r w:rsidR="00530B12" w:rsidRPr="00530B12">
        <w:rPr>
          <w:rFonts w:ascii="Arial" w:hAnsi="Arial" w:cs="Arial"/>
          <w:sz w:val="22"/>
          <w:szCs w:val="22"/>
        </w:rPr>
        <w:t xml:space="preserve">Ms </w:t>
      </w:r>
      <w:proofErr w:type="spellStart"/>
      <w:r w:rsidR="00530B12" w:rsidRPr="00530B12">
        <w:rPr>
          <w:rFonts w:ascii="Arial" w:hAnsi="Arial" w:cs="Arial"/>
          <w:sz w:val="22"/>
          <w:szCs w:val="22"/>
        </w:rPr>
        <w:t>Caroldine</w:t>
      </w:r>
      <w:proofErr w:type="spellEnd"/>
      <w:r w:rsidR="00530B12" w:rsidRPr="00530B12">
        <w:rPr>
          <w:rFonts w:ascii="Arial" w:hAnsi="Arial" w:cs="Arial"/>
          <w:sz w:val="22"/>
          <w:szCs w:val="22"/>
        </w:rPr>
        <w:t xml:space="preserve"> Neal, Stellenbosch University, </w:t>
      </w:r>
      <w:hyperlink r:id="rId49" w:tooltip="mailto:neal@sun.ac.za" w:history="1">
        <w:r w:rsidR="00530B12" w:rsidRPr="00530B12">
          <w:rPr>
            <w:rFonts w:ascii="Arial" w:hAnsi="Arial" w:cs="Arial"/>
            <w:sz w:val="22"/>
            <w:szCs w:val="22"/>
          </w:rPr>
          <w:t>neal@sun.ac.za</w:t>
        </w:r>
      </w:hyperlink>
    </w:p>
    <w:p w14:paraId="39EDDD27" w14:textId="7E4633D7" w:rsidR="004F4C8E" w:rsidRPr="00371DCB" w:rsidRDefault="004F4C8E" w:rsidP="00530B12">
      <w:pPr>
        <w:rPr>
          <w:rFonts w:ascii="Arial" w:hAnsi="Arial" w:cs="Arial"/>
          <w:sz w:val="22"/>
          <w:szCs w:val="22"/>
        </w:rPr>
      </w:pPr>
      <w:r w:rsidRPr="00BB49F1">
        <w:rPr>
          <w:rFonts w:ascii="Arial" w:hAnsi="Arial" w:cs="Arial"/>
          <w:i/>
          <w:iCs/>
          <w:sz w:val="22"/>
          <w:szCs w:val="22"/>
          <w:u w:val="single"/>
        </w:rPr>
        <w:t>Data manager:</w:t>
      </w:r>
      <w:r>
        <w:rPr>
          <w:rFonts w:ascii="Arial" w:hAnsi="Arial" w:cs="Arial"/>
          <w:sz w:val="22"/>
          <w:szCs w:val="22"/>
        </w:rPr>
        <w:t xml:space="preserve"> </w:t>
      </w:r>
      <w:r w:rsidR="00530B12" w:rsidRPr="00530B12">
        <w:rPr>
          <w:rFonts w:ascii="Arial" w:hAnsi="Arial" w:cs="Arial"/>
          <w:sz w:val="22"/>
          <w:szCs w:val="22"/>
        </w:rPr>
        <w:t> Mr Brian Grey, Stellenbosch University, </w:t>
      </w:r>
      <w:hyperlink r:id="rId50" w:history="1">
        <w:r w:rsidR="00530B12" w:rsidRPr="00530B12">
          <w:rPr>
            <w:rFonts w:ascii="Arial" w:hAnsi="Arial" w:cs="Arial"/>
            <w:sz w:val="22"/>
            <w:szCs w:val="22"/>
          </w:rPr>
          <w:t>briang@sun.ac.za</w:t>
        </w:r>
      </w:hyperlink>
    </w:p>
    <w:p w14:paraId="18D0E789" w14:textId="0C9E7646" w:rsidR="004F64AD" w:rsidRPr="004F64AD" w:rsidRDefault="004F4C8E" w:rsidP="00FB2D39">
      <w:pPr>
        <w:jc w:val="both"/>
        <w:rPr>
          <w:rFonts w:ascii="Arial" w:hAnsi="Arial" w:cs="Arial"/>
          <w:color w:val="0000FF" w:themeColor="hyperlink"/>
          <w:sz w:val="22"/>
          <w:szCs w:val="22"/>
          <w:u w:val="single"/>
        </w:rPr>
      </w:pPr>
      <w:r w:rsidRPr="00BB49F1">
        <w:rPr>
          <w:rFonts w:ascii="Arial" w:hAnsi="Arial" w:cs="Arial"/>
          <w:i/>
          <w:iCs/>
          <w:sz w:val="22"/>
          <w:szCs w:val="22"/>
          <w:u w:val="single"/>
        </w:rPr>
        <w:t>Sample processing:</w:t>
      </w:r>
      <w:r>
        <w:rPr>
          <w:rFonts w:ascii="Arial" w:hAnsi="Arial" w:cs="Arial"/>
          <w:sz w:val="22"/>
          <w:szCs w:val="22"/>
        </w:rPr>
        <w:t xml:space="preserve"> </w:t>
      </w:r>
      <w:r w:rsidRPr="00371DCB">
        <w:rPr>
          <w:rFonts w:ascii="Arial" w:hAnsi="Arial" w:cs="Arial"/>
          <w:sz w:val="22"/>
          <w:szCs w:val="22"/>
        </w:rPr>
        <w:t xml:space="preserve">Mr K Smith, Stellenbosch University, </w:t>
      </w:r>
      <w:hyperlink r:id="rId51" w:history="1">
        <w:r w:rsidRPr="00371DCB">
          <w:rPr>
            <w:rStyle w:val="Hyperlink"/>
            <w:rFonts w:ascii="Arial" w:hAnsi="Arial" w:cs="Arial"/>
            <w:sz w:val="22"/>
            <w:szCs w:val="22"/>
          </w:rPr>
          <w:t>smith@sun.ac.za</w:t>
        </w:r>
      </w:hyperlink>
    </w:p>
    <w:p w14:paraId="327E8C28" w14:textId="2E90F71A" w:rsidR="004F64AD" w:rsidRDefault="004F64AD" w:rsidP="00FB2D39">
      <w:pPr>
        <w:jc w:val="both"/>
        <w:rPr>
          <w:rFonts w:ascii="Arial" w:hAnsi="Arial" w:cs="Arial"/>
          <w:b/>
          <w:bCs/>
          <w:sz w:val="22"/>
          <w:szCs w:val="22"/>
        </w:rPr>
      </w:pPr>
      <w:r>
        <w:rPr>
          <w:rFonts w:ascii="Arial" w:hAnsi="Arial" w:cs="Arial"/>
          <w:b/>
          <w:bCs/>
          <w:sz w:val="22"/>
          <w:szCs w:val="22"/>
        </w:rPr>
        <w:t>Stellenbosch University Immunology Research Group</w:t>
      </w:r>
    </w:p>
    <w:p w14:paraId="1AE75F12" w14:textId="5AC49CCD" w:rsidR="004F64AD" w:rsidRPr="004F64AD" w:rsidRDefault="006C00C2" w:rsidP="004F64AD">
      <w:pPr>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004F64AD" w:rsidRPr="004F64AD">
        <w:rPr>
          <w:rFonts w:ascii="Arial" w:hAnsi="Arial" w:cs="Arial"/>
          <w:sz w:val="22"/>
          <w:szCs w:val="22"/>
        </w:rPr>
        <w:t>Dr Stephanus Malherbe, </w:t>
      </w:r>
      <w:r w:rsidR="008A427F" w:rsidRPr="00371DCB">
        <w:rPr>
          <w:rFonts w:ascii="Arial" w:hAnsi="Arial" w:cs="Arial"/>
          <w:sz w:val="22"/>
          <w:szCs w:val="22"/>
        </w:rPr>
        <w:t>Stellenbosch University</w:t>
      </w:r>
      <w:r w:rsidR="00097C0A">
        <w:rPr>
          <w:rFonts w:ascii="Arial" w:hAnsi="Arial" w:cs="Arial"/>
          <w:sz w:val="22"/>
          <w:szCs w:val="22"/>
        </w:rPr>
        <w:t>, malherbe@sun.ac.za</w:t>
      </w:r>
    </w:p>
    <w:p w14:paraId="3936F4B4" w14:textId="6D48EB12" w:rsidR="004F64AD" w:rsidRPr="004F64AD" w:rsidRDefault="006C00C2" w:rsidP="004F64AD">
      <w:pPr>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004F64AD" w:rsidRPr="004F64AD">
        <w:rPr>
          <w:rFonts w:ascii="Arial" w:hAnsi="Arial" w:cs="Arial"/>
          <w:sz w:val="22"/>
          <w:szCs w:val="22"/>
        </w:rPr>
        <w:t xml:space="preserve">Dr </w:t>
      </w:r>
      <w:proofErr w:type="spellStart"/>
      <w:r w:rsidR="004F64AD" w:rsidRPr="004F64AD">
        <w:rPr>
          <w:rFonts w:ascii="Arial" w:hAnsi="Arial" w:cs="Arial"/>
          <w:sz w:val="22"/>
          <w:szCs w:val="22"/>
        </w:rPr>
        <w:t>Andriette</w:t>
      </w:r>
      <w:proofErr w:type="spellEnd"/>
      <w:r w:rsidR="004F64AD" w:rsidRPr="004F64AD">
        <w:rPr>
          <w:rFonts w:ascii="Arial" w:hAnsi="Arial" w:cs="Arial"/>
          <w:sz w:val="22"/>
          <w:szCs w:val="22"/>
        </w:rPr>
        <w:t xml:space="preserve"> </w:t>
      </w:r>
      <w:proofErr w:type="spellStart"/>
      <w:r w:rsidR="004F64AD" w:rsidRPr="004F64AD">
        <w:rPr>
          <w:rFonts w:ascii="Arial" w:hAnsi="Arial" w:cs="Arial"/>
          <w:sz w:val="22"/>
          <w:szCs w:val="22"/>
        </w:rPr>
        <w:t>Hiemstra</w:t>
      </w:r>
      <w:proofErr w:type="spellEnd"/>
      <w:r w:rsidR="004F64AD" w:rsidRPr="004F64AD">
        <w:rPr>
          <w:rFonts w:ascii="Arial" w:hAnsi="Arial" w:cs="Arial"/>
          <w:sz w:val="22"/>
          <w:szCs w:val="22"/>
        </w:rPr>
        <w:t>, </w:t>
      </w:r>
      <w:r w:rsidR="008A427F" w:rsidRPr="00371DCB">
        <w:rPr>
          <w:rFonts w:ascii="Arial" w:hAnsi="Arial" w:cs="Arial"/>
          <w:sz w:val="22"/>
          <w:szCs w:val="22"/>
        </w:rPr>
        <w:t>Stellenbosch University</w:t>
      </w:r>
      <w:r w:rsidR="00097C0A">
        <w:rPr>
          <w:rFonts w:ascii="Arial" w:hAnsi="Arial" w:cs="Arial"/>
          <w:sz w:val="22"/>
          <w:szCs w:val="22"/>
        </w:rPr>
        <w:t>, ahiemstra@sun.ac.za</w:t>
      </w:r>
    </w:p>
    <w:p w14:paraId="0C567BF4" w14:textId="0168D34D" w:rsidR="004F64AD" w:rsidRPr="004F64AD" w:rsidRDefault="006C00C2" w:rsidP="004F64AD">
      <w:pPr>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004F64AD" w:rsidRPr="004F64AD">
        <w:rPr>
          <w:rFonts w:ascii="Arial" w:hAnsi="Arial" w:cs="Arial"/>
          <w:sz w:val="22"/>
          <w:szCs w:val="22"/>
        </w:rPr>
        <w:t>Dr Candice Macdonald</w:t>
      </w:r>
      <w:r w:rsidR="008A427F">
        <w:rPr>
          <w:rFonts w:ascii="Arial" w:hAnsi="Arial" w:cs="Arial"/>
          <w:sz w:val="22"/>
          <w:szCs w:val="22"/>
        </w:rPr>
        <w:t>,</w:t>
      </w:r>
      <w:r w:rsidR="008A427F" w:rsidRPr="008A427F">
        <w:rPr>
          <w:rFonts w:ascii="Arial" w:hAnsi="Arial" w:cs="Arial"/>
          <w:sz w:val="22"/>
          <w:szCs w:val="22"/>
        </w:rPr>
        <w:t xml:space="preserve"> </w:t>
      </w:r>
      <w:r w:rsidR="008A427F" w:rsidRPr="00371DCB">
        <w:rPr>
          <w:rFonts w:ascii="Arial" w:hAnsi="Arial" w:cs="Arial"/>
          <w:sz w:val="22"/>
          <w:szCs w:val="22"/>
        </w:rPr>
        <w:t>Stellenbosch University</w:t>
      </w:r>
      <w:r w:rsidR="008A427F">
        <w:rPr>
          <w:rFonts w:ascii="Arial" w:hAnsi="Arial" w:cs="Arial"/>
          <w:sz w:val="22"/>
          <w:szCs w:val="22"/>
        </w:rPr>
        <w:t xml:space="preserve">, </w:t>
      </w:r>
      <w:hyperlink r:id="rId52" w:history="1">
        <w:r w:rsidR="004F64AD" w:rsidRPr="004F64AD">
          <w:rPr>
            <w:rFonts w:ascii="Arial" w:hAnsi="Arial" w:cs="Arial"/>
            <w:sz w:val="22"/>
            <w:szCs w:val="22"/>
          </w:rPr>
          <w:t>macdonald@sun.ac.za</w:t>
        </w:r>
      </w:hyperlink>
    </w:p>
    <w:p w14:paraId="6CDDFBF5" w14:textId="6FB00119" w:rsidR="004F64AD" w:rsidRPr="004F64AD" w:rsidRDefault="006C00C2" w:rsidP="004F64AD">
      <w:pPr>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004F64AD" w:rsidRPr="004F64AD">
        <w:rPr>
          <w:rFonts w:ascii="Arial" w:hAnsi="Arial" w:cs="Arial"/>
          <w:sz w:val="22"/>
          <w:szCs w:val="22"/>
        </w:rPr>
        <w:t>Dr Jane Shaw</w:t>
      </w:r>
      <w:r w:rsidR="008A427F">
        <w:rPr>
          <w:rFonts w:ascii="Arial" w:hAnsi="Arial" w:cs="Arial"/>
          <w:sz w:val="22"/>
          <w:szCs w:val="22"/>
        </w:rPr>
        <w:t xml:space="preserve">, </w:t>
      </w:r>
      <w:r w:rsidR="008A427F" w:rsidRPr="00371DCB">
        <w:rPr>
          <w:rFonts w:ascii="Arial" w:hAnsi="Arial" w:cs="Arial"/>
          <w:sz w:val="22"/>
          <w:szCs w:val="22"/>
        </w:rPr>
        <w:t>Stellenbosch University</w:t>
      </w:r>
      <w:r w:rsidR="008A427F">
        <w:rPr>
          <w:rFonts w:ascii="Arial" w:hAnsi="Arial" w:cs="Arial"/>
          <w:sz w:val="22"/>
          <w:szCs w:val="22"/>
        </w:rPr>
        <w:t xml:space="preserve">, </w:t>
      </w:r>
      <w:hyperlink r:id="rId53" w:tooltip="mailto:janeshaw@sun.ac.za" w:history="1">
        <w:r w:rsidR="004F64AD" w:rsidRPr="004F64AD">
          <w:rPr>
            <w:rFonts w:ascii="Arial" w:hAnsi="Arial" w:cs="Arial"/>
            <w:sz w:val="22"/>
            <w:szCs w:val="22"/>
          </w:rPr>
          <w:t>janeshaw@sun.ac.za</w:t>
        </w:r>
      </w:hyperlink>
    </w:p>
    <w:p w14:paraId="1B17C850" w14:textId="6ACD4811" w:rsidR="004F64AD" w:rsidRPr="004F64AD" w:rsidRDefault="006C00C2" w:rsidP="004F64AD">
      <w:pPr>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004F64AD" w:rsidRPr="004F64AD">
        <w:rPr>
          <w:rFonts w:ascii="Arial" w:hAnsi="Arial" w:cs="Arial"/>
          <w:sz w:val="22"/>
          <w:szCs w:val="22"/>
        </w:rPr>
        <w:t>Dr Donald Simon</w:t>
      </w:r>
      <w:r w:rsidR="008A427F">
        <w:rPr>
          <w:rFonts w:ascii="Arial" w:hAnsi="Arial" w:cs="Arial"/>
          <w:sz w:val="22"/>
          <w:szCs w:val="22"/>
        </w:rPr>
        <w:t xml:space="preserve">, </w:t>
      </w:r>
      <w:r w:rsidR="008A427F" w:rsidRPr="00371DCB">
        <w:rPr>
          <w:rFonts w:ascii="Arial" w:hAnsi="Arial" w:cs="Arial"/>
          <w:sz w:val="22"/>
          <w:szCs w:val="22"/>
        </w:rPr>
        <w:t>Stellenbosch University</w:t>
      </w:r>
      <w:r w:rsidR="008A427F">
        <w:rPr>
          <w:rFonts w:ascii="Arial" w:hAnsi="Arial" w:cs="Arial"/>
          <w:sz w:val="22"/>
          <w:szCs w:val="22"/>
        </w:rPr>
        <w:t xml:space="preserve">, </w:t>
      </w:r>
      <w:hyperlink r:id="rId54" w:tooltip="mailto:donaldsimon@sun.ac.za" w:history="1">
        <w:r w:rsidR="004F64AD" w:rsidRPr="004F64AD">
          <w:rPr>
            <w:rFonts w:ascii="Arial" w:hAnsi="Arial" w:cs="Arial"/>
            <w:sz w:val="22"/>
            <w:szCs w:val="22"/>
          </w:rPr>
          <w:t>donaldsimon@sun.ac.za</w:t>
        </w:r>
      </w:hyperlink>
    </w:p>
    <w:p w14:paraId="7A6C6486" w14:textId="52CA4ECC" w:rsidR="004F64AD" w:rsidRPr="004F64AD" w:rsidRDefault="006C00C2" w:rsidP="004F64AD">
      <w:pPr>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008A427F">
        <w:rPr>
          <w:rFonts w:ascii="Arial" w:hAnsi="Arial" w:cs="Arial"/>
          <w:sz w:val="22"/>
          <w:szCs w:val="22"/>
        </w:rPr>
        <w:t xml:space="preserve">Dr Tracy Cummins, </w:t>
      </w:r>
      <w:r w:rsidR="008A427F" w:rsidRPr="00371DCB">
        <w:rPr>
          <w:rFonts w:ascii="Arial" w:hAnsi="Arial" w:cs="Arial"/>
          <w:sz w:val="22"/>
          <w:szCs w:val="22"/>
        </w:rPr>
        <w:t>Stellenbosch University</w:t>
      </w:r>
      <w:r w:rsidR="008A427F">
        <w:rPr>
          <w:rFonts w:ascii="Arial" w:hAnsi="Arial" w:cs="Arial"/>
          <w:sz w:val="22"/>
          <w:szCs w:val="22"/>
        </w:rPr>
        <w:t>,</w:t>
      </w:r>
      <w:r w:rsidR="008A427F" w:rsidRPr="004F64AD">
        <w:rPr>
          <w:rFonts w:ascii="Arial" w:hAnsi="Arial" w:cs="Arial"/>
          <w:sz w:val="22"/>
          <w:szCs w:val="22"/>
        </w:rPr>
        <w:t xml:space="preserve"> </w:t>
      </w:r>
      <w:hyperlink r:id="rId55" w:tooltip="mailto:cummins@sun.ac.za" w:history="1">
        <w:r w:rsidR="004F64AD" w:rsidRPr="004F64AD">
          <w:rPr>
            <w:rFonts w:ascii="Arial" w:hAnsi="Arial" w:cs="Arial"/>
            <w:sz w:val="22"/>
            <w:szCs w:val="22"/>
          </w:rPr>
          <w:t>cummins@sun.ac.za</w:t>
        </w:r>
      </w:hyperlink>
    </w:p>
    <w:p w14:paraId="6FFF0BF9" w14:textId="4CCB68C1" w:rsidR="004F4C8E" w:rsidRPr="004F4C8E" w:rsidRDefault="004F4C8E" w:rsidP="00FB2D39">
      <w:pPr>
        <w:jc w:val="both"/>
        <w:rPr>
          <w:rFonts w:ascii="Arial" w:hAnsi="Arial" w:cs="Arial"/>
          <w:b/>
          <w:bCs/>
          <w:sz w:val="22"/>
          <w:szCs w:val="22"/>
        </w:rPr>
      </w:pPr>
      <w:r>
        <w:rPr>
          <w:rFonts w:ascii="Arial" w:hAnsi="Arial" w:cs="Arial"/>
          <w:b/>
          <w:bCs/>
          <w:sz w:val="22"/>
          <w:szCs w:val="22"/>
        </w:rPr>
        <w:t>Virology</w:t>
      </w:r>
    </w:p>
    <w:p w14:paraId="75561C60" w14:textId="057C6D27" w:rsidR="0080558E" w:rsidRPr="00371DCB"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0080558E" w:rsidRPr="004F4C8E">
        <w:rPr>
          <w:rFonts w:ascii="Arial" w:hAnsi="Arial" w:cs="Arial"/>
          <w:sz w:val="22"/>
          <w:szCs w:val="22"/>
        </w:rPr>
        <w:t xml:space="preserve">Prof Wolfgang </w:t>
      </w:r>
      <w:proofErr w:type="spellStart"/>
      <w:r w:rsidR="0080558E" w:rsidRPr="004F4C8E">
        <w:rPr>
          <w:rFonts w:ascii="Arial" w:hAnsi="Arial" w:cs="Arial"/>
          <w:sz w:val="22"/>
          <w:szCs w:val="22"/>
        </w:rPr>
        <w:t>Preiser</w:t>
      </w:r>
      <w:proofErr w:type="spellEnd"/>
      <w:r w:rsidR="0080558E" w:rsidRPr="004F4C8E">
        <w:rPr>
          <w:rFonts w:ascii="Arial" w:hAnsi="Arial" w:cs="Arial"/>
          <w:sz w:val="22"/>
          <w:szCs w:val="22"/>
        </w:rPr>
        <w:t xml:space="preserve">, Stellenbosch University, </w:t>
      </w:r>
      <w:hyperlink r:id="rId56" w:history="1">
        <w:r w:rsidR="0080558E" w:rsidRPr="00371DCB">
          <w:rPr>
            <w:rStyle w:val="Hyperlink"/>
            <w:rFonts w:ascii="Arial" w:eastAsia="MS Gothic" w:hAnsi="Arial" w:cs="Arial"/>
            <w:sz w:val="22"/>
            <w:szCs w:val="22"/>
            <w:lang w:val="en-US"/>
          </w:rPr>
          <w:t>preiser@sun.ac.za</w:t>
        </w:r>
      </w:hyperlink>
    </w:p>
    <w:p w14:paraId="08694866" w14:textId="0C6520C9" w:rsidR="004F4C8E" w:rsidRPr="004F4C8E" w:rsidRDefault="004F4C8E" w:rsidP="00FB2D39">
      <w:pPr>
        <w:jc w:val="both"/>
        <w:rPr>
          <w:rFonts w:ascii="Arial" w:hAnsi="Arial" w:cs="Arial"/>
          <w:sz w:val="22"/>
          <w:szCs w:val="22"/>
        </w:rPr>
      </w:pPr>
      <w:r w:rsidRPr="004F4C8E">
        <w:rPr>
          <w:rFonts w:ascii="Arial" w:hAnsi="Arial" w:cs="Arial"/>
          <w:b/>
          <w:bCs/>
          <w:sz w:val="22"/>
          <w:szCs w:val="22"/>
        </w:rPr>
        <w:t xml:space="preserve">Child and adolescent studies </w:t>
      </w:r>
      <w:r>
        <w:rPr>
          <w:rFonts w:ascii="Arial" w:hAnsi="Arial" w:cs="Arial"/>
          <w:sz w:val="22"/>
          <w:szCs w:val="22"/>
        </w:rPr>
        <w:t>(independent submission)</w:t>
      </w:r>
    </w:p>
    <w:p w14:paraId="50023C84" w14:textId="117423E6" w:rsidR="004F4C8E" w:rsidRPr="00371DCB" w:rsidRDefault="004F4C8E" w:rsidP="00FB2D39">
      <w:pPr>
        <w:jc w:val="both"/>
        <w:rPr>
          <w:rFonts w:ascii="Arial" w:hAnsi="Arial" w:cs="Arial"/>
          <w:sz w:val="22"/>
          <w:szCs w:val="22"/>
        </w:rPr>
      </w:pPr>
      <w:r w:rsidRPr="00BB49F1">
        <w:rPr>
          <w:rFonts w:ascii="Arial" w:hAnsi="Arial" w:cs="Arial"/>
          <w:i/>
          <w:iCs/>
          <w:sz w:val="22"/>
          <w:szCs w:val="22"/>
          <w:u w:val="single"/>
        </w:rPr>
        <w:t>Co-I:</w:t>
      </w:r>
      <w:r>
        <w:rPr>
          <w:rFonts w:ascii="Arial" w:hAnsi="Arial" w:cs="Arial"/>
          <w:sz w:val="22"/>
          <w:szCs w:val="22"/>
        </w:rPr>
        <w:t xml:space="preserve"> </w:t>
      </w:r>
      <w:r w:rsidRPr="00371DCB">
        <w:rPr>
          <w:rFonts w:ascii="Arial" w:hAnsi="Arial" w:cs="Arial"/>
          <w:sz w:val="22"/>
          <w:szCs w:val="22"/>
        </w:rPr>
        <w:t xml:space="preserve">Dr Marieke van der </w:t>
      </w:r>
      <w:proofErr w:type="spellStart"/>
      <w:r w:rsidRPr="00371DCB">
        <w:rPr>
          <w:rFonts w:ascii="Arial" w:hAnsi="Arial" w:cs="Arial"/>
          <w:sz w:val="22"/>
          <w:szCs w:val="22"/>
        </w:rPr>
        <w:t>Zalm</w:t>
      </w:r>
      <w:proofErr w:type="spellEnd"/>
      <w:r w:rsidRPr="00371DCB">
        <w:rPr>
          <w:rFonts w:ascii="Arial" w:hAnsi="Arial" w:cs="Arial"/>
          <w:sz w:val="22"/>
          <w:szCs w:val="22"/>
        </w:rPr>
        <w:t xml:space="preserve">, Stellenbosch University, </w:t>
      </w:r>
      <w:hyperlink r:id="rId57" w:history="1">
        <w:r w:rsidRPr="00371DCB">
          <w:rPr>
            <w:rStyle w:val="Hyperlink"/>
            <w:rFonts w:ascii="Arial" w:hAnsi="Arial" w:cs="Arial"/>
            <w:sz w:val="22"/>
            <w:szCs w:val="22"/>
          </w:rPr>
          <w:t>mariekevdzalm@sun.ac.za</w:t>
        </w:r>
      </w:hyperlink>
    </w:p>
    <w:p w14:paraId="6DB3CA4A" w14:textId="77777777" w:rsidR="00A93B72" w:rsidRPr="00371DCB" w:rsidRDefault="00A93B72" w:rsidP="00FB2D39">
      <w:pPr>
        <w:jc w:val="both"/>
        <w:rPr>
          <w:rFonts w:ascii="Arial" w:hAnsi="Arial" w:cs="Arial"/>
          <w:sz w:val="22"/>
          <w:szCs w:val="22"/>
        </w:rPr>
      </w:pPr>
    </w:p>
    <w:p w14:paraId="391CAA2C" w14:textId="77777777" w:rsidR="00A93B72" w:rsidRPr="00371DCB" w:rsidRDefault="00A93B72" w:rsidP="00FB2D39">
      <w:pPr>
        <w:jc w:val="both"/>
        <w:rPr>
          <w:rFonts w:ascii="Arial" w:hAnsi="Arial" w:cs="Arial"/>
          <w:b/>
          <w:bCs/>
          <w:sz w:val="22"/>
          <w:szCs w:val="22"/>
        </w:rPr>
      </w:pPr>
      <w:r w:rsidRPr="00371DCB">
        <w:rPr>
          <w:rFonts w:ascii="Arial" w:hAnsi="Arial" w:cs="Arial"/>
          <w:b/>
          <w:bCs/>
          <w:sz w:val="22"/>
          <w:szCs w:val="22"/>
        </w:rPr>
        <w:t>Study site and infrastructure</w:t>
      </w:r>
    </w:p>
    <w:p w14:paraId="1BB9371F" w14:textId="4995E418" w:rsidR="00A93B72" w:rsidRPr="00371DCB" w:rsidRDefault="00A93B72" w:rsidP="00FB2D39">
      <w:pPr>
        <w:pStyle w:val="Default"/>
        <w:jc w:val="both"/>
        <w:rPr>
          <w:rFonts w:ascii="Arial" w:eastAsia="Times New Roman" w:hAnsi="Arial" w:cs="Arial"/>
          <w:color w:val="auto"/>
          <w:sz w:val="22"/>
          <w:szCs w:val="22"/>
          <w:lang w:val="en-ZA" w:eastAsia="en-GB"/>
        </w:rPr>
      </w:pPr>
      <w:r w:rsidRPr="00371DCB">
        <w:rPr>
          <w:rFonts w:ascii="Arial" w:eastAsia="Times New Roman" w:hAnsi="Arial" w:cs="Arial"/>
          <w:color w:val="auto"/>
          <w:sz w:val="22"/>
          <w:szCs w:val="22"/>
          <w:lang w:val="en-ZA" w:eastAsia="en-GB"/>
        </w:rPr>
        <w:t xml:space="preserve">The primary research site will be the </w:t>
      </w:r>
      <w:r w:rsidRPr="00371DCB">
        <w:rPr>
          <w:rFonts w:ascii="Arial" w:eastAsia="Times New Roman" w:hAnsi="Arial" w:cs="Arial"/>
          <w:b/>
          <w:bCs/>
          <w:color w:val="auto"/>
          <w:sz w:val="22"/>
          <w:szCs w:val="22"/>
          <w:lang w:val="en-ZA" w:eastAsia="en-GB"/>
        </w:rPr>
        <w:t>Family Centre for Research with Ubuntu (FAMCRU)</w:t>
      </w:r>
      <w:r w:rsidRPr="00371DCB">
        <w:rPr>
          <w:rFonts w:ascii="Arial" w:eastAsia="Times New Roman" w:hAnsi="Arial" w:cs="Arial"/>
          <w:color w:val="auto"/>
          <w:sz w:val="22"/>
          <w:szCs w:val="22"/>
          <w:lang w:val="en-ZA" w:eastAsia="en-GB"/>
        </w:rPr>
        <w:t xml:space="preserve"> situated in Tygerberg </w:t>
      </w:r>
      <w:r w:rsidRPr="007066B7">
        <w:rPr>
          <w:rFonts w:ascii="Arial" w:eastAsia="Times New Roman" w:hAnsi="Arial" w:cs="Arial"/>
          <w:color w:val="auto"/>
          <w:sz w:val="22"/>
          <w:szCs w:val="22"/>
          <w:lang w:val="en-ZA" w:eastAsia="en-GB"/>
        </w:rPr>
        <w:t>Hospital (TBH) (</w:t>
      </w:r>
      <w:hyperlink r:id="rId58" w:history="1">
        <w:r w:rsidRPr="007066B7">
          <w:rPr>
            <w:rFonts w:ascii="Arial" w:eastAsia="Times New Roman" w:hAnsi="Arial" w:cs="Arial"/>
            <w:color w:val="auto"/>
            <w:sz w:val="22"/>
            <w:szCs w:val="22"/>
            <w:lang w:val="en-ZA" w:eastAsia="en-GB"/>
          </w:rPr>
          <w:t>http://www.famcru.org.za/</w:t>
        </w:r>
      </w:hyperlink>
      <w:r w:rsidRPr="007066B7">
        <w:rPr>
          <w:rFonts w:ascii="Arial" w:eastAsia="Times New Roman" w:hAnsi="Arial" w:cs="Arial"/>
          <w:color w:val="auto"/>
          <w:sz w:val="22"/>
          <w:szCs w:val="22"/>
          <w:lang w:val="en-ZA" w:eastAsia="en-GB"/>
        </w:rPr>
        <w:t>). FAMCRU will serve as the primary study site and provide study related infrastructure.  FAMCRU’s</w:t>
      </w:r>
      <w:r w:rsidRPr="00371DCB">
        <w:rPr>
          <w:rFonts w:ascii="Arial" w:eastAsia="Times New Roman" w:hAnsi="Arial" w:cs="Arial"/>
          <w:color w:val="auto"/>
          <w:sz w:val="22"/>
          <w:szCs w:val="22"/>
          <w:lang w:val="en-ZA" w:eastAsia="en-GB"/>
        </w:rPr>
        <w:t xml:space="preserve"> director Mark Cotton, PI, established FAMCRU to conduct prospective studies of research questions relevant to sub-Saharan Africa systematically in collaboration with other academic institutions both inside and outside South Africa and to serve as a research unit for clinical trials. In 2002 FAMCRU received NIH funding to become a </w:t>
      </w:r>
      <w:proofErr w:type="spellStart"/>
      <w:r w:rsidRPr="00371DCB">
        <w:rPr>
          <w:rFonts w:ascii="Arial" w:eastAsia="Times New Roman" w:hAnsi="Arial" w:cs="Arial"/>
          <w:color w:val="auto"/>
          <w:sz w:val="22"/>
          <w:szCs w:val="22"/>
          <w:lang w:val="en-ZA" w:eastAsia="en-GB"/>
        </w:rPr>
        <w:t>Pediatric</w:t>
      </w:r>
      <w:proofErr w:type="spellEnd"/>
      <w:r w:rsidRPr="00371DCB">
        <w:rPr>
          <w:rFonts w:ascii="Arial" w:eastAsia="Times New Roman" w:hAnsi="Arial" w:cs="Arial"/>
          <w:color w:val="auto"/>
          <w:sz w:val="22"/>
          <w:szCs w:val="22"/>
          <w:lang w:val="en-ZA" w:eastAsia="en-GB"/>
        </w:rPr>
        <w:t xml:space="preserve"> AIDS Clinical Trials Group (PACTG, later renamed IMPAACT) research site and the Comprehensive International Program for Research in AIDS (CIPRA). The </w:t>
      </w:r>
      <w:r w:rsidRPr="00371DCB">
        <w:rPr>
          <w:rFonts w:ascii="Arial" w:eastAsia="Times New Roman" w:hAnsi="Arial" w:cs="Arial"/>
          <w:color w:val="auto"/>
          <w:sz w:val="22"/>
          <w:szCs w:val="22"/>
          <w:lang w:val="en-ZA" w:eastAsia="en-GB"/>
        </w:rPr>
        <w:lastRenderedPageBreak/>
        <w:t xml:space="preserve">latter was in collaboration with the Universities of Cape Town (UCT) and the Witwatersrand (Wits) to develop local research facilities and to undertake protocols specifically to answer questions relevant to resource-constrained settings. In addition, the Rockefeller Foundation funded a joint proposal with UCT to investigate the prophylaxis of tuberculosis Pneumocystis </w:t>
      </w:r>
      <w:proofErr w:type="spellStart"/>
      <w:r w:rsidRPr="00371DCB">
        <w:rPr>
          <w:rFonts w:ascii="Arial" w:eastAsia="Times New Roman" w:hAnsi="Arial" w:cs="Arial"/>
          <w:color w:val="auto"/>
          <w:sz w:val="22"/>
          <w:szCs w:val="22"/>
          <w:lang w:val="en-ZA" w:eastAsia="en-GB"/>
        </w:rPr>
        <w:t>jerovici</w:t>
      </w:r>
      <w:proofErr w:type="spellEnd"/>
      <w:r w:rsidRPr="00371DCB">
        <w:rPr>
          <w:rFonts w:ascii="Arial" w:eastAsia="Times New Roman" w:hAnsi="Arial" w:cs="Arial"/>
          <w:color w:val="auto"/>
          <w:sz w:val="22"/>
          <w:szCs w:val="22"/>
          <w:lang w:val="en-ZA" w:eastAsia="en-GB"/>
        </w:rPr>
        <w:t xml:space="preserve"> pneumonia in HIV-infected children. FAMCRU affiliated to the AIDS Clinical Trial Group (ACTG) in 2013 to conduct adult HIV and tuberculosis trials and has the necessary infrastructure, staff and support to perform this research as well as developing the protocols. FAMCRU has experience in conducting both adult and paediatric pharmacokinetic studies. FAMCRU is also funded through PENTA-ID and the EDCTP. It has 1000m</w:t>
      </w:r>
      <w:r w:rsidRPr="00371DCB">
        <w:rPr>
          <w:rFonts w:ascii="Arial" w:eastAsia="Times New Roman" w:hAnsi="Arial" w:cs="Arial"/>
          <w:color w:val="auto"/>
          <w:sz w:val="22"/>
          <w:szCs w:val="22"/>
          <w:vertAlign w:val="superscript"/>
          <w:lang w:val="en-ZA" w:eastAsia="en-GB"/>
        </w:rPr>
        <w:t>2</w:t>
      </w:r>
      <w:r w:rsidRPr="00371DCB">
        <w:rPr>
          <w:rFonts w:ascii="Arial" w:eastAsia="Times New Roman" w:hAnsi="Arial" w:cs="Arial"/>
          <w:color w:val="auto"/>
          <w:sz w:val="22"/>
          <w:szCs w:val="22"/>
          <w:lang w:val="en-ZA" w:eastAsia="en-GB"/>
        </w:rPr>
        <w:t xml:space="preserve"> space. We have identified 4 potential additional study sites: </w:t>
      </w:r>
      <w:r w:rsidRPr="00C17CB9">
        <w:rPr>
          <w:rFonts w:ascii="Arial" w:eastAsia="Times New Roman" w:hAnsi="Arial" w:cs="Arial"/>
          <w:b/>
          <w:color w:val="auto"/>
          <w:sz w:val="22"/>
          <w:szCs w:val="22"/>
          <w:lang w:val="en-ZA" w:eastAsia="en-GB"/>
        </w:rPr>
        <w:t>Stellenbosch University Immunology Research Group (SU IRG)</w:t>
      </w:r>
      <w:r w:rsidRPr="00371DCB">
        <w:rPr>
          <w:rFonts w:ascii="Arial" w:eastAsia="Times New Roman" w:hAnsi="Arial" w:cs="Arial"/>
          <w:color w:val="auto"/>
          <w:sz w:val="22"/>
          <w:szCs w:val="22"/>
          <w:lang w:val="en-ZA" w:eastAsia="en-GB"/>
        </w:rPr>
        <w:t xml:space="preserve"> is located on the same premises as TBH, but on the SU Faculty of Medicine and Health Sciences campus. </w:t>
      </w:r>
      <w:r w:rsidRPr="00C17CB9">
        <w:rPr>
          <w:rFonts w:ascii="Arial" w:eastAsia="Times New Roman" w:hAnsi="Arial" w:cs="Arial"/>
          <w:color w:val="auto"/>
          <w:sz w:val="22"/>
          <w:szCs w:val="22"/>
          <w:lang w:val="en-ZA" w:eastAsia="en-GB"/>
        </w:rPr>
        <w:t>The IRG</w:t>
      </w:r>
      <w:r w:rsidRPr="00371DCB">
        <w:rPr>
          <w:rFonts w:eastAsia="Times New Roman"/>
          <w:color w:val="auto"/>
          <w:lang w:val="en-ZA" w:eastAsia="en-GB"/>
        </w:rPr>
        <w:t xml:space="preserve"> </w:t>
      </w:r>
      <w:r w:rsidRPr="00371DCB">
        <w:rPr>
          <w:rFonts w:ascii="Arial" w:eastAsia="Times New Roman" w:hAnsi="Arial" w:cs="Arial"/>
          <w:color w:val="auto"/>
          <w:sz w:val="22"/>
          <w:szCs w:val="22"/>
          <w:lang w:val="en-ZA" w:eastAsia="en-GB"/>
        </w:rPr>
        <w:t xml:space="preserve">clinical space has 7 consulting rooms, 2 waiting areas, 2 bathrooms and 2 sputum booths with HEPA filters in converted shipping containers that are air conditioned and serviced daily. The containers have 3 telephone lines, basins and separate entrances as well as UV air sterilizer filters with fans. We have existing clinical and research collaborations with the following community sites: </w:t>
      </w:r>
      <w:proofErr w:type="spellStart"/>
      <w:r w:rsidRPr="00371DCB">
        <w:rPr>
          <w:rFonts w:ascii="Arial" w:eastAsia="Times New Roman" w:hAnsi="Arial" w:cs="Arial"/>
          <w:color w:val="auto"/>
          <w:sz w:val="22"/>
          <w:szCs w:val="22"/>
          <w:lang w:val="en-ZA" w:eastAsia="en-GB"/>
        </w:rPr>
        <w:t>Médecins</w:t>
      </w:r>
      <w:proofErr w:type="spellEnd"/>
      <w:r w:rsidRPr="00371DCB">
        <w:rPr>
          <w:rFonts w:ascii="Arial" w:eastAsia="Times New Roman" w:hAnsi="Arial" w:cs="Arial"/>
          <w:color w:val="auto"/>
          <w:sz w:val="22"/>
          <w:szCs w:val="22"/>
          <w:lang w:val="en-ZA" w:eastAsia="en-GB"/>
        </w:rPr>
        <w:t xml:space="preserve"> Sans </w:t>
      </w:r>
      <w:proofErr w:type="spellStart"/>
      <w:r w:rsidRPr="00371DCB">
        <w:rPr>
          <w:rFonts w:ascii="Arial" w:eastAsia="Times New Roman" w:hAnsi="Arial" w:cs="Arial"/>
          <w:color w:val="auto"/>
          <w:sz w:val="22"/>
          <w:szCs w:val="22"/>
          <w:lang w:val="en-ZA" w:eastAsia="en-GB"/>
        </w:rPr>
        <w:t>Frontières</w:t>
      </w:r>
      <w:proofErr w:type="spellEnd"/>
      <w:r w:rsidRPr="00371DCB">
        <w:rPr>
          <w:rFonts w:ascii="Arial" w:eastAsia="Times New Roman" w:hAnsi="Arial" w:cs="Arial"/>
          <w:color w:val="auto"/>
          <w:sz w:val="22"/>
          <w:szCs w:val="22"/>
          <w:lang w:val="en-ZA" w:eastAsia="en-GB"/>
        </w:rPr>
        <w:t xml:space="preserve"> (Doctors Without Borders) situated in the </w:t>
      </w:r>
      <w:proofErr w:type="spellStart"/>
      <w:r w:rsidRPr="00371DCB">
        <w:rPr>
          <w:rFonts w:ascii="Arial" w:eastAsia="Times New Roman" w:hAnsi="Arial" w:cs="Arial"/>
          <w:color w:val="auto"/>
          <w:sz w:val="22"/>
          <w:szCs w:val="22"/>
          <w:lang w:val="en-ZA" w:eastAsia="en-GB"/>
        </w:rPr>
        <w:t>Khayelithsha</w:t>
      </w:r>
      <w:proofErr w:type="spellEnd"/>
      <w:r w:rsidRPr="00371DCB">
        <w:rPr>
          <w:rFonts w:ascii="Arial" w:eastAsia="Times New Roman" w:hAnsi="Arial" w:cs="Arial"/>
          <w:color w:val="auto"/>
          <w:sz w:val="22"/>
          <w:szCs w:val="22"/>
          <w:lang w:val="en-ZA" w:eastAsia="en-GB"/>
        </w:rPr>
        <w:t xml:space="preserve"> community, </w:t>
      </w:r>
      <w:proofErr w:type="spellStart"/>
      <w:r w:rsidRPr="00371DCB">
        <w:rPr>
          <w:rFonts w:ascii="Arial" w:eastAsia="Times New Roman" w:hAnsi="Arial" w:cs="Arial"/>
          <w:color w:val="auto"/>
          <w:sz w:val="22"/>
          <w:szCs w:val="22"/>
          <w:lang w:val="en-ZA" w:eastAsia="en-GB"/>
        </w:rPr>
        <w:t>Gugulethu</w:t>
      </w:r>
      <w:proofErr w:type="spellEnd"/>
      <w:r w:rsidRPr="00371DCB">
        <w:rPr>
          <w:rFonts w:ascii="Arial" w:eastAsia="Times New Roman" w:hAnsi="Arial" w:cs="Arial"/>
          <w:color w:val="auto"/>
          <w:sz w:val="22"/>
          <w:szCs w:val="22"/>
          <w:lang w:val="en-ZA" w:eastAsia="en-GB"/>
        </w:rPr>
        <w:t xml:space="preserve"> community and Paarl community. We have budgeted to allow for the setup of 2 mobile research sites in high prevalence COVID-19 communities. We will monitor the SARS-CoV-2 spread to identify the most appropriate community sites. </w:t>
      </w:r>
    </w:p>
    <w:p w14:paraId="2B8471A3" w14:textId="77777777" w:rsidR="00A93B72" w:rsidRPr="00371DCB" w:rsidRDefault="00A93B72" w:rsidP="00FB2D39">
      <w:pPr>
        <w:pStyle w:val="Default"/>
        <w:jc w:val="both"/>
        <w:rPr>
          <w:rFonts w:ascii="Arial" w:eastAsia="Times New Roman" w:hAnsi="Arial" w:cs="Arial"/>
          <w:color w:val="auto"/>
          <w:sz w:val="22"/>
          <w:szCs w:val="22"/>
          <w:lang w:val="en-ZA" w:eastAsia="en-GB"/>
        </w:rPr>
      </w:pPr>
    </w:p>
    <w:p w14:paraId="3D4EDFA5" w14:textId="249C2B66" w:rsidR="00A93B72" w:rsidRPr="00371DCB" w:rsidRDefault="00A93B72" w:rsidP="00FB2D39">
      <w:pPr>
        <w:jc w:val="both"/>
        <w:rPr>
          <w:rFonts w:ascii="Arial" w:hAnsi="Arial" w:cs="Arial"/>
          <w:sz w:val="22"/>
          <w:szCs w:val="22"/>
        </w:rPr>
      </w:pPr>
      <w:r w:rsidRPr="00371DCB">
        <w:rPr>
          <w:rFonts w:ascii="Arial" w:hAnsi="Arial" w:cs="Arial"/>
          <w:b/>
          <w:bCs/>
          <w:sz w:val="22"/>
          <w:szCs w:val="22"/>
        </w:rPr>
        <w:t>Virology:</w:t>
      </w:r>
      <w:r w:rsidRPr="00371DCB">
        <w:rPr>
          <w:rFonts w:ascii="Arial" w:hAnsi="Arial" w:cs="Arial"/>
          <w:sz w:val="22"/>
          <w:szCs w:val="22"/>
        </w:rPr>
        <w:t xml:space="preserve"> The Division of Medical Virology at Tygerberg was the second public sector laboratory in South Africa to perform routine testing for SARS-CoV-2 by real-time PCR. From initially small numbers it has ramped up testing to several hundred of patient samples per day, 7 days a week. The platform used is a commercial multi-target (located in the viral </w:t>
      </w:r>
      <w:proofErr w:type="spellStart"/>
      <w:r w:rsidRPr="00371DCB">
        <w:rPr>
          <w:rFonts w:ascii="Arial" w:hAnsi="Arial" w:cs="Arial"/>
          <w:sz w:val="22"/>
          <w:szCs w:val="22"/>
        </w:rPr>
        <w:t>RdRP</w:t>
      </w:r>
      <w:proofErr w:type="spellEnd"/>
      <w:r w:rsidRPr="00371DCB">
        <w:rPr>
          <w:rFonts w:ascii="Arial" w:hAnsi="Arial" w:cs="Arial"/>
          <w:sz w:val="22"/>
          <w:szCs w:val="22"/>
        </w:rPr>
        <w:t>, E, and N genes) real-time PCR (</w:t>
      </w:r>
      <w:proofErr w:type="spellStart"/>
      <w:r w:rsidRPr="00371DCB">
        <w:rPr>
          <w:rFonts w:ascii="Arial" w:hAnsi="Arial" w:cs="Arial"/>
          <w:sz w:val="22"/>
          <w:szCs w:val="22"/>
        </w:rPr>
        <w:t>Seegene</w:t>
      </w:r>
      <w:proofErr w:type="spellEnd"/>
      <w:r w:rsidRPr="00371DCB">
        <w:rPr>
          <w:rFonts w:ascii="Arial" w:hAnsi="Arial" w:cs="Arial"/>
          <w:sz w:val="22"/>
          <w:szCs w:val="22"/>
        </w:rPr>
        <w:t xml:space="preserve">, Inc. </w:t>
      </w:r>
      <w:proofErr w:type="spellStart"/>
      <w:r w:rsidRPr="00371DCB">
        <w:rPr>
          <w:rFonts w:ascii="Arial" w:hAnsi="Arial" w:cs="Arial"/>
          <w:sz w:val="22"/>
          <w:szCs w:val="22"/>
        </w:rPr>
        <w:t>Allplex</w:t>
      </w:r>
      <w:proofErr w:type="spellEnd"/>
      <w:r w:rsidRPr="00371DCB">
        <w:rPr>
          <w:rFonts w:ascii="Arial" w:hAnsi="Arial" w:cs="Arial"/>
          <w:sz w:val="22"/>
          <w:szCs w:val="22"/>
        </w:rPr>
        <w:t xml:space="preserve"> 2019-nCoV assay, Korea MFDS-EUA - CE-IVD). As fall-back, if test kit supplies are not delivered in time, the Division has established an in-house method based on the </w:t>
      </w:r>
      <w:proofErr w:type="spellStart"/>
      <w:r w:rsidRPr="00371DCB">
        <w:rPr>
          <w:rFonts w:ascii="Arial" w:hAnsi="Arial" w:cs="Arial"/>
          <w:sz w:val="22"/>
          <w:szCs w:val="22"/>
        </w:rPr>
        <w:t>Charité</w:t>
      </w:r>
      <w:proofErr w:type="spellEnd"/>
      <w:r w:rsidRPr="00371DCB">
        <w:rPr>
          <w:rFonts w:ascii="Arial" w:hAnsi="Arial" w:cs="Arial"/>
          <w:sz w:val="22"/>
          <w:szCs w:val="22"/>
        </w:rPr>
        <w:t xml:space="preserve">, Germany, protocol (cf. </w:t>
      </w:r>
      <w:hyperlink r:id="rId59" w:history="1">
        <w:r w:rsidRPr="00371DCB">
          <w:rPr>
            <w:rFonts w:ascii="Arial" w:hAnsi="Arial" w:cs="Arial"/>
            <w:sz w:val="22"/>
            <w:szCs w:val="22"/>
          </w:rPr>
          <w:t>https://www.who.int/docs/default-source/coronaviruse/protocol-v2-1.pdf</w:t>
        </w:r>
      </w:hyperlink>
      <w:r w:rsidRPr="00371DCB">
        <w:rPr>
          <w:rFonts w:ascii="Arial" w:hAnsi="Arial" w:cs="Arial"/>
          <w:sz w:val="22"/>
          <w:szCs w:val="22"/>
        </w:rPr>
        <w:t>). Diagnostic testing follows national (NICD) and international (WHO) guidelines and recommendations (</w:t>
      </w:r>
      <w:hyperlink r:id="rId60" w:history="1">
        <w:r w:rsidRPr="00371DCB">
          <w:rPr>
            <w:rFonts w:ascii="Arial" w:hAnsi="Arial" w:cs="Arial"/>
            <w:sz w:val="22"/>
            <w:szCs w:val="22"/>
          </w:rPr>
          <w:t>https://www.who.int/emergencies/diseases/novel-coronavirus-2019/technical-guidance/laboratory-guidance</w:t>
        </w:r>
      </w:hyperlink>
      <w:r w:rsidRPr="00371DCB">
        <w:rPr>
          <w:rFonts w:ascii="Arial" w:hAnsi="Arial" w:cs="Arial"/>
          <w:sz w:val="22"/>
          <w:szCs w:val="22"/>
        </w:rPr>
        <w:t xml:space="preserve">), including confirmatory testing of a certain number of positive and negative specimens by a previous established laboratory. The Division has semi-automated platforms for RNA extraction and thermocyclers for real-time PCR and is in line to receive an automated high-throughput platform for RNA extraction and a pipetting robot which will allow for testing more samples from late April 2020 onwards. It has substantial expertise in data handling and specimen storage under optimal conditions. </w:t>
      </w:r>
    </w:p>
    <w:p w14:paraId="3D61F62C" w14:textId="7DBA460A" w:rsidR="00A93B72" w:rsidRPr="00371DCB" w:rsidRDefault="00A93B72" w:rsidP="00FB2D39">
      <w:pPr>
        <w:jc w:val="both"/>
        <w:rPr>
          <w:rFonts w:ascii="Arial" w:hAnsi="Arial" w:cs="Arial"/>
          <w:sz w:val="22"/>
          <w:szCs w:val="22"/>
        </w:rPr>
      </w:pPr>
      <w:r w:rsidRPr="00371DCB">
        <w:rPr>
          <w:rFonts w:ascii="Arial" w:hAnsi="Arial" w:cs="Arial"/>
          <w:b/>
          <w:bCs/>
          <w:sz w:val="22"/>
          <w:szCs w:val="22"/>
        </w:rPr>
        <w:t>Analytical laboratory:</w:t>
      </w:r>
      <w:r w:rsidRPr="00371DCB">
        <w:rPr>
          <w:rFonts w:ascii="Arial" w:hAnsi="Arial" w:cs="Arial"/>
          <w:sz w:val="22"/>
          <w:szCs w:val="22"/>
        </w:rPr>
        <w:t xml:space="preserve"> The Division of Clinical Pharmacology houses a Tygerberg Hospital laboratory for therapeutic drug monitoring (which is in the process of obtaining SANAS accreditation), as well as several analytical laboratories.  The unit houses a Shimadzu 8040 liquid-chromatography tandem mass spectrometry (LC-MS/MS) instrument managed by the Central Analytical Facility, as well as two high pressure liquid chromatography (HPLC) instruments, together with various instrumentation used in sample extraction and purification.  The Division has been awarded a further R1.8 million designated for upgrade of laboratory infrastructure.  A quality system exists within the analytical facility ensuring compliance with good clinical laboratory principles (GCLP), and HPLC/LC-MS/MS methods are validated according to industry guidelines (EMA, FDA). A sample management facility comprising of ultra-low freezers, -20°C freezers and 4°C fridges, all connected to external temperature monitoring systems, house all clinical samples according to industry guidelines.  Together with extensive staff expertise, the analytical laboratory is well equipped to perform bioanalysis for clinical trials.</w:t>
      </w:r>
      <w:r w:rsidR="002D5D7E" w:rsidRPr="00371DCB">
        <w:rPr>
          <w:rFonts w:ascii="Arial" w:hAnsi="Arial" w:cs="Arial"/>
          <w:sz w:val="22"/>
          <w:szCs w:val="22"/>
        </w:rPr>
        <w:t xml:space="preserve"> The laboratory is </w:t>
      </w:r>
      <w:r w:rsidR="00012FE7" w:rsidRPr="00371DCB">
        <w:rPr>
          <w:rFonts w:ascii="Arial" w:hAnsi="Arial" w:cs="Arial"/>
          <w:sz w:val="22"/>
          <w:szCs w:val="22"/>
        </w:rPr>
        <w:t>managed</w:t>
      </w:r>
      <w:r w:rsidR="002D5D7E" w:rsidRPr="00371DCB">
        <w:rPr>
          <w:rFonts w:ascii="Arial" w:hAnsi="Arial" w:cs="Arial"/>
          <w:sz w:val="22"/>
          <w:szCs w:val="22"/>
        </w:rPr>
        <w:t xml:space="preserve"> by Dr Tracy </w:t>
      </w:r>
      <w:proofErr w:type="spellStart"/>
      <w:r w:rsidR="002D5D7E" w:rsidRPr="00371DCB">
        <w:rPr>
          <w:rFonts w:ascii="Arial" w:hAnsi="Arial" w:cs="Arial"/>
          <w:sz w:val="22"/>
          <w:szCs w:val="22"/>
        </w:rPr>
        <w:lastRenderedPageBreak/>
        <w:t>Kellermann</w:t>
      </w:r>
      <w:proofErr w:type="spellEnd"/>
      <w:r w:rsidR="00012FE7" w:rsidRPr="00371DCB">
        <w:rPr>
          <w:rFonts w:ascii="Arial" w:hAnsi="Arial" w:cs="Arial"/>
          <w:sz w:val="22"/>
          <w:szCs w:val="22"/>
        </w:rPr>
        <w:t xml:space="preserve"> who will be responsible for method development and study drug concentration analysis.</w:t>
      </w:r>
    </w:p>
    <w:p w14:paraId="363DB258" w14:textId="77777777" w:rsidR="00A93B72" w:rsidRPr="00371DCB" w:rsidRDefault="00A93B72" w:rsidP="00FB2D39">
      <w:pPr>
        <w:jc w:val="both"/>
        <w:rPr>
          <w:rFonts w:ascii="Arial" w:hAnsi="Arial" w:cs="Arial"/>
          <w:sz w:val="22"/>
          <w:szCs w:val="22"/>
        </w:rPr>
      </w:pPr>
    </w:p>
    <w:p w14:paraId="6C6BF1DB" w14:textId="64617861" w:rsidR="00F712AD" w:rsidRPr="00371DCB" w:rsidRDefault="00F712AD" w:rsidP="00FB2D39">
      <w:pPr>
        <w:jc w:val="both"/>
        <w:rPr>
          <w:rFonts w:ascii="Arial" w:hAnsi="Arial" w:cs="Arial"/>
          <w:b/>
          <w:bCs/>
          <w:sz w:val="22"/>
          <w:szCs w:val="22"/>
        </w:rPr>
      </w:pPr>
      <w:r w:rsidRPr="00371DCB">
        <w:rPr>
          <w:rFonts w:ascii="Arial" w:hAnsi="Arial" w:cs="Arial"/>
          <w:b/>
          <w:bCs/>
          <w:sz w:val="22"/>
          <w:szCs w:val="22"/>
        </w:rPr>
        <w:t>Local Recruitment Procedures</w:t>
      </w:r>
    </w:p>
    <w:p w14:paraId="144127A9" w14:textId="133F8BFC" w:rsidR="00373815" w:rsidRPr="00371DCB" w:rsidRDefault="00F712AD" w:rsidP="00FB2D39">
      <w:pPr>
        <w:jc w:val="both"/>
        <w:rPr>
          <w:rFonts w:ascii="Arial" w:hAnsi="Arial" w:cs="Arial"/>
          <w:sz w:val="22"/>
          <w:szCs w:val="22"/>
        </w:rPr>
      </w:pPr>
      <w:r w:rsidRPr="00FA7410">
        <w:rPr>
          <w:rFonts w:ascii="Arial" w:hAnsi="Arial" w:cs="Arial"/>
          <w:sz w:val="22"/>
          <w:szCs w:val="22"/>
        </w:rPr>
        <w:t>We have recruitment infrastructure on all levels of health care in Cape Town, South Africa. The South African collaborating universities will be Stellenbosch University and the University of Cape T</w:t>
      </w:r>
      <w:r w:rsidRPr="00DF3A3A">
        <w:rPr>
          <w:rFonts w:ascii="Arial" w:hAnsi="Arial" w:cs="Arial"/>
          <w:sz w:val="22"/>
          <w:szCs w:val="22"/>
        </w:rPr>
        <w:t>own. The primary research site will be the Family Centre for Research with Ubuntu (FAMCRU) situated in TBH (</w:t>
      </w:r>
      <w:hyperlink r:id="rId61" w:history="1">
        <w:r w:rsidRPr="00371DCB">
          <w:rPr>
            <w:rFonts w:ascii="Arial" w:hAnsi="Arial" w:cs="Arial"/>
            <w:sz w:val="22"/>
            <w:szCs w:val="22"/>
          </w:rPr>
          <w:t>http://www.famcru.org.za/</w:t>
        </w:r>
      </w:hyperlink>
      <w:r w:rsidRPr="00FA7410">
        <w:rPr>
          <w:rFonts w:ascii="Arial" w:hAnsi="Arial" w:cs="Arial"/>
          <w:sz w:val="22"/>
          <w:szCs w:val="22"/>
        </w:rPr>
        <w:t>). The primary recruitment will be from Tygerberg hospital (TBH) and its referrin</w:t>
      </w:r>
      <w:r w:rsidRPr="00DF3A3A">
        <w:rPr>
          <w:rFonts w:ascii="Arial" w:hAnsi="Arial" w:cs="Arial"/>
          <w:sz w:val="22"/>
          <w:szCs w:val="22"/>
        </w:rPr>
        <w:t xml:space="preserve">g hospitals and clinics. TBH is the largest public-sector tertiary referral hospital in the Cape Town Metropole and serves over 3.4 million people, mostly vulnerable populations from densely populated low-income communities and rural areas. TBH is the designated provincial COVID-19 centre preparing for the imminent community outbreak of COVID-19. </w:t>
      </w:r>
      <w:r w:rsidRPr="00371DCB">
        <w:rPr>
          <w:rFonts w:ascii="Arial" w:hAnsi="Arial" w:cs="Arial"/>
          <w:sz w:val="22"/>
          <w:szCs w:val="22"/>
        </w:rPr>
        <w:t xml:space="preserve">The additional study sites will be set up in the following community sites: </w:t>
      </w:r>
      <w:proofErr w:type="spellStart"/>
      <w:r w:rsidRPr="00371DCB">
        <w:rPr>
          <w:rFonts w:ascii="Arial" w:hAnsi="Arial" w:cs="Arial"/>
          <w:sz w:val="22"/>
          <w:szCs w:val="22"/>
        </w:rPr>
        <w:t>Khayelithsha</w:t>
      </w:r>
      <w:proofErr w:type="spellEnd"/>
      <w:r w:rsidRPr="00371DCB">
        <w:rPr>
          <w:rFonts w:ascii="Arial" w:hAnsi="Arial" w:cs="Arial"/>
          <w:sz w:val="22"/>
          <w:szCs w:val="22"/>
        </w:rPr>
        <w:t xml:space="preserve"> community, </w:t>
      </w:r>
      <w:proofErr w:type="spellStart"/>
      <w:r w:rsidRPr="00371DCB">
        <w:rPr>
          <w:rFonts w:ascii="Arial" w:hAnsi="Arial" w:cs="Arial"/>
          <w:sz w:val="22"/>
          <w:szCs w:val="22"/>
        </w:rPr>
        <w:t>Gugulethu</w:t>
      </w:r>
      <w:proofErr w:type="spellEnd"/>
      <w:r w:rsidRPr="00371DCB">
        <w:rPr>
          <w:rFonts w:ascii="Arial" w:hAnsi="Arial" w:cs="Arial"/>
          <w:sz w:val="22"/>
          <w:szCs w:val="22"/>
        </w:rPr>
        <w:t xml:space="preserve"> community and Paarl community. We will monitor the SARS-CoV-2 spread to identify the most appropriate community sites.</w:t>
      </w:r>
    </w:p>
    <w:p w14:paraId="229B497A" w14:textId="07EA0397" w:rsidR="00373815" w:rsidRPr="00371DCB" w:rsidRDefault="00373815" w:rsidP="00FB2D39">
      <w:pPr>
        <w:pStyle w:val="NormalWeb"/>
        <w:rPr>
          <w:rFonts w:ascii="Arial" w:hAnsi="Arial" w:cs="Arial"/>
          <w:sz w:val="22"/>
          <w:szCs w:val="22"/>
        </w:rPr>
      </w:pPr>
      <w:r w:rsidRPr="00371DCB">
        <w:rPr>
          <w:rFonts w:ascii="Arial" w:hAnsi="Arial" w:cs="Arial"/>
          <w:sz w:val="22"/>
          <w:szCs w:val="22"/>
        </w:rPr>
        <w:t>FAMCRU has a</w:t>
      </w:r>
      <w:r w:rsidR="00206E60" w:rsidRPr="00371DCB">
        <w:rPr>
          <w:rFonts w:ascii="Arial" w:hAnsi="Arial" w:cs="Arial"/>
          <w:sz w:val="22"/>
          <w:szCs w:val="22"/>
        </w:rPr>
        <w:t xml:space="preserve"> standard operating procedure</w:t>
      </w:r>
      <w:r w:rsidRPr="00371DCB">
        <w:rPr>
          <w:rFonts w:ascii="Arial" w:hAnsi="Arial" w:cs="Arial"/>
          <w:sz w:val="22"/>
          <w:szCs w:val="22"/>
        </w:rPr>
        <w:t xml:space="preserve"> concerning the informed consent process that states: </w:t>
      </w:r>
    </w:p>
    <w:p w14:paraId="3A5E80F2" w14:textId="77777777" w:rsidR="00373815" w:rsidRPr="00371DCB" w:rsidRDefault="00373815" w:rsidP="00FB2D39">
      <w:pPr>
        <w:pStyle w:val="NormalWeb"/>
        <w:numPr>
          <w:ilvl w:val="0"/>
          <w:numId w:val="40"/>
        </w:numPr>
        <w:spacing w:before="100" w:beforeAutospacing="1" w:after="100" w:afterAutospacing="1" w:line="240" w:lineRule="auto"/>
        <w:rPr>
          <w:rFonts w:ascii="Arial" w:hAnsi="Arial" w:cs="Arial"/>
          <w:sz w:val="22"/>
          <w:szCs w:val="22"/>
        </w:rPr>
      </w:pPr>
      <w:r w:rsidRPr="00371DCB">
        <w:rPr>
          <w:rFonts w:ascii="Arial" w:hAnsi="Arial" w:cs="Arial"/>
          <w:sz w:val="22"/>
          <w:szCs w:val="22"/>
        </w:rPr>
        <w:t>Informed consent process will be conducted in a private room in the participants’ language of choice.</w:t>
      </w:r>
    </w:p>
    <w:p w14:paraId="5685A386" w14:textId="77777777" w:rsidR="00373815" w:rsidRPr="00371DCB" w:rsidRDefault="00373815" w:rsidP="00FB2D39">
      <w:pPr>
        <w:pStyle w:val="NormalWeb"/>
        <w:numPr>
          <w:ilvl w:val="0"/>
          <w:numId w:val="40"/>
        </w:numPr>
        <w:spacing w:before="100" w:beforeAutospacing="1" w:after="100" w:afterAutospacing="1" w:line="240" w:lineRule="auto"/>
        <w:rPr>
          <w:rFonts w:ascii="Arial" w:hAnsi="Arial" w:cs="Arial"/>
          <w:sz w:val="22"/>
          <w:szCs w:val="22"/>
        </w:rPr>
      </w:pPr>
      <w:r w:rsidRPr="00371DCB">
        <w:rPr>
          <w:rFonts w:ascii="Arial" w:hAnsi="Arial" w:cs="Arial"/>
          <w:sz w:val="22"/>
          <w:szCs w:val="22"/>
        </w:rPr>
        <w:t xml:space="preserve">Informed consent will be obtained by qualified study personnel i.e. counselors or study nurses. </w:t>
      </w:r>
    </w:p>
    <w:p w14:paraId="5FDF1CD3" w14:textId="77777777" w:rsidR="00373815" w:rsidRPr="00371DCB" w:rsidRDefault="00373815" w:rsidP="00FB2D39">
      <w:pPr>
        <w:pStyle w:val="NormalWeb"/>
        <w:numPr>
          <w:ilvl w:val="0"/>
          <w:numId w:val="40"/>
        </w:numPr>
        <w:spacing w:before="100" w:beforeAutospacing="1" w:after="100" w:afterAutospacing="1" w:line="240" w:lineRule="auto"/>
        <w:rPr>
          <w:rFonts w:ascii="Arial" w:hAnsi="Arial" w:cs="Arial"/>
          <w:sz w:val="22"/>
          <w:szCs w:val="22"/>
        </w:rPr>
      </w:pPr>
      <w:r w:rsidRPr="00371DCB">
        <w:rPr>
          <w:rFonts w:ascii="Arial" w:hAnsi="Arial" w:cs="Arial"/>
          <w:sz w:val="22"/>
          <w:szCs w:val="22"/>
        </w:rPr>
        <w:t xml:space="preserve">Prospective participants will be given ample time to ask questions about the study, and if requested, be allowed to discuss participation with partners/family members. </w:t>
      </w:r>
    </w:p>
    <w:p w14:paraId="0D61BFFE" w14:textId="77777777" w:rsidR="00373815" w:rsidRPr="00371DCB" w:rsidRDefault="00373815" w:rsidP="00FB2D39">
      <w:pPr>
        <w:pStyle w:val="NormalWeb"/>
        <w:numPr>
          <w:ilvl w:val="0"/>
          <w:numId w:val="40"/>
        </w:numPr>
        <w:spacing w:before="100" w:beforeAutospacing="1" w:after="100" w:afterAutospacing="1" w:line="240" w:lineRule="auto"/>
        <w:rPr>
          <w:rFonts w:ascii="Arial" w:hAnsi="Arial" w:cs="Arial"/>
          <w:sz w:val="22"/>
          <w:szCs w:val="22"/>
        </w:rPr>
      </w:pPr>
      <w:r w:rsidRPr="00371DCB">
        <w:rPr>
          <w:rFonts w:ascii="Arial" w:hAnsi="Arial" w:cs="Arial"/>
          <w:sz w:val="22"/>
          <w:szCs w:val="22"/>
        </w:rPr>
        <w:t>The sub-investigators will verify that the participant or their guardian has enquired adequate knowledge about the study and fully understands the Informed consent.</w:t>
      </w:r>
    </w:p>
    <w:p w14:paraId="7A0F37FB" w14:textId="3B86D942" w:rsidR="00373815" w:rsidRPr="00371DCB" w:rsidRDefault="00373815" w:rsidP="00FB2D39">
      <w:pPr>
        <w:pStyle w:val="NormalWeb"/>
        <w:numPr>
          <w:ilvl w:val="0"/>
          <w:numId w:val="40"/>
        </w:numPr>
        <w:spacing w:before="100" w:beforeAutospacing="1" w:after="100" w:afterAutospacing="1" w:line="240" w:lineRule="auto"/>
        <w:rPr>
          <w:rFonts w:ascii="Arial" w:hAnsi="Arial" w:cs="Arial"/>
          <w:sz w:val="22"/>
          <w:szCs w:val="22"/>
        </w:rPr>
      </w:pPr>
      <w:r w:rsidRPr="00371DCB">
        <w:rPr>
          <w:rFonts w:ascii="Arial" w:hAnsi="Arial" w:cs="Arial"/>
          <w:sz w:val="22"/>
          <w:szCs w:val="22"/>
        </w:rPr>
        <w:t>As part of the quality assurance process, a quality controller will verify the signature of the informed consent prior to the participant leaving the site,</w:t>
      </w:r>
      <w:r w:rsidR="007066B7">
        <w:rPr>
          <w:rFonts w:ascii="Arial" w:hAnsi="Arial" w:cs="Arial"/>
          <w:sz w:val="22"/>
          <w:szCs w:val="22"/>
        </w:rPr>
        <w:t xml:space="preserve"> </w:t>
      </w:r>
      <w:r w:rsidRPr="00371DCB">
        <w:rPr>
          <w:rFonts w:ascii="Arial" w:hAnsi="Arial" w:cs="Arial"/>
          <w:sz w:val="22"/>
          <w:szCs w:val="22"/>
        </w:rPr>
        <w:t xml:space="preserve">and will also ensure that the participant receives a copy of the signed document. </w:t>
      </w:r>
    </w:p>
    <w:p w14:paraId="34E387AE" w14:textId="77777777" w:rsidR="00373815" w:rsidRPr="00371DCB" w:rsidRDefault="00373815" w:rsidP="00FB2D39">
      <w:pPr>
        <w:pStyle w:val="NormalWeb"/>
        <w:numPr>
          <w:ilvl w:val="0"/>
          <w:numId w:val="40"/>
        </w:numPr>
        <w:spacing w:before="100" w:beforeAutospacing="1" w:after="100" w:afterAutospacing="1" w:line="240" w:lineRule="auto"/>
        <w:rPr>
          <w:rFonts w:ascii="Arial" w:hAnsi="Arial" w:cs="Arial"/>
          <w:sz w:val="22"/>
          <w:szCs w:val="22"/>
        </w:rPr>
      </w:pPr>
      <w:r w:rsidRPr="00371DCB">
        <w:rPr>
          <w:rFonts w:ascii="Arial" w:hAnsi="Arial" w:cs="Arial"/>
          <w:sz w:val="22"/>
          <w:szCs w:val="22"/>
        </w:rPr>
        <w:t>The consent remains an ongoing process until the participant discontinues the study.</w:t>
      </w:r>
    </w:p>
    <w:p w14:paraId="17D8DC7B" w14:textId="77777777" w:rsidR="00373815" w:rsidRPr="00371DCB" w:rsidRDefault="00373815" w:rsidP="00FB2D39">
      <w:pPr>
        <w:jc w:val="both"/>
        <w:rPr>
          <w:rFonts w:ascii="Arial" w:hAnsi="Arial" w:cs="Arial"/>
          <w:sz w:val="22"/>
          <w:szCs w:val="22"/>
        </w:rPr>
      </w:pPr>
    </w:p>
    <w:p w14:paraId="6AFFEE0E" w14:textId="77777777" w:rsidR="00373815" w:rsidRPr="00371DCB" w:rsidRDefault="00373815" w:rsidP="00FB2D39">
      <w:pPr>
        <w:jc w:val="both"/>
        <w:rPr>
          <w:rFonts w:ascii="Arial" w:hAnsi="Arial" w:cs="Arial"/>
          <w:sz w:val="22"/>
          <w:szCs w:val="22"/>
        </w:rPr>
      </w:pPr>
    </w:p>
    <w:p w14:paraId="2AEB5E35" w14:textId="77777777" w:rsidR="00373815" w:rsidRPr="00371DCB" w:rsidRDefault="00373815" w:rsidP="00FB2D39">
      <w:pPr>
        <w:jc w:val="both"/>
        <w:rPr>
          <w:rFonts w:ascii="Arial" w:hAnsi="Arial" w:cs="Arial"/>
          <w:sz w:val="22"/>
          <w:szCs w:val="22"/>
        </w:rPr>
      </w:pPr>
    </w:p>
    <w:p w14:paraId="22CBB786" w14:textId="2C14B775" w:rsidR="008D6B9C" w:rsidRPr="00371DCB" w:rsidRDefault="008D6B9C" w:rsidP="00FB2D39">
      <w:pPr>
        <w:pageBreakBefore/>
        <w:jc w:val="both"/>
        <w:rPr>
          <w:rFonts w:ascii="Arial" w:hAnsi="Arial" w:cs="Arial"/>
          <w:sz w:val="22"/>
          <w:szCs w:val="22"/>
          <w:highlight w:val="yellow"/>
        </w:rPr>
        <w:sectPr w:rsidR="008D6B9C" w:rsidRPr="00371DCB" w:rsidSect="00FD6ABF">
          <w:headerReference w:type="even" r:id="rId62"/>
          <w:headerReference w:type="default" r:id="rId63"/>
          <w:footerReference w:type="even" r:id="rId64"/>
          <w:footerReference w:type="default" r:id="rId65"/>
          <w:headerReference w:type="first" r:id="rId66"/>
          <w:footerReference w:type="first" r:id="rId67"/>
          <w:pgSz w:w="12240" w:h="15840" w:code="1"/>
          <w:pgMar w:top="1440" w:right="1440" w:bottom="1440" w:left="1440" w:header="720" w:footer="720" w:gutter="0"/>
          <w:paperSrc w:first="7" w:other="7"/>
          <w:cols w:space="720"/>
          <w:titlePg/>
          <w:rtlGutter/>
          <w:docGrid w:linePitch="326"/>
        </w:sectPr>
      </w:pPr>
    </w:p>
    <w:p w14:paraId="3CA4A1EC" w14:textId="40EF4DD3" w:rsidR="00AA0D69" w:rsidRPr="00371DCB" w:rsidRDefault="00AA0D69" w:rsidP="00FB2D39">
      <w:pPr>
        <w:pStyle w:val="Heading2non-numbered"/>
        <w:jc w:val="both"/>
      </w:pPr>
      <w:bookmarkStart w:id="195" w:name="_Toc38818809"/>
      <w:bookmarkStart w:id="196" w:name="Appendix_4"/>
      <w:r w:rsidRPr="00371DCB">
        <w:lastRenderedPageBreak/>
        <w:t xml:space="preserve">Appendix 6: The </w:t>
      </w:r>
      <w:proofErr w:type="spellStart"/>
      <w:r w:rsidRPr="00371DCB">
        <w:t>inFLUenza</w:t>
      </w:r>
      <w:proofErr w:type="spellEnd"/>
      <w:r w:rsidRPr="00371DCB">
        <w:t xml:space="preserve"> Patient-Reported Outcome Instrument (Flu-PRO) – Modified for SARS-COV-2</w:t>
      </w:r>
      <w:bookmarkEnd w:id="195"/>
    </w:p>
    <w:p w14:paraId="2CC2D83E" w14:textId="27A8CD9A" w:rsidR="00AA0D69" w:rsidRPr="00371DCB" w:rsidRDefault="007C313F" w:rsidP="00FB2D39">
      <w:pPr>
        <w:spacing w:after="160" w:line="259" w:lineRule="auto"/>
        <w:jc w:val="both"/>
        <w:rPr>
          <w:rFonts w:ascii="Arial" w:hAnsi="Arial" w:cs="Arial"/>
          <w:sz w:val="22"/>
          <w:szCs w:val="22"/>
        </w:rPr>
      </w:pPr>
      <w:r>
        <w:rPr>
          <w:rFonts w:ascii="Arial" w:hAnsi="Arial" w:cs="Arial"/>
          <w:sz w:val="22"/>
          <w:szCs w:val="22"/>
        </w:rPr>
        <w:t>DAILY SURVEY (D1-14</w:t>
      </w:r>
      <w:r w:rsidR="00AA0D69" w:rsidRPr="00371DCB">
        <w:rPr>
          <w:rFonts w:ascii="Arial" w:hAnsi="Arial" w:cs="Arial"/>
          <w:sz w:val="22"/>
          <w:szCs w:val="22"/>
        </w:rPr>
        <w:t>)</w:t>
      </w:r>
    </w:p>
    <w:p w14:paraId="49EE92EC" w14:textId="77777777" w:rsidR="00AA0D69" w:rsidRPr="00371DCB" w:rsidRDefault="00AA0D69" w:rsidP="00FB2D39">
      <w:pPr>
        <w:spacing w:after="160" w:line="259" w:lineRule="auto"/>
        <w:jc w:val="both"/>
        <w:rPr>
          <w:rFonts w:ascii="Arial" w:hAnsi="Arial" w:cs="Arial"/>
          <w:sz w:val="22"/>
          <w:szCs w:val="22"/>
        </w:rPr>
      </w:pPr>
      <w:proofErr w:type="spellStart"/>
      <w:r w:rsidRPr="00371DCB">
        <w:rPr>
          <w:rFonts w:ascii="Arial" w:hAnsi="Arial" w:cs="Arial"/>
          <w:sz w:val="22"/>
          <w:szCs w:val="22"/>
        </w:rPr>
        <w:t>inFLUenza</w:t>
      </w:r>
      <w:proofErr w:type="spellEnd"/>
      <w:r w:rsidRPr="00371DCB">
        <w:rPr>
          <w:rFonts w:ascii="Arial" w:hAnsi="Arial" w:cs="Arial"/>
          <w:sz w:val="22"/>
          <w:szCs w:val="22"/>
        </w:rPr>
        <w:t xml:space="preserve"> patient-reported outcome (Flu-PRO): 32 items validated, can score across domains.</w:t>
      </w:r>
    </w:p>
    <w:p w14:paraId="60873DC0" w14:textId="77777777" w:rsidR="00AA0D69" w:rsidRPr="00371DCB" w:rsidRDefault="00AA0D69" w:rsidP="00FB2D39">
      <w:pPr>
        <w:spacing w:after="160" w:line="259" w:lineRule="auto"/>
        <w:jc w:val="both"/>
        <w:rPr>
          <w:rFonts w:ascii="Arial" w:hAnsi="Arial" w:cs="Arial"/>
          <w:sz w:val="22"/>
          <w:szCs w:val="22"/>
        </w:rPr>
      </w:pPr>
    </w:p>
    <w:p w14:paraId="3F58DCAC" w14:textId="77777777" w:rsidR="00AA0D69" w:rsidRPr="00371DCB" w:rsidRDefault="00AA0D69" w:rsidP="00FB2D39">
      <w:pPr>
        <w:spacing w:after="160" w:line="259" w:lineRule="auto"/>
        <w:jc w:val="both"/>
        <w:rPr>
          <w:rFonts w:ascii="Arial" w:hAnsi="Arial" w:cs="Arial"/>
          <w:sz w:val="22"/>
          <w:szCs w:val="22"/>
        </w:rPr>
      </w:pPr>
      <w:r w:rsidRPr="00371DCB">
        <w:rPr>
          <w:rFonts w:ascii="Arial" w:hAnsi="Arial" w:cs="Arial"/>
          <w:sz w:val="22"/>
          <w:szCs w:val="22"/>
        </w:rPr>
        <w:t>***FYI: This takes about 5 minutes to complete</w:t>
      </w:r>
    </w:p>
    <w:p w14:paraId="4F1677DE" w14:textId="77777777" w:rsidR="00AA0D69" w:rsidRPr="00371DCB" w:rsidRDefault="00AA0D69" w:rsidP="00FB2D39">
      <w:pPr>
        <w:spacing w:after="160" w:line="259" w:lineRule="auto"/>
        <w:jc w:val="both"/>
        <w:rPr>
          <w:rFonts w:ascii="Arial" w:hAnsi="Arial" w:cs="Arial"/>
          <w:sz w:val="22"/>
          <w:szCs w:val="22"/>
        </w:rPr>
      </w:pPr>
    </w:p>
    <w:p w14:paraId="2C016122" w14:textId="77777777" w:rsidR="00AA0D69" w:rsidRPr="00371DCB" w:rsidRDefault="00AA0D69" w:rsidP="00FB2D39">
      <w:pPr>
        <w:spacing w:after="160" w:line="259" w:lineRule="auto"/>
        <w:jc w:val="both"/>
        <w:rPr>
          <w:rFonts w:ascii="Arial" w:hAnsi="Arial" w:cs="Arial"/>
          <w:sz w:val="22"/>
          <w:szCs w:val="22"/>
        </w:rPr>
      </w:pPr>
      <w:r w:rsidRPr="00371DCB">
        <w:rPr>
          <w:rFonts w:ascii="Arial" w:hAnsi="Arial" w:cs="Arial"/>
          <w:sz w:val="22"/>
          <w:szCs w:val="22"/>
        </w:rPr>
        <w:t>How are you feeling today?</w:t>
      </w:r>
    </w:p>
    <w:p w14:paraId="4BF814E4" w14:textId="77777777" w:rsidR="00AA0D69" w:rsidRPr="00371DCB" w:rsidRDefault="00AA0D69" w:rsidP="00FB2D39">
      <w:pPr>
        <w:spacing w:after="160" w:line="259" w:lineRule="auto"/>
        <w:jc w:val="both"/>
        <w:rPr>
          <w:rFonts w:ascii="Arial" w:hAnsi="Arial" w:cs="Arial"/>
          <w:sz w:val="22"/>
          <w:szCs w:val="22"/>
        </w:rPr>
      </w:pPr>
      <w:r w:rsidRPr="00371DCB">
        <w:rPr>
          <w:rFonts w:ascii="Arial" w:hAnsi="Arial" w:cs="Arial"/>
          <w:sz w:val="22"/>
          <w:szCs w:val="22"/>
        </w:rPr>
        <w:t>FLU-PRO</w:t>
      </w:r>
      <w:r w:rsidRPr="00371DCB">
        <w:rPr>
          <w:rFonts w:ascii="Arial" w:hAnsi="Arial" w:cs="Arial"/>
          <w:sz w:val="22"/>
          <w:szCs w:val="22"/>
        </w:rPr>
        <w:tab/>
      </w:r>
      <w:r w:rsidRPr="00371DCB">
        <w:rPr>
          <w:rFonts w:ascii="Arial" w:hAnsi="Arial" w:cs="Arial"/>
          <w:sz w:val="22"/>
          <w:szCs w:val="22"/>
        </w:rPr>
        <w:tab/>
        <w:t>Not at all</w:t>
      </w:r>
      <w:r w:rsidRPr="00371DCB">
        <w:rPr>
          <w:rFonts w:ascii="Arial" w:hAnsi="Arial" w:cs="Arial"/>
          <w:sz w:val="22"/>
          <w:szCs w:val="22"/>
        </w:rPr>
        <w:tab/>
        <w:t>A little bit</w:t>
      </w:r>
      <w:r w:rsidRPr="00371DCB">
        <w:rPr>
          <w:rFonts w:ascii="Arial" w:hAnsi="Arial" w:cs="Arial"/>
          <w:sz w:val="22"/>
          <w:szCs w:val="22"/>
        </w:rPr>
        <w:tab/>
        <w:t>Somewhat</w:t>
      </w:r>
      <w:r w:rsidRPr="00371DCB">
        <w:rPr>
          <w:rFonts w:ascii="Arial" w:hAnsi="Arial" w:cs="Arial"/>
          <w:sz w:val="22"/>
          <w:szCs w:val="22"/>
        </w:rPr>
        <w:tab/>
        <w:t xml:space="preserve">Quite a bit </w:t>
      </w:r>
      <w:r w:rsidRPr="00371DCB">
        <w:rPr>
          <w:rFonts w:ascii="Arial" w:hAnsi="Arial" w:cs="Arial"/>
          <w:sz w:val="22"/>
          <w:szCs w:val="22"/>
        </w:rPr>
        <w:tab/>
        <w:t>Very much</w:t>
      </w:r>
    </w:p>
    <w:p w14:paraId="074649DF"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Nose</w:t>
      </w:r>
    </w:p>
    <w:p w14:paraId="2E8C97BA"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Runny or dripping</w:t>
      </w:r>
    </w:p>
    <w:p w14:paraId="62A57862"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Congestion or stuffy</w:t>
      </w:r>
    </w:p>
    <w:p w14:paraId="01084230"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Sneezing</w:t>
      </w:r>
    </w:p>
    <w:p w14:paraId="34DFE535"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Sinus pressure</w:t>
      </w:r>
    </w:p>
    <w:p w14:paraId="0C68FDD2"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Lack of smell</w:t>
      </w:r>
    </w:p>
    <w:p w14:paraId="32DE1EEB"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Throat</w:t>
      </w:r>
    </w:p>
    <w:p w14:paraId="0E54F35B"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Sore throat</w:t>
      </w:r>
    </w:p>
    <w:p w14:paraId="6C089AF2"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Scratchy or itchy throat</w:t>
      </w:r>
    </w:p>
    <w:p w14:paraId="212D36E8"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Difficulty swallowing</w:t>
      </w:r>
    </w:p>
    <w:p w14:paraId="5EA01D40"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Lack of taste</w:t>
      </w:r>
    </w:p>
    <w:p w14:paraId="3F8EF837"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Eyes</w:t>
      </w:r>
    </w:p>
    <w:p w14:paraId="6AD53942"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Teary or watery eyes</w:t>
      </w:r>
    </w:p>
    <w:p w14:paraId="11028CAB"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Sore or painful eyes</w:t>
      </w:r>
    </w:p>
    <w:p w14:paraId="29DB40FB"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Eyes sensitive to light</w:t>
      </w:r>
    </w:p>
    <w:p w14:paraId="5B58B440"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Chest/Respiratory</w:t>
      </w:r>
    </w:p>
    <w:p w14:paraId="7507D7A2"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Trouble breathing</w:t>
      </w:r>
    </w:p>
    <w:p w14:paraId="48E860A1"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Chest congestion</w:t>
      </w:r>
    </w:p>
    <w:p w14:paraId="15CFE738"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Chest tightness</w:t>
      </w:r>
    </w:p>
    <w:p w14:paraId="63E603F1"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Dry or hacking cough</w:t>
      </w:r>
    </w:p>
    <w:p w14:paraId="0A322206"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Wet or loose cough</w:t>
      </w:r>
    </w:p>
    <w:p w14:paraId="4050021E" w14:textId="77777777" w:rsidR="00AA0D69" w:rsidRPr="00371DCB" w:rsidRDefault="00AA0D69" w:rsidP="00FB2D39">
      <w:pPr>
        <w:autoSpaceDE w:val="0"/>
        <w:autoSpaceDN w:val="0"/>
        <w:adjustRightInd w:val="0"/>
        <w:jc w:val="both"/>
        <w:rPr>
          <w:rFonts w:ascii="Arial" w:hAnsi="Arial" w:cs="Arial"/>
          <w:sz w:val="22"/>
          <w:szCs w:val="22"/>
        </w:rPr>
      </w:pPr>
      <w:r w:rsidRPr="00371DCB">
        <w:rPr>
          <w:rFonts w:ascii="Arial" w:hAnsi="Arial" w:cs="Arial"/>
          <w:sz w:val="22"/>
          <w:szCs w:val="22"/>
        </w:rPr>
        <w:t xml:space="preserve">  Sputum (coughing up sputum or phlegm)</w:t>
      </w:r>
    </w:p>
    <w:p w14:paraId="586E0CBE"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Wheezing</w:t>
      </w:r>
    </w:p>
    <w:p w14:paraId="10EBB8AE"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Gastrointestinal</w:t>
      </w:r>
    </w:p>
    <w:p w14:paraId="3E18B504"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Felt nauseous</w:t>
      </w:r>
    </w:p>
    <w:p w14:paraId="54E53112"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Stomach ache</w:t>
      </w:r>
    </w:p>
    <w:p w14:paraId="7798587A"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Vomit</w:t>
      </w:r>
    </w:p>
    <w:p w14:paraId="2A873177"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w:t>
      </w:r>
      <w:proofErr w:type="spellStart"/>
      <w:r w:rsidRPr="00371DCB">
        <w:rPr>
          <w:rFonts w:ascii="Arial" w:hAnsi="Arial" w:cs="Arial"/>
          <w:sz w:val="22"/>
          <w:szCs w:val="22"/>
        </w:rPr>
        <w:t>Diarrhea</w:t>
      </w:r>
      <w:proofErr w:type="spellEnd"/>
    </w:p>
    <w:p w14:paraId="1F816080"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Body/Systemic</w:t>
      </w:r>
    </w:p>
    <w:p w14:paraId="415FBFCE"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Felt Dizzy</w:t>
      </w:r>
    </w:p>
    <w:p w14:paraId="114E093F"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Head congestion</w:t>
      </w:r>
    </w:p>
    <w:p w14:paraId="79C56D55"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Headache</w:t>
      </w:r>
    </w:p>
    <w:p w14:paraId="26003F9B"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lastRenderedPageBreak/>
        <w:t xml:space="preserve">  Lack of appetite</w:t>
      </w:r>
    </w:p>
    <w:p w14:paraId="7294DC2C"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Sleeping more than usual</w:t>
      </w:r>
    </w:p>
    <w:p w14:paraId="53CF6D08"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Body aches or pains</w:t>
      </w:r>
    </w:p>
    <w:p w14:paraId="5796BF38"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Weak or tired</w:t>
      </w:r>
    </w:p>
    <w:p w14:paraId="4D32B616"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Chills of shivering</w:t>
      </w:r>
    </w:p>
    <w:p w14:paraId="2D8055AA"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Felt cold</w:t>
      </w:r>
    </w:p>
    <w:p w14:paraId="2F633546"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Felt hot</w:t>
      </w:r>
    </w:p>
    <w:p w14:paraId="0BFF8218"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  Sweating</w:t>
      </w:r>
    </w:p>
    <w:p w14:paraId="642E8704" w14:textId="77777777" w:rsidR="00AA0D69" w:rsidRPr="00371DCB" w:rsidRDefault="00AA0D69" w:rsidP="00FB2D39">
      <w:pPr>
        <w:spacing w:line="259" w:lineRule="auto"/>
        <w:jc w:val="both"/>
        <w:rPr>
          <w:rFonts w:ascii="Arial" w:hAnsi="Arial" w:cs="Arial"/>
          <w:sz w:val="22"/>
          <w:szCs w:val="22"/>
        </w:rPr>
      </w:pPr>
    </w:p>
    <w:p w14:paraId="67FE9C69"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How are you feeling today?</w:t>
      </w:r>
    </w:p>
    <w:p w14:paraId="2DC360EE"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0 no symptoms</w:t>
      </w:r>
      <w:r w:rsidRPr="00371DCB">
        <w:rPr>
          <w:rFonts w:ascii="Arial" w:hAnsi="Arial" w:cs="Arial"/>
          <w:sz w:val="22"/>
          <w:szCs w:val="22"/>
        </w:rPr>
        <w:tab/>
        <w:t>1 Mild</w:t>
      </w:r>
      <w:r w:rsidRPr="00371DCB">
        <w:rPr>
          <w:rFonts w:ascii="Arial" w:hAnsi="Arial" w:cs="Arial"/>
          <w:sz w:val="22"/>
          <w:szCs w:val="22"/>
        </w:rPr>
        <w:tab/>
      </w:r>
      <w:r w:rsidRPr="00371DCB">
        <w:rPr>
          <w:rFonts w:ascii="Arial" w:hAnsi="Arial" w:cs="Arial"/>
          <w:sz w:val="22"/>
          <w:szCs w:val="22"/>
        </w:rPr>
        <w:tab/>
        <w:t>2 Moderate</w:t>
      </w:r>
      <w:r w:rsidRPr="00371DCB">
        <w:rPr>
          <w:rFonts w:ascii="Arial" w:hAnsi="Arial" w:cs="Arial"/>
          <w:sz w:val="22"/>
          <w:szCs w:val="22"/>
        </w:rPr>
        <w:tab/>
        <w:t>3 Severe</w:t>
      </w:r>
      <w:r w:rsidRPr="00371DCB">
        <w:rPr>
          <w:rFonts w:ascii="Arial" w:hAnsi="Arial" w:cs="Arial"/>
          <w:sz w:val="22"/>
          <w:szCs w:val="22"/>
        </w:rPr>
        <w:tab/>
        <w:t>4 Very severe</w:t>
      </w:r>
    </w:p>
    <w:p w14:paraId="3B6A5CCF"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Please rate interference in daily activities due to illness:</w:t>
      </w:r>
    </w:p>
    <w:p w14:paraId="7A773C93"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 xml:space="preserve">1 Not at all </w:t>
      </w:r>
      <w:r w:rsidRPr="00371DCB">
        <w:rPr>
          <w:rFonts w:ascii="Arial" w:hAnsi="Arial" w:cs="Arial"/>
          <w:sz w:val="22"/>
          <w:szCs w:val="22"/>
        </w:rPr>
        <w:tab/>
        <w:t>2 A little bit</w:t>
      </w:r>
      <w:r w:rsidRPr="00371DCB">
        <w:rPr>
          <w:rFonts w:ascii="Arial" w:hAnsi="Arial" w:cs="Arial"/>
          <w:sz w:val="22"/>
          <w:szCs w:val="22"/>
        </w:rPr>
        <w:tab/>
        <w:t xml:space="preserve">3 Somewhat </w:t>
      </w:r>
      <w:r w:rsidRPr="00371DCB">
        <w:rPr>
          <w:rFonts w:ascii="Arial" w:hAnsi="Arial" w:cs="Arial"/>
          <w:sz w:val="22"/>
          <w:szCs w:val="22"/>
        </w:rPr>
        <w:tab/>
        <w:t xml:space="preserve">4 Quite a bit </w:t>
      </w:r>
      <w:r w:rsidRPr="00371DCB">
        <w:rPr>
          <w:rFonts w:ascii="Arial" w:hAnsi="Arial" w:cs="Arial"/>
          <w:sz w:val="22"/>
          <w:szCs w:val="22"/>
        </w:rPr>
        <w:tab/>
        <w:t>5 Very much</w:t>
      </w:r>
    </w:p>
    <w:p w14:paraId="4B5BC944"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How is your general health?</w:t>
      </w:r>
    </w:p>
    <w:p w14:paraId="1B4504E8"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1 Poor</w:t>
      </w:r>
      <w:r w:rsidRPr="00371DCB">
        <w:rPr>
          <w:rFonts w:ascii="Arial" w:hAnsi="Arial" w:cs="Arial"/>
          <w:sz w:val="22"/>
          <w:szCs w:val="22"/>
        </w:rPr>
        <w:tab/>
      </w:r>
      <w:r w:rsidRPr="00371DCB">
        <w:rPr>
          <w:rFonts w:ascii="Arial" w:hAnsi="Arial" w:cs="Arial"/>
          <w:sz w:val="22"/>
          <w:szCs w:val="22"/>
        </w:rPr>
        <w:tab/>
        <w:t>2 Fair</w:t>
      </w:r>
      <w:r w:rsidRPr="00371DCB">
        <w:rPr>
          <w:rFonts w:ascii="Arial" w:hAnsi="Arial" w:cs="Arial"/>
          <w:sz w:val="22"/>
          <w:szCs w:val="22"/>
        </w:rPr>
        <w:tab/>
      </w:r>
      <w:r w:rsidRPr="00371DCB">
        <w:rPr>
          <w:rFonts w:ascii="Arial" w:hAnsi="Arial" w:cs="Arial"/>
          <w:sz w:val="22"/>
          <w:szCs w:val="22"/>
        </w:rPr>
        <w:tab/>
        <w:t xml:space="preserve">3 Good </w:t>
      </w:r>
      <w:r w:rsidRPr="00371DCB">
        <w:rPr>
          <w:rFonts w:ascii="Arial" w:hAnsi="Arial" w:cs="Arial"/>
          <w:sz w:val="22"/>
          <w:szCs w:val="22"/>
        </w:rPr>
        <w:tab/>
      </w:r>
      <w:r w:rsidRPr="00371DCB">
        <w:rPr>
          <w:rFonts w:ascii="Arial" w:hAnsi="Arial" w:cs="Arial"/>
          <w:sz w:val="22"/>
          <w:szCs w:val="22"/>
        </w:rPr>
        <w:tab/>
        <w:t xml:space="preserve">4 Very good </w:t>
      </w:r>
      <w:r w:rsidRPr="00371DCB">
        <w:rPr>
          <w:rFonts w:ascii="Arial" w:hAnsi="Arial" w:cs="Arial"/>
          <w:sz w:val="22"/>
          <w:szCs w:val="22"/>
        </w:rPr>
        <w:tab/>
        <w:t>5 Excellent</w:t>
      </w:r>
    </w:p>
    <w:p w14:paraId="41D9EB88"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Have you returned to your usual health today?</w:t>
      </w:r>
      <w:r w:rsidRPr="00371DCB">
        <w:rPr>
          <w:rFonts w:ascii="Arial" w:hAnsi="Arial" w:cs="Arial"/>
          <w:sz w:val="22"/>
          <w:szCs w:val="22"/>
        </w:rPr>
        <w:tab/>
      </w:r>
      <w:r w:rsidRPr="00371DCB">
        <w:rPr>
          <w:rFonts w:ascii="Arial" w:hAnsi="Arial" w:cs="Arial"/>
          <w:sz w:val="22"/>
          <w:szCs w:val="22"/>
        </w:rPr>
        <w:tab/>
        <w:t>Yes/no</w:t>
      </w:r>
    </w:p>
    <w:p w14:paraId="602DA389"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Have you returned to your usual activities today?</w:t>
      </w:r>
      <w:r w:rsidRPr="00371DCB">
        <w:rPr>
          <w:rFonts w:ascii="Arial" w:hAnsi="Arial" w:cs="Arial"/>
          <w:sz w:val="22"/>
          <w:szCs w:val="22"/>
        </w:rPr>
        <w:tab/>
        <w:t>Yes/no</w:t>
      </w:r>
    </w:p>
    <w:p w14:paraId="51E7A485" w14:textId="77777777" w:rsidR="00AA0D69" w:rsidRPr="00371DCB" w:rsidRDefault="00AA0D69" w:rsidP="00FB2D39">
      <w:pPr>
        <w:spacing w:line="259" w:lineRule="auto"/>
        <w:jc w:val="both"/>
        <w:rPr>
          <w:rFonts w:ascii="Arial" w:hAnsi="Arial" w:cs="Arial"/>
          <w:sz w:val="22"/>
          <w:szCs w:val="22"/>
        </w:rPr>
      </w:pPr>
    </w:p>
    <w:p w14:paraId="3E9F75C8"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TAKE MEDS, TAKE SWAB (Copy post-exposure prophylaxis)</w:t>
      </w:r>
    </w:p>
    <w:p w14:paraId="06764FFA"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Take your vitals:</w:t>
      </w:r>
    </w:p>
    <w:p w14:paraId="03E6E6E4" w14:textId="77777777" w:rsidR="00AA0D69" w:rsidRPr="00371DCB" w:rsidRDefault="00AA0D69" w:rsidP="00FB2D39">
      <w:pPr>
        <w:pStyle w:val="ListParagraph"/>
        <w:numPr>
          <w:ilvl w:val="0"/>
          <w:numId w:val="51"/>
        </w:numPr>
        <w:spacing w:before="0" w:line="259" w:lineRule="auto"/>
        <w:rPr>
          <w:rFonts w:ascii="Arial" w:hAnsi="Arial" w:cs="Arial"/>
          <w:sz w:val="22"/>
          <w:szCs w:val="22"/>
        </w:rPr>
      </w:pPr>
      <w:r w:rsidRPr="00371DCB">
        <w:rPr>
          <w:rFonts w:ascii="Arial" w:hAnsi="Arial" w:cs="Arial"/>
          <w:sz w:val="22"/>
          <w:szCs w:val="22"/>
        </w:rPr>
        <w:t>Oxygen level</w:t>
      </w:r>
    </w:p>
    <w:p w14:paraId="4C346DBA" w14:textId="77777777" w:rsidR="00AA0D69" w:rsidRPr="00371DCB" w:rsidRDefault="00AA0D69" w:rsidP="00FB2D39">
      <w:pPr>
        <w:pStyle w:val="ListParagraph"/>
        <w:numPr>
          <w:ilvl w:val="0"/>
          <w:numId w:val="51"/>
        </w:numPr>
        <w:spacing w:before="0" w:line="259" w:lineRule="auto"/>
        <w:rPr>
          <w:rFonts w:ascii="Arial" w:hAnsi="Arial" w:cs="Arial"/>
          <w:sz w:val="22"/>
          <w:szCs w:val="22"/>
        </w:rPr>
      </w:pPr>
      <w:r w:rsidRPr="00371DCB">
        <w:rPr>
          <w:rFonts w:ascii="Arial" w:hAnsi="Arial" w:cs="Arial"/>
          <w:sz w:val="22"/>
          <w:szCs w:val="22"/>
        </w:rPr>
        <w:t>Pulse</w:t>
      </w:r>
    </w:p>
    <w:p w14:paraId="12625B8E" w14:textId="77777777" w:rsidR="00AA0D69" w:rsidRPr="00371DCB" w:rsidRDefault="00AA0D69" w:rsidP="00FB2D39">
      <w:pPr>
        <w:pStyle w:val="ListParagraph"/>
        <w:numPr>
          <w:ilvl w:val="0"/>
          <w:numId w:val="51"/>
        </w:numPr>
        <w:spacing w:before="0" w:line="259" w:lineRule="auto"/>
        <w:rPr>
          <w:rFonts w:ascii="Arial" w:hAnsi="Arial" w:cs="Arial"/>
          <w:sz w:val="22"/>
          <w:szCs w:val="22"/>
        </w:rPr>
      </w:pPr>
      <w:r w:rsidRPr="00371DCB">
        <w:rPr>
          <w:rFonts w:ascii="Arial" w:hAnsi="Arial" w:cs="Arial"/>
          <w:sz w:val="22"/>
          <w:szCs w:val="22"/>
        </w:rPr>
        <w:t>Temperature</w:t>
      </w:r>
    </w:p>
    <w:p w14:paraId="625F0809" w14:textId="77777777" w:rsidR="00AA0D69" w:rsidRPr="00371DCB" w:rsidRDefault="00AA0D69" w:rsidP="00FB2D39">
      <w:pPr>
        <w:pStyle w:val="ListParagraph"/>
        <w:numPr>
          <w:ilvl w:val="0"/>
          <w:numId w:val="51"/>
        </w:numPr>
        <w:spacing w:before="0" w:line="259" w:lineRule="auto"/>
        <w:rPr>
          <w:rFonts w:ascii="Arial" w:hAnsi="Arial" w:cs="Arial"/>
          <w:sz w:val="22"/>
          <w:szCs w:val="22"/>
        </w:rPr>
      </w:pPr>
      <w:r w:rsidRPr="00371DCB">
        <w:rPr>
          <w:rFonts w:ascii="Arial" w:hAnsi="Arial" w:cs="Arial"/>
          <w:sz w:val="22"/>
          <w:szCs w:val="22"/>
        </w:rPr>
        <w:t>Respiratory rate</w:t>
      </w:r>
    </w:p>
    <w:p w14:paraId="72C43CF9" w14:textId="77777777" w:rsidR="00AA0D69" w:rsidRPr="00371DCB" w:rsidRDefault="00AA0D69" w:rsidP="00FB2D39">
      <w:pPr>
        <w:pStyle w:val="ListParagraph"/>
        <w:numPr>
          <w:ilvl w:val="0"/>
          <w:numId w:val="51"/>
        </w:numPr>
        <w:spacing w:before="0" w:line="259" w:lineRule="auto"/>
        <w:rPr>
          <w:rFonts w:ascii="Arial" w:hAnsi="Arial" w:cs="Arial"/>
          <w:sz w:val="22"/>
          <w:szCs w:val="22"/>
        </w:rPr>
      </w:pPr>
      <w:r w:rsidRPr="00371DCB">
        <w:rPr>
          <w:rFonts w:ascii="Arial" w:hAnsi="Arial" w:cs="Arial"/>
          <w:sz w:val="22"/>
          <w:szCs w:val="22"/>
        </w:rPr>
        <w:t>Electrocardiogram monitor</w:t>
      </w:r>
    </w:p>
    <w:p w14:paraId="6D641863" w14:textId="77777777" w:rsidR="00AA0D69" w:rsidRPr="00371DCB" w:rsidRDefault="00AA0D69" w:rsidP="00FB2D39">
      <w:pPr>
        <w:spacing w:line="259" w:lineRule="auto"/>
        <w:jc w:val="both"/>
        <w:rPr>
          <w:rFonts w:ascii="Arial" w:hAnsi="Arial" w:cs="Arial"/>
          <w:sz w:val="22"/>
          <w:szCs w:val="22"/>
        </w:rPr>
      </w:pPr>
    </w:p>
    <w:p w14:paraId="34087897" w14:textId="77777777"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PM Time:</w:t>
      </w:r>
    </w:p>
    <w:p w14:paraId="4406FE9D" w14:textId="77777777" w:rsidR="00AA0D69" w:rsidRPr="00371DCB" w:rsidRDefault="00AA0D69" w:rsidP="00FB2D39">
      <w:pPr>
        <w:pStyle w:val="ListParagraph"/>
        <w:numPr>
          <w:ilvl w:val="0"/>
          <w:numId w:val="52"/>
        </w:numPr>
        <w:spacing w:before="0" w:line="259" w:lineRule="auto"/>
        <w:rPr>
          <w:rFonts w:ascii="Arial" w:hAnsi="Arial" w:cs="Arial"/>
          <w:sz w:val="22"/>
          <w:szCs w:val="22"/>
        </w:rPr>
      </w:pPr>
      <w:r w:rsidRPr="00371DCB">
        <w:rPr>
          <w:rFonts w:ascii="Arial" w:hAnsi="Arial" w:cs="Arial"/>
          <w:sz w:val="22"/>
          <w:szCs w:val="22"/>
        </w:rPr>
        <w:t>Take meds</w:t>
      </w:r>
    </w:p>
    <w:p w14:paraId="5B62AAFE" w14:textId="77777777" w:rsidR="00AA0D69" w:rsidRPr="00371DCB" w:rsidRDefault="00AA0D69" w:rsidP="00FB2D39">
      <w:pPr>
        <w:pStyle w:val="ListParagraph"/>
        <w:numPr>
          <w:ilvl w:val="0"/>
          <w:numId w:val="52"/>
        </w:numPr>
        <w:spacing w:before="0" w:line="259" w:lineRule="auto"/>
        <w:rPr>
          <w:rFonts w:ascii="Arial" w:hAnsi="Arial" w:cs="Arial"/>
          <w:sz w:val="22"/>
          <w:szCs w:val="22"/>
        </w:rPr>
      </w:pPr>
      <w:r w:rsidRPr="00371DCB">
        <w:rPr>
          <w:rFonts w:ascii="Arial" w:hAnsi="Arial" w:cs="Arial"/>
          <w:sz w:val="22"/>
          <w:szCs w:val="22"/>
        </w:rPr>
        <w:t>Take vitals</w:t>
      </w:r>
    </w:p>
    <w:p w14:paraId="7346C9EE" w14:textId="77777777" w:rsidR="00AA0D69" w:rsidRPr="00371DCB" w:rsidRDefault="00AA0D69" w:rsidP="00FB2D39">
      <w:pPr>
        <w:pStyle w:val="ListParagraph"/>
        <w:numPr>
          <w:ilvl w:val="0"/>
          <w:numId w:val="52"/>
        </w:numPr>
        <w:spacing w:before="0" w:line="259" w:lineRule="auto"/>
        <w:rPr>
          <w:rFonts w:ascii="Arial" w:hAnsi="Arial" w:cs="Arial"/>
          <w:sz w:val="22"/>
          <w:szCs w:val="22"/>
        </w:rPr>
      </w:pPr>
      <w:r w:rsidRPr="00371DCB">
        <w:rPr>
          <w:rFonts w:ascii="Arial" w:hAnsi="Arial" w:cs="Arial"/>
          <w:sz w:val="22"/>
          <w:szCs w:val="22"/>
        </w:rPr>
        <w:t>Oxygen level</w:t>
      </w:r>
    </w:p>
    <w:p w14:paraId="7DBDB2BB" w14:textId="77777777" w:rsidR="00AA0D69" w:rsidRPr="00371DCB" w:rsidRDefault="00AA0D69" w:rsidP="00FB2D39">
      <w:pPr>
        <w:pStyle w:val="ListParagraph"/>
        <w:numPr>
          <w:ilvl w:val="0"/>
          <w:numId w:val="52"/>
        </w:numPr>
        <w:spacing w:before="0" w:line="259" w:lineRule="auto"/>
        <w:rPr>
          <w:rFonts w:ascii="Arial" w:hAnsi="Arial" w:cs="Arial"/>
          <w:sz w:val="22"/>
          <w:szCs w:val="22"/>
        </w:rPr>
      </w:pPr>
      <w:r w:rsidRPr="00371DCB">
        <w:rPr>
          <w:rFonts w:ascii="Arial" w:hAnsi="Arial" w:cs="Arial"/>
          <w:sz w:val="22"/>
          <w:szCs w:val="22"/>
        </w:rPr>
        <w:t>Pulse</w:t>
      </w:r>
    </w:p>
    <w:p w14:paraId="717EB920" w14:textId="77777777" w:rsidR="00AA0D69" w:rsidRPr="00371DCB" w:rsidRDefault="00AA0D69" w:rsidP="00FB2D39">
      <w:pPr>
        <w:pStyle w:val="ListParagraph"/>
        <w:numPr>
          <w:ilvl w:val="0"/>
          <w:numId w:val="52"/>
        </w:numPr>
        <w:spacing w:before="0" w:line="259" w:lineRule="auto"/>
        <w:rPr>
          <w:rFonts w:ascii="Arial" w:hAnsi="Arial" w:cs="Arial"/>
          <w:sz w:val="22"/>
          <w:szCs w:val="22"/>
        </w:rPr>
      </w:pPr>
      <w:r w:rsidRPr="00371DCB">
        <w:rPr>
          <w:rFonts w:ascii="Arial" w:hAnsi="Arial" w:cs="Arial"/>
          <w:sz w:val="22"/>
          <w:szCs w:val="22"/>
        </w:rPr>
        <w:t>Temperature</w:t>
      </w:r>
    </w:p>
    <w:p w14:paraId="2590F0F2" w14:textId="77777777" w:rsidR="00AA0D69" w:rsidRPr="00371DCB" w:rsidRDefault="00AA0D69" w:rsidP="00FB2D39">
      <w:pPr>
        <w:pStyle w:val="ListParagraph"/>
        <w:numPr>
          <w:ilvl w:val="0"/>
          <w:numId w:val="52"/>
        </w:numPr>
        <w:spacing w:before="0" w:line="259" w:lineRule="auto"/>
        <w:rPr>
          <w:rFonts w:ascii="Arial" w:hAnsi="Arial" w:cs="Arial"/>
          <w:sz w:val="22"/>
          <w:szCs w:val="22"/>
        </w:rPr>
      </w:pPr>
      <w:r w:rsidRPr="00371DCB">
        <w:rPr>
          <w:rFonts w:ascii="Arial" w:hAnsi="Arial" w:cs="Arial"/>
          <w:sz w:val="22"/>
          <w:szCs w:val="22"/>
        </w:rPr>
        <w:t>Respiratory rate</w:t>
      </w:r>
    </w:p>
    <w:p w14:paraId="5229E660" w14:textId="173ED87A" w:rsidR="00AA0D69" w:rsidRPr="00371DCB" w:rsidRDefault="00AA0D69" w:rsidP="00FB2D39">
      <w:pPr>
        <w:spacing w:line="259" w:lineRule="auto"/>
        <w:jc w:val="both"/>
        <w:rPr>
          <w:rFonts w:ascii="Arial" w:hAnsi="Arial" w:cs="Arial"/>
          <w:sz w:val="22"/>
          <w:szCs w:val="22"/>
        </w:rPr>
      </w:pPr>
      <w:r w:rsidRPr="00371DCB">
        <w:rPr>
          <w:rFonts w:ascii="Arial" w:hAnsi="Arial" w:cs="Arial"/>
          <w:sz w:val="22"/>
          <w:szCs w:val="22"/>
        </w:rPr>
        <w:t>Anxious mood</w:t>
      </w:r>
      <w:r w:rsidRPr="00371DCB">
        <w:rPr>
          <w:rFonts w:ascii="Arial" w:hAnsi="Arial" w:cs="Arial"/>
          <w:sz w:val="22"/>
          <w:szCs w:val="22"/>
        </w:rPr>
        <w:tab/>
      </w:r>
      <w:r w:rsidRPr="00371DCB">
        <w:rPr>
          <w:rFonts w:ascii="Arial" w:hAnsi="Arial" w:cs="Arial"/>
          <w:sz w:val="22"/>
          <w:szCs w:val="22"/>
        </w:rPr>
        <w:tab/>
        <w:t xml:space="preserve">Not at all </w:t>
      </w:r>
      <w:r w:rsidRPr="00371DCB">
        <w:rPr>
          <w:rFonts w:ascii="Arial" w:hAnsi="Arial" w:cs="Arial"/>
          <w:sz w:val="22"/>
          <w:szCs w:val="22"/>
        </w:rPr>
        <w:tab/>
        <w:t>mild</w:t>
      </w:r>
      <w:r w:rsidRPr="00371DCB">
        <w:rPr>
          <w:rFonts w:ascii="Arial" w:hAnsi="Arial" w:cs="Arial"/>
          <w:sz w:val="22"/>
          <w:szCs w:val="22"/>
        </w:rPr>
        <w:tab/>
        <w:t>moderate</w:t>
      </w:r>
      <w:r w:rsidRPr="00371DCB">
        <w:rPr>
          <w:rFonts w:ascii="Arial" w:hAnsi="Arial" w:cs="Arial"/>
          <w:sz w:val="22"/>
          <w:szCs w:val="22"/>
        </w:rPr>
        <w:tab/>
        <w:t>severe</w:t>
      </w:r>
      <w:r w:rsidRPr="00371DCB">
        <w:rPr>
          <w:rFonts w:ascii="Arial" w:hAnsi="Arial" w:cs="Arial"/>
          <w:sz w:val="22"/>
          <w:szCs w:val="22"/>
        </w:rPr>
        <w:tab/>
      </w:r>
      <w:r w:rsidRPr="00371DCB">
        <w:rPr>
          <w:rFonts w:ascii="Arial" w:hAnsi="Arial" w:cs="Arial"/>
          <w:sz w:val="22"/>
          <w:szCs w:val="22"/>
        </w:rPr>
        <w:tab/>
        <w:t>very severe</w:t>
      </w:r>
    </w:p>
    <w:p w14:paraId="2C77DEA5" w14:textId="77777777" w:rsidR="00AA0D69" w:rsidRPr="00371DCB" w:rsidRDefault="00AA0D69" w:rsidP="00FB2D39">
      <w:pPr>
        <w:jc w:val="both"/>
        <w:rPr>
          <w:rFonts w:ascii="Arial" w:hAnsi="Arial" w:cs="Arial"/>
          <w:sz w:val="22"/>
          <w:szCs w:val="22"/>
          <w:lang w:eastAsia="ja-JP"/>
        </w:rPr>
      </w:pPr>
    </w:p>
    <w:p w14:paraId="0DA53DC1" w14:textId="77777777" w:rsidR="00AA0D69" w:rsidRPr="00371DCB" w:rsidRDefault="00AA0D69" w:rsidP="00FB2D39">
      <w:pPr>
        <w:jc w:val="both"/>
        <w:rPr>
          <w:rFonts w:ascii="Arial" w:hAnsi="Arial" w:cs="Arial"/>
          <w:sz w:val="22"/>
          <w:szCs w:val="22"/>
          <w:lang w:eastAsia="ja-JP"/>
        </w:rPr>
      </w:pPr>
      <w:r w:rsidRPr="00371DCB">
        <w:rPr>
          <w:rFonts w:ascii="Arial" w:hAnsi="Arial" w:cs="Arial"/>
          <w:sz w:val="22"/>
          <w:szCs w:val="22"/>
          <w:lang w:eastAsia="ja-JP"/>
        </w:rPr>
        <w:t xml:space="preserve">Yu J, Powers JH, </w:t>
      </w:r>
      <w:proofErr w:type="spellStart"/>
      <w:r w:rsidRPr="00371DCB">
        <w:rPr>
          <w:rFonts w:ascii="Arial" w:hAnsi="Arial" w:cs="Arial"/>
          <w:sz w:val="22"/>
          <w:szCs w:val="22"/>
          <w:lang w:eastAsia="ja-JP"/>
        </w:rPr>
        <w:t>Vallo</w:t>
      </w:r>
      <w:proofErr w:type="spellEnd"/>
      <w:r w:rsidRPr="00371DCB">
        <w:rPr>
          <w:rFonts w:ascii="Arial" w:hAnsi="Arial" w:cs="Arial"/>
          <w:sz w:val="22"/>
          <w:szCs w:val="22"/>
          <w:lang w:eastAsia="ja-JP"/>
        </w:rPr>
        <w:t xml:space="preserve"> D, et al. Evaluation of efficacy endpoints for a Phase IIb study of a respiratory syncytial virus vaccine in older adults using patient-reported outcomes with laboratory confirmation. Value Health. 2020 Feb;23(2):227-235.</w:t>
      </w:r>
    </w:p>
    <w:p w14:paraId="378963B5" w14:textId="77777777" w:rsidR="00AA0D69" w:rsidRPr="00371DCB" w:rsidRDefault="00AA0D69" w:rsidP="00FB2D39">
      <w:pPr>
        <w:jc w:val="both"/>
        <w:rPr>
          <w:rFonts w:ascii="Arial" w:hAnsi="Arial" w:cs="Arial"/>
          <w:sz w:val="22"/>
          <w:szCs w:val="22"/>
          <w:lang w:val="en-US" w:eastAsia="ja-JP"/>
        </w:rPr>
      </w:pPr>
    </w:p>
    <w:p w14:paraId="6F84AA14" w14:textId="77777777" w:rsidR="00AA0D69" w:rsidRPr="00371DCB" w:rsidRDefault="00AA0D69" w:rsidP="00FB2D39">
      <w:pPr>
        <w:jc w:val="both"/>
        <w:rPr>
          <w:rFonts w:ascii="Arial" w:hAnsi="Arial" w:cs="Arial"/>
          <w:sz w:val="22"/>
          <w:szCs w:val="22"/>
          <w:lang w:val="en-US" w:eastAsia="ja-JP"/>
        </w:rPr>
      </w:pPr>
    </w:p>
    <w:p w14:paraId="2DD3405B" w14:textId="77777777" w:rsidR="007066B7" w:rsidRDefault="007066B7" w:rsidP="00FB2D39">
      <w:pPr>
        <w:jc w:val="both"/>
        <w:rPr>
          <w:rFonts w:eastAsia="MS Gothic"/>
          <w:b/>
          <w:bCs/>
          <w:i/>
          <w:iCs/>
          <w:color w:val="000000"/>
          <w:sz w:val="28"/>
          <w:szCs w:val="28"/>
          <w:lang w:val="en-US" w:eastAsia="ja-JP"/>
        </w:rPr>
      </w:pPr>
      <w:bookmarkStart w:id="197" w:name="_Toc38818810"/>
      <w:r>
        <w:br w:type="page"/>
      </w:r>
    </w:p>
    <w:p w14:paraId="5E303740" w14:textId="261C7C24" w:rsidR="00AA0D69" w:rsidRPr="00371DCB" w:rsidRDefault="006A42DB" w:rsidP="00FB2D39">
      <w:pPr>
        <w:pStyle w:val="Heading2non-numbered"/>
        <w:jc w:val="both"/>
      </w:pPr>
      <w:r w:rsidRPr="00371DCB">
        <w:lastRenderedPageBreak/>
        <w:t xml:space="preserve">Appendix </w:t>
      </w:r>
      <w:r w:rsidR="00AA0D69" w:rsidRPr="00371DCB">
        <w:t>7</w:t>
      </w:r>
      <w:r w:rsidRPr="00371DCB">
        <w:t xml:space="preserve">: </w:t>
      </w:r>
      <w:r w:rsidR="00AA0D69" w:rsidRPr="00371DCB">
        <w:t>WHO Ordinal Scale for Clinical Improvement</w:t>
      </w:r>
      <w:bookmarkEnd w:id="197"/>
    </w:p>
    <w:p w14:paraId="2BAFFA68" w14:textId="77777777" w:rsidR="00AA0D69" w:rsidRPr="00371DCB" w:rsidRDefault="00AA0D69" w:rsidP="00FB2D39">
      <w:pPr>
        <w:jc w:val="both"/>
        <w:rPr>
          <w:rFonts w:ascii="Arial" w:hAnsi="Arial" w:cs="Arial"/>
          <w:sz w:val="22"/>
          <w:szCs w:val="22"/>
          <w:lang w:eastAsia="ja-JP"/>
        </w:rPr>
      </w:pPr>
      <w:r w:rsidRPr="00371DCB">
        <w:rPr>
          <w:rFonts w:ascii="Arial" w:hAnsi="Arial" w:cs="Arial"/>
          <w:sz w:val="22"/>
          <w:szCs w:val="22"/>
          <w:lang w:eastAsia="ja-JP"/>
        </w:rPr>
        <w:t>WHO COVID-19 Core Protocol</w:t>
      </w:r>
      <w:r w:rsidRPr="00371DCB">
        <w:rPr>
          <w:rFonts w:ascii="Arial" w:hAnsi="Arial" w:cs="Arial"/>
          <w:sz w:val="22"/>
          <w:szCs w:val="22"/>
          <w:lang w:eastAsia="ja-JP"/>
        </w:rPr>
        <w:br/>
        <w:t>SOLIDARITY Trial</w:t>
      </w:r>
      <w:r w:rsidRPr="00371DCB">
        <w:rPr>
          <w:rFonts w:ascii="Arial" w:hAnsi="Arial" w:cs="Arial"/>
          <w:sz w:val="22"/>
          <w:szCs w:val="22"/>
          <w:lang w:eastAsia="ja-JP"/>
        </w:rPr>
        <w:br/>
        <w:t>Version 10.0, March 22, 2020</w:t>
      </w:r>
    </w:p>
    <w:p w14:paraId="4DE029CA" w14:textId="340C7AF8" w:rsidR="00AA0D69" w:rsidRPr="00371DCB" w:rsidRDefault="00AA0D69" w:rsidP="00FB2D39">
      <w:pPr>
        <w:jc w:val="both"/>
        <w:rPr>
          <w:rFonts w:ascii="Arial" w:hAnsi="Arial" w:cs="Arial"/>
          <w:sz w:val="22"/>
          <w:szCs w:val="22"/>
          <w:lang w:eastAsia="ja-JP"/>
        </w:rPr>
      </w:pPr>
      <w:r w:rsidRPr="00371DCB">
        <w:rPr>
          <w:rFonts w:ascii="Arial" w:hAnsi="Arial" w:cs="Arial"/>
          <w:noProof/>
          <w:sz w:val="22"/>
          <w:szCs w:val="22"/>
          <w:lang w:eastAsia="en-ZA"/>
        </w:rPr>
        <w:drawing>
          <wp:inline distT="0" distB="0" distL="0" distR="0" wp14:anchorId="6BA4C2F3" wp14:editId="2BF7D7AB">
            <wp:extent cx="4441281" cy="551793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5015"/>
                    <a:stretch/>
                  </pic:blipFill>
                  <pic:spPr bwMode="auto">
                    <a:xfrm>
                      <a:off x="0" y="0"/>
                      <a:ext cx="4450362" cy="5529213"/>
                    </a:xfrm>
                    <a:prstGeom prst="rect">
                      <a:avLst/>
                    </a:prstGeom>
                    <a:ln>
                      <a:noFill/>
                    </a:ln>
                    <a:extLst>
                      <a:ext uri="{53640926-AAD7-44D8-BBD7-CCE9431645EC}">
                        <a14:shadowObscured xmlns:a14="http://schemas.microsoft.com/office/drawing/2010/main"/>
                      </a:ext>
                    </a:extLst>
                  </pic:spPr>
                </pic:pic>
              </a:graphicData>
            </a:graphic>
          </wp:inline>
        </w:drawing>
      </w:r>
    </w:p>
    <w:bookmarkEnd w:id="196"/>
    <w:p w14:paraId="7C758F2B" w14:textId="450253BD" w:rsidR="00EF58B9" w:rsidRPr="00371DCB" w:rsidRDefault="00EF58B9" w:rsidP="00FB2D39">
      <w:pPr>
        <w:jc w:val="both"/>
        <w:rPr>
          <w:rFonts w:ascii="Arial" w:hAnsi="Arial" w:cs="Arial"/>
          <w:sz w:val="22"/>
          <w:szCs w:val="22"/>
        </w:rPr>
      </w:pPr>
    </w:p>
    <w:p w14:paraId="055361E4" w14:textId="77777777" w:rsidR="00EF58B9" w:rsidRPr="00371DCB" w:rsidRDefault="00EF58B9" w:rsidP="00FB2D39">
      <w:pPr>
        <w:jc w:val="both"/>
        <w:rPr>
          <w:rFonts w:ascii="Arial" w:hAnsi="Arial" w:cs="Arial"/>
          <w:sz w:val="22"/>
          <w:szCs w:val="22"/>
        </w:rPr>
      </w:pPr>
    </w:p>
    <w:p w14:paraId="54DAC68C" w14:textId="2A007D66" w:rsidR="007066B7" w:rsidRDefault="007066B7" w:rsidP="00FB2D39">
      <w:pPr>
        <w:jc w:val="both"/>
        <w:rPr>
          <w:rFonts w:eastAsia="MS Gothic"/>
          <w:b/>
          <w:bCs/>
          <w:i/>
          <w:iCs/>
          <w:color w:val="000000"/>
          <w:sz w:val="28"/>
          <w:szCs w:val="28"/>
          <w:lang w:val="en-US" w:eastAsia="ja-JP"/>
        </w:rPr>
      </w:pPr>
      <w:bookmarkStart w:id="198" w:name="Appendix_5"/>
      <w:bookmarkStart w:id="199" w:name="_Toc38818812"/>
      <w:r>
        <w:br w:type="page"/>
      </w:r>
    </w:p>
    <w:p w14:paraId="61CD25C6" w14:textId="77777777" w:rsidR="00B971A8" w:rsidRDefault="00B971A8" w:rsidP="00B971A8">
      <w:pPr>
        <w:pStyle w:val="Heading2non-numbered"/>
        <w:pageBreakBefore/>
        <w:rPr>
          <w:szCs w:val="24"/>
        </w:rPr>
      </w:pPr>
      <w:bookmarkStart w:id="200" w:name="_Toc38991536"/>
      <w:r>
        <w:lastRenderedPageBreak/>
        <w:t xml:space="preserve">Appendix 8: </w:t>
      </w:r>
      <w:r>
        <w:rPr>
          <w:szCs w:val="24"/>
        </w:rPr>
        <w:t>Hydroxychloroquine</w:t>
      </w:r>
      <w:bookmarkEnd w:id="200"/>
    </w:p>
    <w:p w14:paraId="162F10D9" w14:textId="77777777" w:rsidR="00B971A8" w:rsidRPr="00544003" w:rsidRDefault="00B971A8" w:rsidP="00B971A8">
      <w:pPr>
        <w:rPr>
          <w:b/>
        </w:rPr>
      </w:pPr>
      <w:r w:rsidRPr="00544003">
        <w:rPr>
          <w:b/>
        </w:rPr>
        <w:t>Dosing rationale for HCQ</w:t>
      </w:r>
    </w:p>
    <w:p w14:paraId="26A6083C" w14:textId="77777777" w:rsidR="00B971A8" w:rsidRPr="00442351" w:rsidRDefault="00B971A8" w:rsidP="00B971A8">
      <w:r w:rsidRPr="00442351">
        <w:t>HQC is a long-acting drug with a terminal half-life of approximately 40 days. It is well absorbed, moderately protein bound, and will accumulate in tissues including the lung, heart, liver, and kidneys. It is typically given with a loading dose of approximately 2-fold the standard dose to accelerate achieving steady state drug concentrations</w:t>
      </w:r>
      <w:r>
        <w:t>.</w:t>
      </w:r>
      <w:hyperlink w:anchor="_ENREF_27" w:tooltip="Furst, 1999 #15" w:history="1">
        <w:r>
          <w:fldChar w:fldCharType="begin">
            <w:fldData xml:space="preserve">PEVuZE5vdGU+PENpdGU+PEF1dGhvcj5GdXJzdDwvQXV0aG9yPjxZZWFyPjE5OTk8L1llYXI+PFJl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</w:fldData>
          </w:fldChar>
        </w:r>
        <w:r>
          <w:instrText xml:space="preserve"> ADDIN EN.CITE </w:instrText>
        </w:r>
        <w:r>
          <w:fldChar w:fldCharType="begin">
            <w:fldData xml:space="preserve">PEVuZE5vdGU+PENpdGU+PEF1dGhvcj5GdXJzdDwvQXV0aG9yPjxZZWFyPjE5OTk8L1llYXI+PFJl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</w:fldData>
          </w:fldChar>
        </w:r>
        <w:r>
          <w:instrText xml:space="preserve"> ADDIN EN.CITE.DATA </w:instrText>
        </w:r>
        <w:r>
          <w:fldChar w:fldCharType="end"/>
        </w:r>
        <w:r>
          <w:fldChar w:fldCharType="separate"/>
        </w:r>
        <w:r w:rsidRPr="00415001">
          <w:rPr>
            <w:noProof/>
            <w:vertAlign w:val="superscript"/>
          </w:rPr>
          <w:t>27</w:t>
        </w:r>
        <w:r>
          <w:fldChar w:fldCharType="end"/>
        </w:r>
      </w:hyperlink>
      <w:r>
        <w:t xml:space="preserve"> </w:t>
      </w:r>
      <w:r w:rsidRPr="00442351">
        <w:t>Since the drug will be used in those with SARS-CoV-2 upper respiratory tract infection, it is desirable to achieve adequate drug levels quickly to decrease viral replication.</w:t>
      </w:r>
    </w:p>
    <w:p w14:paraId="4A96B080" w14:textId="77777777" w:rsidR="00B971A8" w:rsidRPr="00442351" w:rsidRDefault="00B971A8" w:rsidP="00B971A8">
      <w:r w:rsidRPr="00442351">
        <w:t>A PBPK model was built (SIMCYP simulator v.18) using physical and chemical parameters of HCQ obtained from the literature;</w:t>
      </w:r>
      <w:hyperlink w:anchor="_ENREF_28" w:tooltip="Collins, 2018 #13" w:history="1">
        <w:r>
          <w:fldChar w:fldCharType="begin">
            <w:fldData xml:space="preserve">PEVuZE5vdGU+PENpdGU+PEF1dGhvcj5Db2xsaW5zPC9BdXRob3I+PFllYXI+MjAxODwvWWVhcj48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</w:fldData>
          </w:fldChar>
        </w:r>
        <w:r>
          <w:instrText xml:space="preserve"> ADDIN EN.CITE </w:instrText>
        </w:r>
        <w:r>
          <w:fldChar w:fldCharType="begin">
            <w:fldData xml:space="preserve">PEVuZE5vdGU+PENpdGU+PEF1dGhvcj5Db2xsaW5zPC9BdXRob3I+PFllYXI+MjAxODwvWWVhcj48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</w:fldData>
          </w:fldChar>
        </w:r>
        <w:r>
          <w:instrText xml:space="preserve"> ADDIN EN.CITE.DATA </w:instrText>
        </w:r>
        <w:r>
          <w:fldChar w:fldCharType="end"/>
        </w:r>
        <w:r>
          <w:fldChar w:fldCharType="separate"/>
        </w:r>
        <w:r w:rsidRPr="00415001">
          <w:rPr>
            <w:noProof/>
            <w:vertAlign w:val="superscript"/>
          </w:rPr>
          <w:t>28</w:t>
        </w:r>
        <w:r>
          <w:fldChar w:fldCharType="end"/>
        </w:r>
      </w:hyperlink>
      <w:r w:rsidRPr="00442351">
        <w:t xml:space="preserve"> PK parameters (liver intrinsic clearance, fa, ka) were determined from clinical data.</w:t>
      </w:r>
      <w:hyperlink w:anchor="_ENREF_29" w:tooltip="Tett, 1989 #39" w:history="1">
        <w:r>
          <w:fldChar w:fldCharType="begin"/>
        </w:r>
        <w:r>
          <w:instrText xml:space="preserve"> ADDIN EN.CITE &lt;EndNote&gt;&lt;Cite&gt;&lt;Author&gt;Tett&lt;/Author&gt;&lt;Year&gt;1989&lt;/Year&gt;&lt;RecNum&gt;39&lt;/RecNum&gt;&lt;DisplayText&gt;&lt;style face="superscript"&gt;29&lt;/style&gt;&lt;/DisplayText&gt;&lt;record&gt;&lt;rec-number&gt;39&lt;/rec-number&gt;&lt;foreign-keys&gt;&lt;key app="EN" db-id="052xftpepftv2eepd2b5dps10se2pte52pps" timestamp="1585773544"&gt;39&lt;/key&gt;&lt;/foreign-keys&gt;&lt;ref-type name="Journal Article"&gt;17&lt;/ref-type&gt;&lt;contributors&gt;&lt;authors&gt;&lt;author&gt;Tett, S. E.&lt;/author&gt;&lt;author&gt;Cutler, D. J.&lt;/author&gt;&lt;author&gt;Day, R. O.&lt;/author&gt;&lt;author&gt;Brown, K. F.&lt;/author&gt;&lt;/authors&gt;&lt;/contributors&gt;&lt;auth-address&gt;Department of Pharmacy, University of Sydney, NSW, Australia.&lt;/auth-address&gt;&lt;titles&gt;&lt;title&gt;Bioavailability of hydroxychloroquine tablets in healthy volunteers&lt;/title&gt;&lt;secondary-title&gt;Br J Clin Pharmacol&lt;/secondary-title&gt;&lt;/titles&gt;&lt;periodical&gt;&lt;full-title&gt;Br J Clin Pharmacol&lt;/full-title&gt;&lt;/periodical&gt;&lt;pages&gt;771-9&lt;/pages&gt;&lt;volume&gt;27&lt;/volume&gt;&lt;number&gt;6&lt;/number&gt;&lt;edition&gt;1989/06/01&lt;/edition&gt;&lt;keywords&gt;&lt;keyword&gt;Biological Availability&lt;/keyword&gt;&lt;keyword&gt;Chromatography, High Pressure Liquid&lt;/keyword&gt;&lt;keyword&gt;Female&lt;/keyword&gt;&lt;keyword&gt;Humans&lt;/keyword&gt;&lt;keyword&gt;Hydroxychloroquine/administration &amp;amp; dosage/adverse effects/*pharmacokinetics&lt;/keyword&gt;&lt;keyword&gt;Intestinal Absorption&lt;/keyword&gt;&lt;keyword&gt;Male&lt;/keyword&gt;&lt;keyword&gt;Tablets&lt;/keyword&gt;&lt;/keywords&gt;&lt;dates&gt;&lt;year&gt;1989&lt;/year&gt;&lt;pub-dates&gt;&lt;date&gt;Jun&lt;/date&gt;&lt;/pub-dates&gt;&lt;/dates&gt;&lt;isbn&gt;0306-5251 (Print)&amp;#xD;0306-5251 (Linking)&lt;/isbn&gt;&lt;accession-num&gt;2757893&lt;/accession-num&gt;&lt;urls&gt;&lt;related-urls&gt;&lt;url&gt;https://www.ncbi.nlm.nih.gov/pubmed/2757893&lt;/url&gt;&lt;/related-urls&gt;&lt;/urls&gt;&lt;custom2&gt;PMC1379804&lt;/custom2&gt;&lt;electronic-resource-num&gt;10.1111/j.1365-2125.1989.tb03439.x&lt;/electronic-resource-num&gt;&lt;/record&gt;&lt;/Cite&gt;&lt;/EndNote&gt;</w:instrText>
        </w:r>
        <w:r>
          <w:fldChar w:fldCharType="separate"/>
        </w:r>
        <w:r w:rsidRPr="00415001">
          <w:rPr>
            <w:noProof/>
            <w:vertAlign w:val="superscript"/>
          </w:rPr>
          <w:t>29</w:t>
        </w:r>
        <w:r>
          <w:fldChar w:fldCharType="end"/>
        </w:r>
      </w:hyperlink>
      <w:r w:rsidRPr="00442351">
        <w:t xml:space="preserve"> This PBPK model was used to simulate HCQ concentrations in plasma and lung fluid following 5 proposed dosing regimens in order to select an optimal regimen for the Peking University Third Hospital’s ongoing trial of HCQ in China. The combination of </w:t>
      </w:r>
      <w:r w:rsidRPr="00442351">
        <w:rPr>
          <w:i/>
        </w:rPr>
        <w:t>in vitro</w:t>
      </w:r>
      <w:r w:rsidRPr="00442351">
        <w:t xml:space="preserve"> antiviral concentration-effect and predicted drug concentrations in this study were used to propose a loading dose of 400 mg HCQ twice a day on Day 1, followed by HCQ 200 mg twice a day on Day 2 through Day 5.</w:t>
      </w:r>
    </w:p>
    <w:p w14:paraId="11FDFC03" w14:textId="77777777" w:rsidR="00B971A8" w:rsidRPr="00442351" w:rsidRDefault="00B971A8" w:rsidP="00B971A8">
      <w:r w:rsidRPr="00442351">
        <w:t xml:space="preserve">A second study (BYSY-DCTC-CPPO-HCQ-PBPKAR) was undertaken to simulate HCQ concentration-time profiles in plasma, whole blood, and lung in Chinese healthy populations. Since elderly patients have reduced glomerular filtration rate (GFR), simulations were conducted using a healthy Caucasian healthy population with renal injury (GFR 30 to 60 mL/min) and compared to a population with normal renal function to support the study design of therapeutic use of HCQ.  </w:t>
      </w:r>
    </w:p>
    <w:p w14:paraId="57B9CCF0" w14:textId="77777777" w:rsidR="00B971A8" w:rsidRPr="00442351" w:rsidRDefault="00B971A8" w:rsidP="00B971A8">
      <w:r w:rsidRPr="00442351">
        <w:t xml:space="preserve">This protocol will investigate a single dosage of HCQ. Participants will receive a loading dose of 400 mg BID for 1 days followed by </w:t>
      </w:r>
      <w:r>
        <w:t>400mg</w:t>
      </w:r>
      <w:r w:rsidRPr="00442351">
        <w:t xml:space="preserve"> for 9 days. Subsequent investigations will be encouraged to undertake a more rigorous exposure-response assessment to define optimal dosing, including exploration of the lowest possible effective dose, and possible alternate dosing schedules (i.e., weekly instead of daily).</w:t>
      </w:r>
      <w:r>
        <w:t xml:space="preserve"> </w:t>
      </w:r>
      <w:r w:rsidRPr="00442351">
        <w:t xml:space="preserve">Daily dosing has the highest likelihood to achieve sustained required drug levels for viral inhibition, as shown in the physiologically based PK (PBPK) </w:t>
      </w:r>
      <w:proofErr w:type="spellStart"/>
      <w:r w:rsidRPr="00442351">
        <w:t>modeling</w:t>
      </w:r>
      <w:proofErr w:type="spellEnd"/>
      <w:r w:rsidRPr="00442351">
        <w:t xml:space="preserve"> (</w:t>
      </w:r>
      <w:r>
        <w:t>Appendix 4</w:t>
      </w:r>
      <w:r w:rsidRPr="00442351">
        <w:t xml:space="preserve">). HCQ is commonly used daily in doses up to 600 mg of HCQ </w:t>
      </w:r>
      <w:proofErr w:type="spellStart"/>
      <w:r w:rsidRPr="00442351">
        <w:t>sulfate</w:t>
      </w:r>
      <w:proofErr w:type="spellEnd"/>
      <w:r w:rsidRPr="00442351">
        <w:t xml:space="preserve"> (465 mg base) per day for rheumatoid arthritis or systemic lupus erythematosus initially, with a usual maintenance dose 200 mg (155 mg base) for maintenance therapy. HCQ and CQ are both commonly used in a weekly dosing schedule for malaria chemoprophylaxis.</w:t>
      </w:r>
    </w:p>
    <w:p w14:paraId="0DF808D4" w14:textId="77777777" w:rsidR="00B971A8" w:rsidRPr="00442351" w:rsidRDefault="00B971A8" w:rsidP="00B971A8">
      <w:r w:rsidRPr="00442351">
        <w:t>HCQ is associated with a better safety profile for daily and chronic use than CQ, including 5 decades of experience with use in these dose ranges in adults and the elderly. It is on the WHO Essential Medicines List for use in rheumatic disorders and is widely prescribed as an anti</w:t>
      </w:r>
      <w:r w:rsidRPr="00442351">
        <w:noBreakHyphen/>
        <w:t xml:space="preserve">inflammatory for rheumatoid arthritis, systemic lupus erythematosus, and other autoimmune syndromes. Based on the limited </w:t>
      </w:r>
      <w:r w:rsidRPr="00442351">
        <w:rPr>
          <w:i/>
        </w:rPr>
        <w:t>in vitro</w:t>
      </w:r>
      <w:r w:rsidRPr="00442351">
        <w:t xml:space="preserve"> data available, HCQ appears to be slightly more potent than CQ against SARS-CoV-2</w:t>
      </w:r>
      <w:r>
        <w:t>.</w:t>
      </w:r>
      <w:hyperlink w:anchor="_ENREF_20" w:tooltip="Yao, 2020 #44" w:history="1">
        <w:r>
          <w:fldChar w:fldCharType="begin">
            <w:fldData xml:space="preserve">PEVuZE5vdGU+PENpdGU+PEF1dGhvcj5ZYW88L0F1dGhvcj48WWVhcj4yMDIwPC9ZZWFyPjxSZWNO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</w:fldData>
          </w:fldChar>
        </w:r>
        <w:r>
          <w:instrText xml:space="preserve"> ADDIN EN.CITE </w:instrText>
        </w:r>
        <w:r>
          <w:fldChar w:fldCharType="begin">
            <w:fldData xml:space="preserve">PEVuZE5vdGU+PENpdGU+PEF1dGhvcj5ZYW88L0F1dGhvcj48WWVhcj4yMDIwPC9ZZWFyPjxSZWNO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</w:fldData>
          </w:fldChar>
        </w:r>
        <w:r>
          <w:instrText xml:space="preserve"> ADDIN EN.CITE.DATA </w:instrText>
        </w:r>
        <w:r>
          <w:fldChar w:fldCharType="end"/>
        </w:r>
        <w:r>
          <w:fldChar w:fldCharType="separate"/>
        </w:r>
        <w:r w:rsidRPr="000730D6">
          <w:rPr>
            <w:noProof/>
            <w:vertAlign w:val="superscript"/>
          </w:rPr>
          <w:t>20</w:t>
        </w:r>
        <w:r>
          <w:fldChar w:fldCharType="end"/>
        </w:r>
      </w:hyperlink>
    </w:p>
    <w:p w14:paraId="7F77673B" w14:textId="77777777" w:rsidR="00B971A8" w:rsidRDefault="00B971A8" w:rsidP="00B971A8">
      <w:pPr>
        <w:rPr>
          <w:b/>
        </w:rPr>
      </w:pPr>
      <w:r w:rsidRPr="00EF58B9">
        <w:rPr>
          <w:b/>
        </w:rPr>
        <w:t xml:space="preserve">Treatment </w:t>
      </w:r>
      <w:r>
        <w:rPr>
          <w:b/>
        </w:rPr>
        <w:t>administration</w:t>
      </w:r>
    </w:p>
    <w:tbl>
      <w:tblPr>
        <w:tblStyle w:val="TableGrid"/>
        <w:tblW w:w="5000" w:type="pct"/>
        <w:tblLook w:val="04A0" w:firstRow="1" w:lastRow="0" w:firstColumn="1" w:lastColumn="0" w:noHBand="0" w:noVBand="1"/>
      </w:tblPr>
      <w:tblGrid>
        <w:gridCol w:w="1720"/>
        <w:gridCol w:w="1696"/>
        <w:gridCol w:w="1698"/>
        <w:gridCol w:w="1704"/>
        <w:gridCol w:w="2532"/>
      </w:tblGrid>
      <w:tr w:rsidR="00B971A8" w:rsidRPr="00CF5FE7" w14:paraId="6BA36273" w14:textId="77777777" w:rsidTr="00B971A8">
        <w:trPr>
          <w:trHeight w:val="123"/>
        </w:trPr>
        <w:tc>
          <w:tcPr>
            <w:tcW w:w="920" w:type="pct"/>
          </w:tcPr>
          <w:p w14:paraId="22C047CF" w14:textId="77777777" w:rsidR="00B971A8" w:rsidRPr="00CF5FE7" w:rsidRDefault="00B971A8" w:rsidP="00B971A8">
            <w:pPr>
              <w:rPr>
                <w:b/>
                <w:sz w:val="16"/>
                <w:szCs w:val="16"/>
                <w:lang w:val="en-US" w:eastAsia="ja-JP"/>
              </w:rPr>
            </w:pPr>
            <w:r w:rsidRPr="00CF5FE7">
              <w:rPr>
                <w:b/>
                <w:sz w:val="16"/>
                <w:szCs w:val="16"/>
                <w:lang w:val="en-US" w:eastAsia="ja-JP"/>
              </w:rPr>
              <w:t>Drug</w:t>
            </w:r>
          </w:p>
        </w:tc>
        <w:tc>
          <w:tcPr>
            <w:tcW w:w="907" w:type="pct"/>
          </w:tcPr>
          <w:p w14:paraId="458F8FF7" w14:textId="77777777" w:rsidR="00B971A8" w:rsidRPr="00CF5FE7" w:rsidRDefault="00B971A8" w:rsidP="00B971A8">
            <w:pPr>
              <w:rPr>
                <w:b/>
                <w:sz w:val="16"/>
                <w:szCs w:val="16"/>
                <w:lang w:val="en-US" w:eastAsia="ja-JP"/>
              </w:rPr>
            </w:pPr>
            <w:r w:rsidRPr="00CF5FE7">
              <w:rPr>
                <w:b/>
                <w:sz w:val="16"/>
                <w:szCs w:val="16"/>
                <w:lang w:val="en-US" w:eastAsia="ja-JP"/>
              </w:rPr>
              <w:t>Dosage formulation</w:t>
            </w:r>
          </w:p>
        </w:tc>
        <w:tc>
          <w:tcPr>
            <w:tcW w:w="908" w:type="pct"/>
          </w:tcPr>
          <w:p w14:paraId="2F92C050" w14:textId="77777777" w:rsidR="00B971A8" w:rsidRPr="00CF5FE7" w:rsidRDefault="00B971A8" w:rsidP="00B971A8">
            <w:pPr>
              <w:rPr>
                <w:b/>
                <w:sz w:val="16"/>
                <w:szCs w:val="16"/>
                <w:lang w:val="en-US" w:eastAsia="ja-JP"/>
              </w:rPr>
            </w:pPr>
            <w:r w:rsidRPr="00CF5FE7">
              <w:rPr>
                <w:b/>
                <w:sz w:val="16"/>
                <w:szCs w:val="16"/>
              </w:rPr>
              <w:t>Route of Administration</w:t>
            </w:r>
          </w:p>
        </w:tc>
        <w:tc>
          <w:tcPr>
            <w:tcW w:w="911" w:type="pct"/>
          </w:tcPr>
          <w:p w14:paraId="2BE87EC7" w14:textId="77777777" w:rsidR="00B971A8" w:rsidRPr="00CF5FE7" w:rsidRDefault="00B971A8" w:rsidP="00B971A8">
            <w:pPr>
              <w:rPr>
                <w:b/>
                <w:sz w:val="16"/>
                <w:szCs w:val="16"/>
                <w:lang w:val="en-US" w:eastAsia="ja-JP"/>
              </w:rPr>
            </w:pPr>
            <w:r w:rsidRPr="00CF5FE7">
              <w:rPr>
                <w:b/>
                <w:sz w:val="16"/>
                <w:szCs w:val="16"/>
                <w:lang w:val="en-US" w:eastAsia="ja-JP"/>
              </w:rPr>
              <w:t xml:space="preserve">Manufacturer </w:t>
            </w:r>
          </w:p>
        </w:tc>
        <w:tc>
          <w:tcPr>
            <w:tcW w:w="1354" w:type="pct"/>
          </w:tcPr>
          <w:p w14:paraId="1154573C" w14:textId="77777777" w:rsidR="00B971A8" w:rsidRPr="00CF5FE7" w:rsidRDefault="00B971A8" w:rsidP="00B971A8">
            <w:pPr>
              <w:rPr>
                <w:b/>
                <w:sz w:val="16"/>
                <w:szCs w:val="16"/>
                <w:lang w:val="en-US" w:eastAsia="ja-JP"/>
              </w:rPr>
            </w:pPr>
            <w:r w:rsidRPr="00CF5FE7">
              <w:rPr>
                <w:b/>
                <w:sz w:val="16"/>
                <w:szCs w:val="16"/>
                <w:lang w:val="en-US" w:eastAsia="ja-JP"/>
              </w:rPr>
              <w:t>Instructions</w:t>
            </w:r>
          </w:p>
        </w:tc>
      </w:tr>
      <w:tr w:rsidR="00B971A8" w:rsidRPr="00CF5FE7" w14:paraId="25AE478F" w14:textId="77777777" w:rsidTr="00B971A8">
        <w:tc>
          <w:tcPr>
            <w:tcW w:w="920" w:type="pct"/>
          </w:tcPr>
          <w:p w14:paraId="7604C4D1" w14:textId="77777777" w:rsidR="00B971A8" w:rsidRPr="00CF5FE7" w:rsidRDefault="00B971A8" w:rsidP="00B971A8">
            <w:pPr>
              <w:rPr>
                <w:sz w:val="16"/>
                <w:szCs w:val="16"/>
                <w:lang w:val="en-US" w:eastAsia="ja-JP"/>
              </w:rPr>
            </w:pPr>
            <w:r>
              <w:rPr>
                <w:sz w:val="16"/>
                <w:szCs w:val="16"/>
                <w:lang w:val="en-US" w:eastAsia="ja-JP"/>
              </w:rPr>
              <w:t xml:space="preserve"> HCQ</w:t>
            </w:r>
          </w:p>
        </w:tc>
        <w:tc>
          <w:tcPr>
            <w:tcW w:w="907" w:type="pct"/>
          </w:tcPr>
          <w:p w14:paraId="2FFF8D9F" w14:textId="77777777" w:rsidR="00B971A8" w:rsidRPr="00A60908" w:rsidRDefault="00B971A8" w:rsidP="00B971A8">
            <w:pPr>
              <w:rPr>
                <w:sz w:val="16"/>
                <w:szCs w:val="16"/>
                <w:lang w:val="en-US" w:eastAsia="ja-JP"/>
              </w:rPr>
            </w:pPr>
            <w:r>
              <w:rPr>
                <w:sz w:val="16"/>
                <w:szCs w:val="16"/>
              </w:rPr>
              <w:t>400</w:t>
            </w:r>
            <w:r w:rsidRPr="00A60908">
              <w:rPr>
                <w:sz w:val="16"/>
                <w:szCs w:val="16"/>
              </w:rPr>
              <w:t> mg (</w:t>
            </w:r>
            <w:r>
              <w:rPr>
                <w:sz w:val="16"/>
                <w:szCs w:val="16"/>
              </w:rPr>
              <w:t>300</w:t>
            </w:r>
            <w:r w:rsidRPr="00A60908">
              <w:rPr>
                <w:sz w:val="16"/>
                <w:szCs w:val="16"/>
              </w:rPr>
              <w:t> mg base) tablets</w:t>
            </w:r>
          </w:p>
        </w:tc>
        <w:tc>
          <w:tcPr>
            <w:tcW w:w="908" w:type="pct"/>
          </w:tcPr>
          <w:p w14:paraId="79E8E4CD" w14:textId="77777777" w:rsidR="00B971A8" w:rsidRPr="00CF5FE7" w:rsidRDefault="00B971A8" w:rsidP="00B971A8">
            <w:pPr>
              <w:rPr>
                <w:sz w:val="16"/>
                <w:szCs w:val="16"/>
                <w:lang w:val="en-US" w:eastAsia="ja-JP"/>
              </w:rPr>
            </w:pPr>
            <w:r>
              <w:rPr>
                <w:sz w:val="16"/>
                <w:szCs w:val="16"/>
                <w:lang w:val="en-US" w:eastAsia="ja-JP"/>
              </w:rPr>
              <w:t>Oral</w:t>
            </w:r>
          </w:p>
        </w:tc>
        <w:tc>
          <w:tcPr>
            <w:tcW w:w="911" w:type="pct"/>
          </w:tcPr>
          <w:p w14:paraId="769E76B8" w14:textId="77777777" w:rsidR="00B971A8" w:rsidRPr="00CF5FE7" w:rsidRDefault="00B971A8" w:rsidP="00B971A8">
            <w:pPr>
              <w:rPr>
                <w:sz w:val="16"/>
                <w:szCs w:val="16"/>
                <w:lang w:val="en-US" w:eastAsia="ja-JP"/>
              </w:rPr>
            </w:pPr>
            <w:r>
              <w:rPr>
                <w:sz w:val="16"/>
                <w:szCs w:val="16"/>
                <w:lang w:val="en-US" w:eastAsia="ja-JP"/>
              </w:rPr>
              <w:t>Novartis</w:t>
            </w:r>
          </w:p>
        </w:tc>
        <w:tc>
          <w:tcPr>
            <w:tcW w:w="1354" w:type="pct"/>
          </w:tcPr>
          <w:p w14:paraId="383D6090" w14:textId="77777777" w:rsidR="00B971A8" w:rsidRPr="00A60908" w:rsidRDefault="00B971A8" w:rsidP="00B971A8">
            <w:pPr>
              <w:rPr>
                <w:sz w:val="16"/>
                <w:szCs w:val="16"/>
                <w:lang w:val="en-US" w:eastAsia="ja-JP"/>
              </w:rPr>
            </w:pPr>
            <w:r w:rsidRPr="00A60908">
              <w:rPr>
                <w:sz w:val="16"/>
                <w:szCs w:val="16"/>
              </w:rPr>
              <w:t xml:space="preserve">Take 2 tablets twice on Day 1 and 1 tablet twice a day for the subsequent 9 days, for a total of 10 days of treatment. Take at </w:t>
            </w:r>
            <w:r w:rsidRPr="00A60908">
              <w:rPr>
                <w:sz w:val="16"/>
                <w:szCs w:val="16"/>
              </w:rPr>
              <w:lastRenderedPageBreak/>
              <w:t>approximately the same time of the day with a meal or a glass of milk. If a dose is missed, it should be taken as soon as possible. If it is less than 4 hours before the next dose, the dose should be skipped.</w:t>
            </w:r>
          </w:p>
        </w:tc>
      </w:tr>
    </w:tbl>
    <w:p w14:paraId="29FC0B39" w14:textId="77777777" w:rsidR="00B971A8" w:rsidRDefault="00B971A8" w:rsidP="00B971A8">
      <w:pPr>
        <w:rPr>
          <w:sz w:val="16"/>
          <w:szCs w:val="20"/>
        </w:rPr>
      </w:pPr>
      <w:r w:rsidRPr="00222EA6">
        <w:rPr>
          <w:sz w:val="16"/>
          <w:szCs w:val="20"/>
          <w:lang w:val="en-US" w:eastAsia="ja-JP"/>
        </w:rPr>
        <w:lastRenderedPageBreak/>
        <w:t xml:space="preserve">Packaging and label: </w:t>
      </w:r>
      <w:r w:rsidRPr="00222EA6">
        <w:rPr>
          <w:sz w:val="16"/>
          <w:szCs w:val="20"/>
        </w:rPr>
        <w:t xml:space="preserve">The medication for home delivery will be dispensed in an otherwise-unmarked container with the study label. The container will be </w:t>
      </w:r>
      <w:proofErr w:type="spellStart"/>
      <w:r w:rsidRPr="00222EA6">
        <w:rPr>
          <w:sz w:val="16"/>
          <w:szCs w:val="20"/>
        </w:rPr>
        <w:t>labeled</w:t>
      </w:r>
      <w:proofErr w:type="spellEnd"/>
      <w:r w:rsidRPr="00222EA6">
        <w:rPr>
          <w:sz w:val="16"/>
          <w:szCs w:val="20"/>
        </w:rPr>
        <w:t xml:space="preserve"> with a unique identifier. The container will be packed in a standard box used for mail delivery of medications as needed.</w:t>
      </w:r>
    </w:p>
    <w:p w14:paraId="45474E1E" w14:textId="77777777" w:rsidR="00B971A8" w:rsidRPr="0083497D" w:rsidRDefault="00B971A8" w:rsidP="00B971A8">
      <w:pPr>
        <w:rPr>
          <w:b/>
        </w:rPr>
      </w:pPr>
      <w:r w:rsidRPr="0083497D">
        <w:rPr>
          <w:b/>
        </w:rPr>
        <w:t xml:space="preserve">Risks </w:t>
      </w:r>
      <w:r>
        <w:rPr>
          <w:b/>
        </w:rPr>
        <w:t>associated with HCQ</w:t>
      </w:r>
    </w:p>
    <w:p w14:paraId="5B8CA884" w14:textId="77777777" w:rsidR="00B971A8" w:rsidRDefault="00B971A8" w:rsidP="00B971A8">
      <w:r>
        <w:t>With tens of millions of doses of HCQ administrated for malaria and autoimmune diseases, the side effect profile of HCQ is well described and the drug is generally well tolerated. With short</w:t>
      </w:r>
      <w:r>
        <w:noBreakHyphen/>
        <w:t xml:space="preserve">term administration (as opposed to chronic/year-long use in rheumatologic disease management), the major AEs are gastrointestinal (nausea, vomiting, dyspepsia, abdominal cramps, and </w:t>
      </w:r>
      <w:proofErr w:type="spellStart"/>
      <w:r>
        <w:t>diarrhea</w:t>
      </w:r>
      <w:proofErr w:type="spellEnd"/>
      <w:r>
        <w:t xml:space="preserve">) and transient skin rashes. The gastrointestinal symptoms may vary by specific generic manufacturer of HCQ and are best managed by taking the drug with food or a glass of milk. A transient rash, most commonly morbilliform or </w:t>
      </w:r>
      <w:proofErr w:type="spellStart"/>
      <w:r>
        <w:t>psoriasiform</w:t>
      </w:r>
      <w:proofErr w:type="spellEnd"/>
      <w:r>
        <w:t xml:space="preserve">, can develop in 10% of participants, often with a sustained loading dose, and is often managed by lowering the dose. To avoid this potential side effect, this protocol is using a short loading dose, not a sustained one. Uncommonly, idiosyncratic leukopenia/thrombocytopenia can occur and the drug should not be given to those with underlying bone marrow disorders. Lastly, </w:t>
      </w:r>
      <w:proofErr w:type="spellStart"/>
      <w:r>
        <w:t>hypoglycemia</w:t>
      </w:r>
      <w:proofErr w:type="spellEnd"/>
      <w:r>
        <w:t xml:space="preserve"> can occur and those taking insulin or glucose-lowering drugs are at risk; blood glucose should be monitored.</w:t>
      </w:r>
    </w:p>
    <w:p w14:paraId="3E29C511" w14:textId="77777777" w:rsidR="00B971A8" w:rsidRDefault="00B971A8" w:rsidP="00B971A8">
      <w:r>
        <w:t xml:space="preserve">The safety of HCQ for treatment of patients with COVID-19 disease is unknown. COVID-19 may be associated with cardiac effects. HCQ may prolong QT, resulting in arrhythmias. Participants will be monitored for QT prolongation and </w:t>
      </w:r>
      <w:proofErr w:type="spellStart"/>
      <w:r>
        <w:t>counseled</w:t>
      </w:r>
      <w:proofErr w:type="spellEnd"/>
      <w:r>
        <w:t xml:space="preserve"> about this risk.</w:t>
      </w:r>
    </w:p>
    <w:p w14:paraId="6379F357" w14:textId="77777777" w:rsidR="00B971A8" w:rsidRDefault="00B971A8" w:rsidP="00B971A8">
      <w:r>
        <w:t>Long-term manifestations of HCQ, including retinitis, renal and hepatic disease, and cardiomyopathy, are not likely in short-term exposure.</w:t>
      </w:r>
    </w:p>
    <w:p w14:paraId="58794C76" w14:textId="77777777" w:rsidR="00B971A8" w:rsidRDefault="00B971A8" w:rsidP="00B971A8">
      <w:pPr>
        <w:rPr>
          <w:b/>
          <w:bCs/>
          <w:lang w:eastAsia="ja-JP"/>
        </w:rPr>
      </w:pPr>
      <w:r w:rsidRPr="00442351">
        <w:rPr>
          <w:b/>
          <w:bCs/>
          <w:lang w:eastAsia="ja-JP"/>
        </w:rPr>
        <w:t xml:space="preserve">Specific Management of Toxicities Related to </w:t>
      </w:r>
      <w:r>
        <w:rPr>
          <w:b/>
          <w:bCs/>
          <w:lang w:eastAsia="ja-JP"/>
        </w:rPr>
        <w:t>HCQ</w:t>
      </w:r>
    </w:p>
    <w:p w14:paraId="40772E5F" w14:textId="77777777" w:rsidR="00B971A8" w:rsidRPr="00442351" w:rsidRDefault="00B971A8" w:rsidP="00B971A8">
      <w:pPr>
        <w:rPr>
          <w:u w:val="single"/>
        </w:rPr>
      </w:pPr>
      <w:r w:rsidRPr="00442351">
        <w:rPr>
          <w:u w:val="single"/>
        </w:rPr>
        <w:t>Gastrointestinal disturbance</w:t>
      </w:r>
    </w:p>
    <w:p w14:paraId="373AD4BE" w14:textId="77777777" w:rsidR="00B971A8" w:rsidRPr="00442351" w:rsidRDefault="00B971A8" w:rsidP="00B971A8">
      <w:r w:rsidRPr="00442351">
        <w:t xml:space="preserve">Gastrointestinal disturbance (nausea, vomiting, </w:t>
      </w:r>
      <w:proofErr w:type="spellStart"/>
      <w:r w:rsidRPr="00442351">
        <w:t>diarrhea</w:t>
      </w:r>
      <w:proofErr w:type="spellEnd"/>
      <w:r w:rsidRPr="00442351">
        <w:t>) is a common known possible side effect of HCQ. Taking with food or milk may improve tolerability.</w:t>
      </w:r>
    </w:p>
    <w:p w14:paraId="67005BE1" w14:textId="77777777" w:rsidR="00B971A8" w:rsidRPr="00442351" w:rsidRDefault="00B971A8" w:rsidP="00B971A8">
      <w:pPr>
        <w:keepNext/>
        <w:rPr>
          <w:u w:val="single"/>
        </w:rPr>
      </w:pPr>
      <w:r w:rsidRPr="00442351">
        <w:rPr>
          <w:u w:val="single"/>
        </w:rPr>
        <w:t>Visual disturbances</w:t>
      </w:r>
    </w:p>
    <w:p w14:paraId="13D1C54C" w14:textId="77777777" w:rsidR="00B971A8" w:rsidRPr="00442351" w:rsidRDefault="00B971A8" w:rsidP="00B971A8">
      <w:r w:rsidRPr="00442351">
        <w:t xml:space="preserve">Suspected visual changes should be evaluated for possible </w:t>
      </w:r>
      <w:proofErr w:type="spellStart"/>
      <w:r w:rsidRPr="00442351">
        <w:t>etiologies</w:t>
      </w:r>
      <w:proofErr w:type="spellEnd"/>
      <w:r w:rsidRPr="00442351">
        <w:t>–if an HCQ-associated visual disturbance is suspected, HCQ should be stopped.</w:t>
      </w:r>
    </w:p>
    <w:p w14:paraId="718AA011" w14:textId="77777777" w:rsidR="00B971A8" w:rsidRPr="00442351" w:rsidRDefault="00B971A8" w:rsidP="00B971A8">
      <w:pPr>
        <w:rPr>
          <w:u w:val="single"/>
        </w:rPr>
      </w:pPr>
      <w:r w:rsidRPr="00442351">
        <w:rPr>
          <w:u w:val="single"/>
        </w:rPr>
        <w:t>Allergic reactions</w:t>
      </w:r>
    </w:p>
    <w:p w14:paraId="6E2B9380" w14:textId="77777777" w:rsidR="00B971A8" w:rsidRPr="00442351" w:rsidRDefault="00B971A8" w:rsidP="00B971A8">
      <w:r w:rsidRPr="00442351">
        <w:t>HCQ should be discontinued permanently if a serious allergic reaction is suspected. These participants will remain on study, off study treatment, and have all evaluations performed per the standard operating procedure(s).</w:t>
      </w:r>
    </w:p>
    <w:p w14:paraId="18C681ED" w14:textId="77777777" w:rsidR="00B971A8" w:rsidRPr="00442351" w:rsidRDefault="00B971A8" w:rsidP="00B971A8">
      <w:pPr>
        <w:rPr>
          <w:u w:val="single"/>
        </w:rPr>
      </w:pPr>
      <w:r w:rsidRPr="00442351">
        <w:rPr>
          <w:u w:val="single"/>
        </w:rPr>
        <w:t xml:space="preserve">QT prolongation  </w:t>
      </w:r>
    </w:p>
    <w:p w14:paraId="12730E48" w14:textId="77777777" w:rsidR="00B971A8" w:rsidRPr="00EF58B9" w:rsidRDefault="00B971A8" w:rsidP="00B971A8">
      <w:r w:rsidRPr="00442351">
        <w:t>HCQ is associated with QT prolongation. QT will be assessed during the study using a portable monitor that can transmit arrhythmias to a central location which will be monitored.</w:t>
      </w:r>
    </w:p>
    <w:p w14:paraId="62F7A7F0" w14:textId="77777777" w:rsidR="00B971A8" w:rsidRPr="00544003" w:rsidRDefault="00B971A8" w:rsidP="00B971A8">
      <w:pPr>
        <w:rPr>
          <w:b/>
          <w:lang w:eastAsia="ja-JP"/>
        </w:rPr>
      </w:pPr>
      <w:r w:rsidRPr="00544003">
        <w:rPr>
          <w:b/>
        </w:rPr>
        <w:t>HCQ label</w:t>
      </w:r>
    </w:p>
    <w:p w14:paraId="51F27C7A" w14:textId="77777777" w:rsidR="00B971A8" w:rsidRDefault="00B971A8" w:rsidP="00B971A8">
      <w:pPr>
        <w:rPr>
          <w:rStyle w:val="Hyperlink"/>
        </w:rPr>
      </w:pPr>
      <w:r>
        <w:rPr>
          <w:lang w:eastAsia="ja-JP"/>
        </w:rPr>
        <w:t xml:space="preserve">Generic </w:t>
      </w:r>
      <w:r>
        <w:t>hydroxychloroquine</w:t>
      </w:r>
      <w:r>
        <w:rPr>
          <w:lang w:eastAsia="ja-JP"/>
        </w:rPr>
        <w:t xml:space="preserve"> label (current as of June 2018) is available online at </w:t>
      </w:r>
      <w:hyperlink r:id="rId69" w:history="1">
        <w:r>
          <w:rPr>
            <w:rStyle w:val="Hyperlink"/>
          </w:rPr>
          <w:t>https://dailymed.nlm.nih.gov/dailymed/drugInfo.cfm?setid=b82bbda6-64f2-4426-b4ec-254eeea895ae</w:t>
        </w:r>
      </w:hyperlink>
      <w:r>
        <w:rPr>
          <w:rStyle w:val="Hyperlink"/>
        </w:rPr>
        <w:t>.</w:t>
      </w:r>
    </w:p>
    <w:p w14:paraId="7F3A28AC" w14:textId="6B576DC6" w:rsidR="00544003" w:rsidRPr="00371DCB" w:rsidRDefault="00544003" w:rsidP="00FB2D39">
      <w:pPr>
        <w:pStyle w:val="Heading2non-numbered"/>
        <w:jc w:val="both"/>
      </w:pPr>
      <w:r w:rsidRPr="00371DCB">
        <w:lastRenderedPageBreak/>
        <w:t>Appendix</w:t>
      </w:r>
      <w:bookmarkEnd w:id="198"/>
      <w:r w:rsidR="00AA0D69" w:rsidRPr="00371DCB">
        <w:t xml:space="preserve"> </w:t>
      </w:r>
      <w:r w:rsidR="00B971A8">
        <w:t>9</w:t>
      </w:r>
      <w:r w:rsidRPr="00371DCB">
        <w:t>: Lopinavir-ritonavir</w:t>
      </w:r>
      <w:bookmarkEnd w:id="199"/>
      <w:r w:rsidRPr="00371DCB">
        <w:t xml:space="preserve"> </w:t>
      </w:r>
    </w:p>
    <w:p w14:paraId="568BFCE5" w14:textId="77777777" w:rsidR="00731C60" w:rsidRPr="00371DCB" w:rsidRDefault="00731C60" w:rsidP="00FB2D39">
      <w:pPr>
        <w:jc w:val="both"/>
        <w:rPr>
          <w:rFonts w:ascii="Arial" w:hAnsi="Arial" w:cs="Arial"/>
          <w:b/>
          <w:sz w:val="22"/>
          <w:szCs w:val="22"/>
          <w:lang w:eastAsia="ja-JP"/>
        </w:rPr>
      </w:pPr>
      <w:r w:rsidRPr="00371DCB">
        <w:rPr>
          <w:rFonts w:ascii="Arial" w:hAnsi="Arial" w:cs="Arial"/>
          <w:b/>
          <w:sz w:val="22"/>
          <w:szCs w:val="22"/>
        </w:rPr>
        <w:t xml:space="preserve">Dosing rationale for LPV/r </w:t>
      </w:r>
    </w:p>
    <w:p w14:paraId="5371C604" w14:textId="3DD262E7" w:rsidR="00731C60" w:rsidRPr="00371DCB" w:rsidRDefault="00731C60" w:rsidP="00FB2D39">
      <w:pPr>
        <w:jc w:val="both"/>
        <w:rPr>
          <w:rFonts w:ascii="Arial" w:hAnsi="Arial" w:cs="Arial"/>
          <w:sz w:val="22"/>
          <w:szCs w:val="22"/>
        </w:rPr>
      </w:pPr>
      <w:r w:rsidRPr="00371DCB">
        <w:rPr>
          <w:rFonts w:ascii="Arial" w:hAnsi="Arial" w:cs="Arial"/>
          <w:sz w:val="22"/>
          <w:szCs w:val="22"/>
        </w:rPr>
        <w:t>The trial will test a daily regimen of LPV/r for 10 days for treatment of SARS-CoV-2. Daily dosing after a large loading dose has the highest likelihood to achieve sustained required drug levels for viral inhibition. LPV/r is commonly used daily in regimens of combination antiretroviral therapy for the treatment of HIV infection. LP</w:t>
      </w:r>
      <w:r>
        <w:rPr>
          <w:rFonts w:ascii="Arial" w:hAnsi="Arial" w:cs="Arial"/>
          <w:sz w:val="22"/>
          <w:szCs w:val="22"/>
        </w:rPr>
        <w:t>V</w:t>
      </w:r>
      <w:r w:rsidRPr="00371DCB">
        <w:rPr>
          <w:rFonts w:ascii="Arial" w:hAnsi="Arial" w:cs="Arial"/>
          <w:sz w:val="22"/>
          <w:szCs w:val="22"/>
        </w:rPr>
        <w:t xml:space="preserve">/r is associated with a </w:t>
      </w:r>
      <w:proofErr w:type="spellStart"/>
      <w:r w:rsidRPr="00371DCB">
        <w:rPr>
          <w:rFonts w:ascii="Arial" w:hAnsi="Arial" w:cs="Arial"/>
          <w:sz w:val="22"/>
          <w:szCs w:val="22"/>
        </w:rPr>
        <w:t>favorable</w:t>
      </w:r>
      <w:proofErr w:type="spellEnd"/>
      <w:r w:rsidRPr="00371DCB">
        <w:rPr>
          <w:rFonts w:ascii="Arial" w:hAnsi="Arial" w:cs="Arial"/>
          <w:sz w:val="22"/>
          <w:szCs w:val="22"/>
        </w:rPr>
        <w:t xml:space="preserve"> safety profile. Short-term drug toxicities include</w:t>
      </w:r>
      <w:r w:rsidR="00431707">
        <w:rPr>
          <w:rFonts w:ascii="Arial" w:hAnsi="Arial" w:cs="Arial"/>
          <w:sz w:val="22"/>
          <w:szCs w:val="22"/>
        </w:rPr>
        <w:t xml:space="preserve">s gastrointestinal side effects: </w:t>
      </w:r>
      <w:r w:rsidRPr="00371DCB">
        <w:rPr>
          <w:rFonts w:ascii="Arial" w:hAnsi="Arial" w:cs="Arial"/>
          <w:sz w:val="22"/>
          <w:szCs w:val="22"/>
        </w:rPr>
        <w:t xml:space="preserve">moderate nausea and </w:t>
      </w:r>
      <w:proofErr w:type="spellStart"/>
      <w:r w:rsidRPr="00371DCB">
        <w:rPr>
          <w:rFonts w:ascii="Arial" w:hAnsi="Arial" w:cs="Arial"/>
          <w:sz w:val="22"/>
          <w:szCs w:val="22"/>
        </w:rPr>
        <w:t>diarrhea</w:t>
      </w:r>
      <w:proofErr w:type="spellEnd"/>
      <w:r w:rsidRPr="00371DCB">
        <w:rPr>
          <w:rFonts w:ascii="Arial" w:hAnsi="Arial" w:cs="Arial"/>
          <w:sz w:val="22"/>
          <w:szCs w:val="22"/>
        </w:rPr>
        <w:t>. It is on the WHO Essential Medicines List for use in HIV infection and is widely available throughout the world.</w:t>
      </w:r>
    </w:p>
    <w:p w14:paraId="4EC665B6" w14:textId="2C2F3003" w:rsidR="00731C60" w:rsidRPr="008A4FE0" w:rsidRDefault="00731C60" w:rsidP="00FB2D39">
      <w:pPr>
        <w:jc w:val="both"/>
        <w:rPr>
          <w:rFonts w:ascii="Arial" w:hAnsi="Arial" w:cs="Arial"/>
          <w:sz w:val="22"/>
          <w:szCs w:val="22"/>
        </w:rPr>
      </w:pPr>
      <w:r w:rsidRPr="008A4FE0">
        <w:rPr>
          <w:rFonts w:ascii="Arial" w:hAnsi="Arial" w:cs="Arial"/>
          <w:sz w:val="22"/>
          <w:szCs w:val="22"/>
        </w:rPr>
        <w:t xml:space="preserve">A population </w:t>
      </w:r>
      <w:r>
        <w:rPr>
          <w:rFonts w:ascii="Arial" w:hAnsi="Arial" w:cs="Arial"/>
          <w:sz w:val="22"/>
          <w:szCs w:val="22"/>
        </w:rPr>
        <w:t>pharmacokinetic</w:t>
      </w:r>
      <w:r w:rsidRPr="008A4FE0">
        <w:rPr>
          <w:rFonts w:ascii="Arial" w:hAnsi="Arial" w:cs="Arial"/>
          <w:sz w:val="22"/>
          <w:szCs w:val="22"/>
        </w:rPr>
        <w:t xml:space="preserve"> model</w:t>
      </w:r>
      <w:r>
        <w:rPr>
          <w:rFonts w:ascii="Arial" w:hAnsi="Arial" w:cs="Arial"/>
          <w:sz w:val="22"/>
          <w:szCs w:val="22"/>
        </w:rPr>
        <w:t xml:space="preserve"> (POPPK)</w:t>
      </w:r>
      <w:r>
        <w:rPr>
          <w:rFonts w:ascii="Arial" w:hAnsi="Arial" w:cs="Arial"/>
          <w:sz w:val="22"/>
          <w:szCs w:val="22"/>
        </w:rPr>
        <w:fldChar w:fldCharType="begin" w:fldLock="1"/>
      </w:r>
      <w:r>
        <w:rPr>
          <w:rFonts w:ascii="Arial" w:hAnsi="Arial" w:cs="Arial"/>
          <w:sz w:val="22"/>
          <w:szCs w:val="22"/>
        </w:rPr>
        <w:instrText>ADDIN CSL_CITATION {"citationItems":[{"id":"ITEM-1","itemData":{"DOI":"10.1097/FTD.0b013e31822d578b","ISSN":"0163-4356","PMID":"21912331","author":[{"dropping-particle":"","family":"López Aspiroz","given":"Elena","non-dropping-particle":"","parse-names":false,"suffix":""},{"dropping-particle":"","family":"Santos Buelga","given":"Dolores","non-dropping-particle":"","parse-names":false,"suffix":""},{"dropping-particle":"","family":"Cabrera Figueroa","given":"Salvador","non-dropping-particle":"","parse-names":false,"suffix":""},{"dropping-particle":"","family":"López Galera","given":"Rosa María","non-dropping-particle":"","parse-names":false,"suffix":""},{"dropping-particle":"","family":"Ribera Pascuet","given":"Esteban","non-dropping-particle":"","parse-names":false,"suffix":""},{"dropping-particle":"","family":"Domínguez-Gil Hurlé","given":"Alfonso","non-dropping-particle":"","parse-names":false,"suffix":""},{"dropping-particle":"","family":"García Sánchez","given":"María José","non-dropping-particle":"","parse-names":false,"suffix":""}],"container-title":"Therapeutic Drug Monitoring","id":"ITEM-1","issued":{"date-parts":[["2011","9"]]},"page":"1","title":"Population Pharmacokinetics of Lopinavir/Ritonavir (Kaletra) in HIV-Infected Patients","type":"article-journal"},"uris":["http://www.mendeley.com/documents/?uuid=834bb1b1-96d5-4fc2-b3d4-f1891c4d34b4"]}],"mendeley":{"formattedCitation":"&lt;sup&gt;1&lt;/sup&gt;","plainTextFormattedCitation":"1","previouslyFormattedCitation":"&lt;sup&gt;1&lt;/sup&gt;"},"properties":{"noteIndex":0},"schema":"https://github.com/citation-style-language/schema/raw/master/csl-citation.json"}</w:instrText>
      </w:r>
      <w:r>
        <w:rPr>
          <w:rFonts w:ascii="Arial" w:hAnsi="Arial" w:cs="Arial"/>
          <w:sz w:val="22"/>
          <w:szCs w:val="22"/>
        </w:rPr>
        <w:fldChar w:fldCharType="separate"/>
      </w:r>
      <w:r w:rsidRPr="00DD0B6F">
        <w:rPr>
          <w:rFonts w:ascii="Arial" w:hAnsi="Arial" w:cs="Arial"/>
          <w:noProof/>
          <w:sz w:val="22"/>
          <w:szCs w:val="22"/>
          <w:vertAlign w:val="superscript"/>
        </w:rPr>
        <w:t>1</w:t>
      </w:r>
      <w:r>
        <w:rPr>
          <w:rFonts w:ascii="Arial" w:hAnsi="Arial" w:cs="Arial"/>
          <w:sz w:val="22"/>
          <w:szCs w:val="22"/>
        </w:rPr>
        <w:fldChar w:fldCharType="end"/>
      </w:r>
      <w:r w:rsidRPr="008A4FE0">
        <w:rPr>
          <w:rFonts w:ascii="Arial" w:hAnsi="Arial" w:cs="Arial"/>
          <w:sz w:val="22"/>
          <w:szCs w:val="22"/>
        </w:rPr>
        <w:t xml:space="preserve"> was used to simulate time-course of plasma concentrations of lopinavir after adjusting the model for time-varying lopinavir clearance informed by the summary basis of approval for</w:t>
      </w:r>
      <w:r>
        <w:rPr>
          <w:rFonts w:ascii="Arial" w:hAnsi="Arial" w:cs="Arial"/>
          <w:sz w:val="22"/>
          <w:szCs w:val="22"/>
        </w:rPr>
        <w:t xml:space="preserve"> LPV/r (</w:t>
      </w:r>
      <w:r w:rsidRPr="008A4FE0">
        <w:rPr>
          <w:rFonts w:ascii="Arial" w:hAnsi="Arial" w:cs="Arial"/>
          <w:sz w:val="22"/>
          <w:szCs w:val="22"/>
        </w:rPr>
        <w:t>Kaletra</w:t>
      </w:r>
      <w:r w:rsidRPr="0059050A">
        <w:rPr>
          <w:rFonts w:ascii="Arial" w:hAnsi="Arial" w:cs="Arial"/>
          <w:sz w:val="22"/>
          <w:szCs w:val="22"/>
          <w:vertAlign w:val="superscript"/>
        </w:rPr>
        <w:t>®</w:t>
      </w:r>
      <w:r>
        <w:rPr>
          <w:rFonts w:ascii="Arial" w:hAnsi="Arial" w:cs="Arial"/>
          <w:sz w:val="22"/>
          <w:szCs w:val="22"/>
        </w:rPr>
        <w:t>)</w:t>
      </w:r>
      <w:r w:rsidRPr="008A4FE0">
        <w:rPr>
          <w:rFonts w:ascii="Arial" w:hAnsi="Arial" w:cs="Arial"/>
          <w:sz w:val="22"/>
          <w:szCs w:val="22"/>
        </w:rPr>
        <w:t xml:space="preserve"> and Klein et al.</w:t>
      </w:r>
      <w:r>
        <w:rPr>
          <w:rFonts w:ascii="Arial" w:hAnsi="Arial" w:cs="Arial"/>
          <w:sz w:val="22"/>
          <w:szCs w:val="22"/>
        </w:rPr>
        <w:fldChar w:fldCharType="begin" w:fldLock="1"/>
      </w:r>
      <w:r>
        <w:rPr>
          <w:rFonts w:ascii="Arial" w:hAnsi="Arial" w:cs="Arial"/>
          <w:sz w:val="22"/>
          <w:szCs w:val="22"/>
        </w:rPr>
        <w:instrText>ADDIN CSL_CITATION {"citationItems":[{"id":"ITEM-1","itemData":{"DOI":"10.1186/1758-2652-11-S1-P245","ISSN":"1758-2652","author":[{"dropping-particle":"","family":"Ng","given":"J","non-dropping-particle":"","parse-names":false,"suffix":""},{"dropping-particle":"","family":"Klein","given":"CE","non-dropping-particle":"","parse-names":false,"suffix":""},{"dropping-particle":"","family":"Diderichsen","given":"P","non-dropping-particle":"","parse-names":false,"suffix":""},{"dropping-particle":"","family":"Silva","given":"BA","non-dropping-particle":"Da","parse-names":false,"suffix":""},{"dropping-particle":"","family":"Bernstein","given":"B","non-dropping-particle":"","parse-names":false,"suffix":""},{"dropping-particle":"","family":"Awni","given":"WM","non-dropping-particle":"","parse-names":false,"suffix":""},{"dropping-particle":"","family":"Chui","given":"YL","non-dropping-particle":"","parse-names":false,"suffix":""}],"container-title":"Journal of the International AIDS Society","id":"ITEM-1","issue":"Suppl 1","issued":{"date-parts":[["2008"]]},"page":"P245","title":"Population pharmacokinetic/pharmacodynamic analysis of lopinavir and ritonavir in subjects receiving the tablet formulation","type":"article-journal","volume":"11"},"uris":["http://www.mendeley.com/documents/?uuid=94042409-a774-4ab1-bfb3-164de75ca61b"]}],"mendeley":{"formattedCitation":"&lt;sup&gt;2&lt;/sup&gt;","plainTextFormattedCitation":"2","previouslyFormattedCitation":"&lt;sup&gt;2&lt;/sup&gt;"},"properties":{"noteIndex":0},"schema":"https://github.com/citation-style-language/schema/raw/master/csl-citation.json"}</w:instrText>
      </w:r>
      <w:r>
        <w:rPr>
          <w:rFonts w:ascii="Arial" w:hAnsi="Arial" w:cs="Arial"/>
          <w:sz w:val="22"/>
          <w:szCs w:val="22"/>
        </w:rPr>
        <w:fldChar w:fldCharType="separate"/>
      </w:r>
      <w:r w:rsidRPr="00DD0B6F">
        <w:rPr>
          <w:rFonts w:ascii="Arial" w:hAnsi="Arial" w:cs="Arial"/>
          <w:noProof/>
          <w:sz w:val="22"/>
          <w:szCs w:val="22"/>
          <w:vertAlign w:val="superscript"/>
        </w:rPr>
        <w:t>2</w:t>
      </w:r>
      <w:r>
        <w:rPr>
          <w:rFonts w:ascii="Arial" w:hAnsi="Arial" w:cs="Arial"/>
          <w:sz w:val="22"/>
          <w:szCs w:val="22"/>
        </w:rPr>
        <w:fldChar w:fldCharType="end"/>
      </w:r>
      <w:r w:rsidRPr="008A4FE0">
        <w:rPr>
          <w:rFonts w:ascii="Arial" w:hAnsi="Arial" w:cs="Arial"/>
          <w:sz w:val="22"/>
          <w:szCs w:val="22"/>
        </w:rPr>
        <w:t xml:space="preserve"> Total LPV concentration in plasma values from the pharmacokinetic model were translated total LPV concentration in epithelial lining fluid (ELF). Total ELF to total plasma concentration was reported in one treated individual.</w:t>
      </w:r>
      <w:r>
        <w:rPr>
          <w:rFonts w:ascii="Arial" w:hAnsi="Arial" w:cs="Arial"/>
          <w:sz w:val="22"/>
          <w:szCs w:val="22"/>
        </w:rPr>
        <w:fldChar w:fldCharType="begin" w:fldLock="1"/>
      </w:r>
      <w:r>
        <w:rPr>
          <w:rFonts w:ascii="Arial" w:hAnsi="Arial" w:cs="Arial"/>
          <w:sz w:val="22"/>
          <w:szCs w:val="22"/>
        </w:rPr>
        <w:instrText>ADDIN CSL_CITATION {"citationItems":[{"id":"ITEM-1","itemData":{"DOI":"10.1097/00002030-200307250-00022","ISSN":"0269-9370","PMID":"12853760","author":[{"dropping-particle":"","family":"Atzori","given":"Chiara","non-dropping-particle":"","parse-names":false,"suffix":""},{"dropping-particle":"","family":"Villani","given":"Paola","non-dropping-particle":"","parse-names":false,"suffix":""},{"dropping-particle":"","family":"Regazzi","given":"Mario","non-dropping-particle":"","parse-names":false,"suffix":""},{"dropping-particle":"","family":"Maruzzi","given":"Massimiliano","non-dropping-particle":"","parse-names":false,"suffix":""},{"dropping-particle":"","family":"Cargnel","given":"Antonietta","non-dropping-particle":"","parse-names":false,"suffix":""}],"container-title":"AIDS","id":"ITEM-1","issue":"11","issued":{"date-parts":[["2003","7"]]},"page":"1710-1711","title":"Detection of intrapulmonary concentration of lopinavir in an HIV-infected patient","type":"article-journal","volume":"17"},"uris":["http://www.mendeley.com/documents/?uuid=d4df2c1f-6c53-4505-891a-5bf9220ff4ef"]}],"mendeley":{"formattedCitation":"&lt;sup&gt;3&lt;/sup&gt;","plainTextFormattedCitation":"3","previouslyFormattedCitation":"&lt;sup&gt;3&lt;/sup&gt;"},"properties":{"noteIndex":0},"schema":"https://github.com/citation-style-language/schema/raw/master/csl-citation.json"}</w:instrText>
      </w:r>
      <w:r>
        <w:rPr>
          <w:rFonts w:ascii="Arial" w:hAnsi="Arial" w:cs="Arial"/>
          <w:sz w:val="22"/>
          <w:szCs w:val="22"/>
        </w:rPr>
        <w:fldChar w:fldCharType="separate"/>
      </w:r>
      <w:r w:rsidRPr="00DD0B6F">
        <w:rPr>
          <w:rFonts w:ascii="Arial" w:hAnsi="Arial" w:cs="Arial"/>
          <w:noProof/>
          <w:sz w:val="22"/>
          <w:szCs w:val="22"/>
          <w:vertAlign w:val="superscript"/>
        </w:rPr>
        <w:t>3</w:t>
      </w:r>
      <w:r>
        <w:rPr>
          <w:rFonts w:ascii="Arial" w:hAnsi="Arial" w:cs="Arial"/>
          <w:sz w:val="22"/>
          <w:szCs w:val="22"/>
        </w:rPr>
        <w:fldChar w:fldCharType="end"/>
      </w:r>
      <w:r w:rsidRPr="008A4FE0">
        <w:rPr>
          <w:rFonts w:ascii="Arial" w:hAnsi="Arial" w:cs="Arial"/>
          <w:sz w:val="22"/>
          <w:szCs w:val="22"/>
        </w:rPr>
        <w:t xml:space="preserve"> Free ELF to free plasma concentration was calculated based on physiochemical properties of LPV.</w:t>
      </w:r>
      <w:r>
        <w:rPr>
          <w:rFonts w:ascii="Arial" w:hAnsi="Arial" w:cs="Arial"/>
          <w:sz w:val="22"/>
          <w:szCs w:val="22"/>
        </w:rPr>
        <w:fldChar w:fldCharType="begin" w:fldLock="1"/>
      </w:r>
      <w:r>
        <w:rPr>
          <w:rFonts w:ascii="Arial" w:hAnsi="Arial" w:cs="Arial"/>
          <w:sz w:val="22"/>
          <w:szCs w:val="22"/>
        </w:rPr>
        <w:instrText>ADDIN CSL_CITATION {"citationItems":[{"id":"ITEM-1","itemData":{"DOI":"10.1128/AAC.00133-06","ISSN":"0066-4804","author":[{"dropping-particle":"","family":"Kiem","given":"Sungmin","non-dropping-particle":"","parse-names":false,"suffix":""},{"dropping-particle":"","family":"Schentag","given":"Jerome J.","non-dropping-particle":"","parse-names":false,"suffix":""}],"container-title":"Antimicrobial Agents and Chemotherapy","id":"ITEM-1","issue":"1","issued":{"date-parts":[["2008","1"]]},"page":"24-36","title":"Interpretation of Antibiotic Concentration Ratios Measured in Epithelial Lining Fluid","type":"article-journal","volume":"52"},"uris":["http://www.mendeley.com/documents/?uuid=7f4180cc-f7bf-4f9f-a7c6-bba1f4012ac2"]}],"mendeley":{"formattedCitation":"&lt;sup&gt;4&lt;/sup&gt;","plainTextFormattedCitation":"4","previouslyFormattedCitation":"&lt;sup&gt;4&lt;/sup&gt;"},"properties":{"noteIndex":0},"schema":"https://github.com/citation-style-language/schema/raw/master/csl-citation.json"}</w:instrText>
      </w:r>
      <w:r>
        <w:rPr>
          <w:rFonts w:ascii="Arial" w:hAnsi="Arial" w:cs="Arial"/>
          <w:sz w:val="22"/>
          <w:szCs w:val="22"/>
        </w:rPr>
        <w:fldChar w:fldCharType="separate"/>
      </w:r>
      <w:r w:rsidRPr="00DD0B6F">
        <w:rPr>
          <w:rFonts w:ascii="Arial" w:hAnsi="Arial" w:cs="Arial"/>
          <w:noProof/>
          <w:sz w:val="22"/>
          <w:szCs w:val="22"/>
          <w:vertAlign w:val="superscript"/>
        </w:rPr>
        <w:t>4</w:t>
      </w:r>
      <w:r>
        <w:rPr>
          <w:rFonts w:ascii="Arial" w:hAnsi="Arial" w:cs="Arial"/>
          <w:sz w:val="22"/>
          <w:szCs w:val="22"/>
        </w:rPr>
        <w:fldChar w:fldCharType="end"/>
      </w:r>
      <w:r w:rsidRPr="008A4FE0">
        <w:rPr>
          <w:rFonts w:ascii="Arial" w:hAnsi="Arial" w:cs="Arial"/>
          <w:sz w:val="22"/>
          <w:szCs w:val="22"/>
        </w:rPr>
        <w:t xml:space="preserve"> Both ratios are aligned, suggesting 1.5- to 2-fold higher total ELF concentration relative to total plasma concentration.</w:t>
      </w:r>
    </w:p>
    <w:p w14:paraId="2C38E44A" w14:textId="1A5A9E4E" w:rsidR="00731C60" w:rsidRDefault="00731C60" w:rsidP="00FB2D39">
      <w:pPr>
        <w:jc w:val="both"/>
        <w:rPr>
          <w:rFonts w:ascii="Arial" w:hAnsi="Arial" w:cs="Arial"/>
          <w:sz w:val="22"/>
          <w:szCs w:val="22"/>
        </w:rPr>
      </w:pPr>
      <w:r w:rsidRPr="008A4FE0">
        <w:rPr>
          <w:rFonts w:ascii="Arial" w:hAnsi="Arial" w:cs="Arial"/>
          <w:sz w:val="22"/>
          <w:szCs w:val="22"/>
        </w:rPr>
        <w:t xml:space="preserve">A LPV/r regimen of 800mg/200mg x 2 doses on day 1, followed by 400mg/100mg </w:t>
      </w:r>
      <w:r>
        <w:rPr>
          <w:rFonts w:ascii="Arial" w:hAnsi="Arial" w:cs="Arial"/>
          <w:sz w:val="22"/>
          <w:szCs w:val="22"/>
        </w:rPr>
        <w:t>12 hourly</w:t>
      </w:r>
      <w:r w:rsidRPr="008A4FE0">
        <w:rPr>
          <w:rFonts w:ascii="Arial" w:hAnsi="Arial" w:cs="Arial"/>
          <w:sz w:val="22"/>
          <w:szCs w:val="22"/>
        </w:rPr>
        <w:t xml:space="preserve"> for another 9 days is projected to result in lung concentrations exceeding a SARS-CoV-1 in vitro EC</w:t>
      </w:r>
      <w:r w:rsidRPr="0059050A">
        <w:rPr>
          <w:rFonts w:ascii="Arial" w:hAnsi="Arial" w:cs="Arial"/>
          <w:sz w:val="22"/>
          <w:szCs w:val="22"/>
          <w:vertAlign w:val="subscript"/>
        </w:rPr>
        <w:t>50</w:t>
      </w:r>
      <w:r w:rsidRPr="008A4FE0">
        <w:rPr>
          <w:rFonts w:ascii="Arial" w:hAnsi="Arial" w:cs="Arial"/>
          <w:sz w:val="22"/>
          <w:szCs w:val="22"/>
        </w:rPr>
        <w:t xml:space="preserve"> of 4</w:t>
      </w:r>
      <w:r>
        <w:rPr>
          <w:rFonts w:ascii="Arial" w:hAnsi="Arial" w:cs="Arial"/>
          <w:sz w:val="22"/>
          <w:szCs w:val="22"/>
        </w:rPr>
        <w:t>µ</w:t>
      </w:r>
      <w:r w:rsidRPr="008A4FE0">
        <w:rPr>
          <w:rFonts w:ascii="Arial" w:hAnsi="Arial" w:cs="Arial"/>
          <w:sz w:val="22"/>
          <w:szCs w:val="22"/>
        </w:rPr>
        <w:t>g/mL in all subjects across the 10 day treatment duration.</w:t>
      </w:r>
      <w:r>
        <w:rPr>
          <w:rFonts w:ascii="Arial" w:hAnsi="Arial" w:cs="Arial"/>
          <w:sz w:val="22"/>
          <w:szCs w:val="22"/>
        </w:rPr>
        <w:fldChar w:fldCharType="begin" w:fldLock="1"/>
      </w:r>
      <w:r>
        <w:rPr>
          <w:rFonts w:ascii="Arial" w:hAnsi="Arial" w:cs="Arial"/>
          <w:sz w:val="22"/>
          <w:szCs w:val="22"/>
        </w:rPr>
        <w:instrText>ADDIN CSL_CITATION {"citationItems":[{"id":"ITEM-1","itemData":{"DOI":"10.1136/thorax.2003.012658","ISSN":"0040-6376","PMID":"14985565","abstract":"BACKGROUND The clinical response of patients with severe acute respiratory syndrome (SARS) to a combination of lopinavir/ritonavir and ribavirin was examined after establishing the in vitro antiviral susceptibility of the SARS associated coronavirus to a panel of antiviral agents. METHODS The in vitro susceptibility of the prototype of SARS associated coronavirus to a panel of nucleoside analogues and protease inhibitors currently licensed for clinical use was studied. Forty one patients with SARS followed for 3 weeks were treated with a combination of lopinavir/ritonavir and ribavirin. The clinical progress and virological outcomes were monitored and compared with 111 patients treated with ribavirin only who served as historical controls. RESULTS In vitro antiviral activity against SARS associated coronavirus was demonstrated for lopinavir and ribavirin at concentrations of 4 micro g/ml and 50 micro g/ml, respectively, only at 48 hours. The adverse clinical outcome (ARDS or death) was significantly lower in the treatment group than in the historical controls (2.4% v 28.8%, p&lt;0.001) at day 21 after the onset of symptoms. The adverse outcome remained significantly lower in the treatment group than in the controls-both those diagnosed early (p&lt;0.001) and those diagnosed later in the course of the epidemic (p = 0.002)-but there was no significant difference in adverse outcome rates between the two time periods (p = 0.548). No time related difference in outcome was observed in the control groups. A reduction in steroid usage and nosocomial infections was seen in patients initially treated with lopinavir/ritonavir, and these patients had a decreasing viral load and rising peripheral lymphocyte count. Multivariate analysis showed that age, hepatitis B carrier status, and lack of treatment with this antiviral combination were independent predictors of an adverse outcome. Lopinavir/ritonavir treatment was associated with a better outcome even when adjusted for baseline lactate dehydrogenase level. CONCLUSIONS The apparent favourable clinical response with lopinavir/ritonavir and ribavirin supports further randomised placebo controlled trials in patients with SARS.","author":[{"dropping-particle":"","family":"Chu","given":"C M","non-dropping-particle":"","parse-names":false,"suffix":""},{"dropping-particle":"","family":"Cheng","given":"V C C","non-dropping-particle":"","parse-names":false,"suffix":""},{"dropping-particle":"","family":"Hung","given":"I F N","non-dropping-particle":"","parse-names":false,"suffix":""},{"dropping-particle":"","family":"Wong","given":"M M L","non-dropping-particle":"","parse-names":false,"suffix":""},{"dropping-particle":"","family":"Chan","given":"K H","non-dropping-particle":"","parse-names":false,"suffix":""},{"dropping-particle":"","family":"Chan","given":"K S","non-dropping-particle":"","parse-names":false,"suffix":""},{"dropping-particle":"","family":"Kao","given":"R Y T","non-dropping-particle":"","parse-names":false,"suffix":""},{"dropping-particle":"","family":"Poon","given":"L L M","non-dropping-particle":"","parse-names":false,"suffix":""},{"dropping-particle":"","family":"Wong","given":"C L P","non-dropping-particle":"","parse-names":false,"suffix":""},{"dropping-particle":"","family":"Guan","given":"Y","non-dropping-particle":"","parse-names":false,"suffix":""},{"dropping-particle":"","family":"Peiris","given":"J S M","non-dropping-particle":"","parse-names":false,"suffix":""},{"dropping-particle":"","family":"Yuen","given":"K Y","non-dropping-particle":"","parse-names":false,"suffix":""},{"dropping-particle":"","family":"HKU/UCH SARS Study Group","given":"","non-dropping-particle":"","parse-names":false,"suffix":""}],"container-title":"Thorax","id":"ITEM-1","issue":"3","issued":{"date-parts":[["2004","3"]]},"page":"252-6","title":"Role of lopinavir/ritonavir in the treatment of SARS: initial virological and clinical findings.","type":"article-journal","volume":"59"},"uris":["http://www.mendeley.com/documents/?uuid=ebc1e5b3-0063-49a1-a0f7-dc33a8afdd4b"]}],"mendeley":{"formattedCitation":"&lt;sup&gt;5&lt;/sup&gt;","plainTextFormattedCitation":"5","previouslyFormattedCitation":"&lt;sup&gt;5&lt;/sup&gt;"},"properties":{"noteIndex":0},"schema":"https://github.com/citation-style-language/schema/raw/master/csl-citation.json"}</w:instrText>
      </w:r>
      <w:r>
        <w:rPr>
          <w:rFonts w:ascii="Arial" w:hAnsi="Arial" w:cs="Arial"/>
          <w:sz w:val="22"/>
          <w:szCs w:val="22"/>
        </w:rPr>
        <w:fldChar w:fldCharType="separate"/>
      </w:r>
      <w:r w:rsidRPr="00DD0B6F">
        <w:rPr>
          <w:rFonts w:ascii="Arial" w:hAnsi="Arial" w:cs="Arial"/>
          <w:noProof/>
          <w:sz w:val="22"/>
          <w:szCs w:val="22"/>
          <w:vertAlign w:val="superscript"/>
        </w:rPr>
        <w:t>5</w:t>
      </w:r>
      <w:r>
        <w:rPr>
          <w:rFonts w:ascii="Arial" w:hAnsi="Arial" w:cs="Arial"/>
          <w:sz w:val="22"/>
          <w:szCs w:val="22"/>
        </w:rPr>
        <w:fldChar w:fldCharType="end"/>
      </w:r>
      <w:r w:rsidRPr="008A4FE0">
        <w:rPr>
          <w:rFonts w:ascii="Arial" w:hAnsi="Arial" w:cs="Arial"/>
          <w:sz w:val="22"/>
          <w:szCs w:val="22"/>
        </w:rPr>
        <w:t xml:space="preserve"> Owing to the autoinduction of its LPV metabolism, concentrations are higher earlier in the treatment interval. This also corresponds when viral load is likely to be highest.  </w:t>
      </w:r>
    </w:p>
    <w:p w14:paraId="2177DB1F" w14:textId="0E1E045D" w:rsidR="00AB5202" w:rsidRDefault="00AB5202" w:rsidP="00FB2D39">
      <w:pPr>
        <w:jc w:val="both"/>
        <w:rPr>
          <w:rFonts w:ascii="Arial" w:hAnsi="Arial" w:cs="Arial"/>
          <w:sz w:val="22"/>
          <w:szCs w:val="22"/>
        </w:rPr>
      </w:pPr>
    </w:p>
    <w:p w14:paraId="309A1DEE" w14:textId="237B0B81" w:rsidR="00AB5202" w:rsidRDefault="00AB5202" w:rsidP="00FB2D39">
      <w:pPr>
        <w:jc w:val="both"/>
        <w:rPr>
          <w:rFonts w:ascii="Arial" w:hAnsi="Arial" w:cs="Arial"/>
          <w:sz w:val="22"/>
          <w:szCs w:val="22"/>
        </w:rPr>
      </w:pPr>
    </w:p>
    <w:p w14:paraId="427517C0" w14:textId="211CE9F5" w:rsidR="00AB5202" w:rsidRDefault="00AB5202" w:rsidP="00FB2D39">
      <w:pPr>
        <w:jc w:val="both"/>
        <w:rPr>
          <w:rFonts w:ascii="Arial" w:hAnsi="Arial" w:cs="Arial"/>
          <w:sz w:val="22"/>
          <w:szCs w:val="22"/>
        </w:rPr>
      </w:pPr>
    </w:p>
    <w:p w14:paraId="6D48213C" w14:textId="032FF4B6" w:rsidR="00AB5202" w:rsidRDefault="00AB5202" w:rsidP="00FB2D39">
      <w:pPr>
        <w:jc w:val="both"/>
        <w:rPr>
          <w:rFonts w:ascii="Arial" w:hAnsi="Arial" w:cs="Arial"/>
          <w:sz w:val="22"/>
          <w:szCs w:val="22"/>
        </w:rPr>
      </w:pPr>
    </w:p>
    <w:p w14:paraId="61CB8B9C" w14:textId="58B7C0EE" w:rsidR="00AB5202" w:rsidRDefault="00AB5202" w:rsidP="00FB2D39">
      <w:pPr>
        <w:jc w:val="both"/>
        <w:rPr>
          <w:rFonts w:ascii="Arial" w:hAnsi="Arial" w:cs="Arial"/>
          <w:sz w:val="22"/>
          <w:szCs w:val="22"/>
        </w:rPr>
      </w:pPr>
    </w:p>
    <w:p w14:paraId="1C715277" w14:textId="42755734" w:rsidR="00AB5202" w:rsidRDefault="00AB5202" w:rsidP="00FB2D39">
      <w:pPr>
        <w:jc w:val="both"/>
        <w:rPr>
          <w:rFonts w:ascii="Arial" w:hAnsi="Arial" w:cs="Arial"/>
          <w:sz w:val="22"/>
          <w:szCs w:val="22"/>
        </w:rPr>
      </w:pPr>
    </w:p>
    <w:p w14:paraId="2A9F33AB" w14:textId="388DEF6D" w:rsidR="00AB5202" w:rsidRDefault="00AB5202" w:rsidP="00FB2D39">
      <w:pPr>
        <w:jc w:val="both"/>
        <w:rPr>
          <w:rFonts w:ascii="Arial" w:hAnsi="Arial" w:cs="Arial"/>
          <w:sz w:val="22"/>
          <w:szCs w:val="22"/>
        </w:rPr>
      </w:pPr>
    </w:p>
    <w:p w14:paraId="38270D4D" w14:textId="4D36219B" w:rsidR="00AB5202" w:rsidRDefault="00AB5202" w:rsidP="00FB2D39">
      <w:pPr>
        <w:jc w:val="both"/>
        <w:rPr>
          <w:rFonts w:ascii="Arial" w:hAnsi="Arial" w:cs="Arial"/>
          <w:sz w:val="22"/>
          <w:szCs w:val="22"/>
        </w:rPr>
      </w:pPr>
    </w:p>
    <w:p w14:paraId="30B420F5" w14:textId="09613531" w:rsidR="00AB5202" w:rsidRDefault="00AB5202" w:rsidP="00FB2D39">
      <w:pPr>
        <w:jc w:val="both"/>
        <w:rPr>
          <w:rFonts w:ascii="Arial" w:hAnsi="Arial" w:cs="Arial"/>
          <w:sz w:val="22"/>
          <w:szCs w:val="22"/>
        </w:rPr>
      </w:pPr>
    </w:p>
    <w:p w14:paraId="714258A3" w14:textId="194F5C21" w:rsidR="00AB5202" w:rsidRDefault="00AB5202" w:rsidP="00FB2D39">
      <w:pPr>
        <w:jc w:val="both"/>
        <w:rPr>
          <w:rFonts w:ascii="Arial" w:hAnsi="Arial" w:cs="Arial"/>
          <w:sz w:val="22"/>
          <w:szCs w:val="22"/>
        </w:rPr>
      </w:pPr>
    </w:p>
    <w:p w14:paraId="148E1BA8" w14:textId="2AC7C251" w:rsidR="00AB5202" w:rsidRDefault="00AB5202" w:rsidP="00FB2D39">
      <w:pPr>
        <w:jc w:val="both"/>
        <w:rPr>
          <w:rFonts w:ascii="Arial" w:hAnsi="Arial" w:cs="Arial"/>
          <w:sz w:val="22"/>
          <w:szCs w:val="22"/>
        </w:rPr>
      </w:pPr>
    </w:p>
    <w:p w14:paraId="4C765F70" w14:textId="7438267F" w:rsidR="00AB5202" w:rsidRDefault="00AB5202" w:rsidP="00FB2D39">
      <w:pPr>
        <w:jc w:val="both"/>
        <w:rPr>
          <w:rFonts w:ascii="Arial" w:hAnsi="Arial" w:cs="Arial"/>
          <w:sz w:val="22"/>
          <w:szCs w:val="22"/>
        </w:rPr>
      </w:pPr>
    </w:p>
    <w:p w14:paraId="2929DC09" w14:textId="77777777" w:rsidR="00AB5202" w:rsidRDefault="00AB5202" w:rsidP="00FB2D39">
      <w:pPr>
        <w:jc w:val="both"/>
        <w:rPr>
          <w:rFonts w:ascii="Arial" w:hAnsi="Arial" w:cs="Arial"/>
          <w:sz w:val="22"/>
          <w:szCs w:val="22"/>
        </w:rPr>
      </w:pPr>
    </w:p>
    <w:p w14:paraId="1970E053" w14:textId="77777777" w:rsidR="00AB5202" w:rsidRPr="008A4FE0" w:rsidRDefault="00AB5202" w:rsidP="00FB2D39">
      <w:pPr>
        <w:jc w:val="both"/>
        <w:rPr>
          <w:rFonts w:ascii="Arial" w:hAnsi="Arial" w:cs="Arial"/>
          <w:sz w:val="22"/>
          <w:szCs w:val="22"/>
        </w:rPr>
      </w:pPr>
      <w:r w:rsidRPr="008A4FE0">
        <w:rPr>
          <w:rFonts w:ascii="Arial" w:hAnsi="Arial" w:cs="Arial"/>
          <w:b/>
          <w:bCs/>
          <w:sz w:val="22"/>
          <w:szCs w:val="22"/>
        </w:rPr>
        <w:t>Figure</w:t>
      </w:r>
      <w:r>
        <w:rPr>
          <w:rFonts w:ascii="Arial" w:hAnsi="Arial" w:cs="Arial"/>
          <w:b/>
          <w:bCs/>
          <w:sz w:val="22"/>
          <w:szCs w:val="22"/>
        </w:rPr>
        <w:t xml:space="preserve"> 1.</w:t>
      </w:r>
      <w:r w:rsidRPr="008A4FE0">
        <w:rPr>
          <w:rFonts w:ascii="Arial" w:hAnsi="Arial" w:cs="Arial"/>
          <w:sz w:val="22"/>
          <w:szCs w:val="22"/>
        </w:rPr>
        <w:t xml:space="preserve"> Pharmacodynamic simulations showing % patients projected to achieve lung concentrations &gt;1, 1-5 and &gt;5x an in vitro EC</w:t>
      </w:r>
      <w:r w:rsidRPr="0059050A">
        <w:rPr>
          <w:rFonts w:ascii="Arial" w:hAnsi="Arial" w:cs="Arial"/>
          <w:sz w:val="22"/>
          <w:szCs w:val="22"/>
          <w:vertAlign w:val="subscript"/>
        </w:rPr>
        <w:t>50</w:t>
      </w:r>
      <w:r w:rsidRPr="008A4FE0">
        <w:rPr>
          <w:rFonts w:ascii="Arial" w:hAnsi="Arial" w:cs="Arial"/>
          <w:sz w:val="22"/>
          <w:szCs w:val="22"/>
        </w:rPr>
        <w:t xml:space="preserve"> of 4</w:t>
      </w:r>
      <w:r>
        <w:rPr>
          <w:rFonts w:ascii="Arial" w:hAnsi="Arial" w:cs="Arial"/>
          <w:sz w:val="22"/>
          <w:szCs w:val="22"/>
        </w:rPr>
        <w:t>µ</w:t>
      </w:r>
      <w:r w:rsidRPr="008A4FE0">
        <w:rPr>
          <w:rFonts w:ascii="Arial" w:hAnsi="Arial" w:cs="Arial"/>
          <w:sz w:val="22"/>
          <w:szCs w:val="22"/>
        </w:rPr>
        <w:t>g/mL for SARS-CoV-1</w:t>
      </w:r>
      <w:r>
        <w:rPr>
          <w:rFonts w:ascii="Arial" w:hAnsi="Arial" w:cs="Arial"/>
          <w:sz w:val="22"/>
          <w:szCs w:val="22"/>
        </w:rPr>
        <w:t>.</w:t>
      </w:r>
    </w:p>
    <w:p w14:paraId="419C04CC" w14:textId="77777777" w:rsidR="00AB5202" w:rsidRPr="008A4FE0" w:rsidRDefault="00AB5202" w:rsidP="00FB2D39">
      <w:pPr>
        <w:jc w:val="both"/>
        <w:rPr>
          <w:rFonts w:ascii="Arial" w:hAnsi="Arial" w:cs="Arial"/>
          <w:sz w:val="22"/>
          <w:szCs w:val="22"/>
        </w:rPr>
      </w:pPr>
    </w:p>
    <w:p w14:paraId="53773607" w14:textId="77777777" w:rsidR="00731C60" w:rsidRPr="008A4FE0" w:rsidRDefault="00731C60" w:rsidP="00FB2D39">
      <w:pPr>
        <w:jc w:val="both"/>
        <w:rPr>
          <w:rFonts w:ascii="Arial" w:hAnsi="Arial" w:cs="Arial"/>
          <w:noProof/>
          <w:sz w:val="22"/>
          <w:szCs w:val="22"/>
          <w:lang w:val="en-US" w:eastAsia="en-US"/>
        </w:rPr>
      </w:pPr>
      <w:r w:rsidRPr="008A4FE0">
        <w:rPr>
          <w:rFonts w:ascii="Arial" w:hAnsi="Arial" w:cs="Arial"/>
          <w:noProof/>
          <w:sz w:val="22"/>
          <w:szCs w:val="22"/>
          <w:lang w:eastAsia="en-ZA"/>
        </w:rPr>
        <w:lastRenderedPageBreak/>
        <w:drawing>
          <wp:inline distT="0" distB="0" distL="0" distR="0" wp14:anchorId="5F2918DF" wp14:editId="3934E583">
            <wp:extent cx="5921691" cy="4012325"/>
            <wp:effectExtent l="0" t="0" r="0" b="1270"/>
            <wp:docPr id="16"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0"/>
                    <a:stretch>
                      <a:fillRect/>
                    </a:stretch>
                  </pic:blipFill>
                  <pic:spPr>
                    <a:xfrm>
                      <a:off x="0" y="0"/>
                      <a:ext cx="5942029" cy="4026105"/>
                    </a:xfrm>
                    <a:prstGeom prst="rect">
                      <a:avLst/>
                    </a:prstGeom>
                  </pic:spPr>
                </pic:pic>
              </a:graphicData>
            </a:graphic>
          </wp:inline>
        </w:drawing>
      </w:r>
    </w:p>
    <w:p w14:paraId="1F608CB4" w14:textId="77777777" w:rsidR="00731C60" w:rsidRPr="008A4FE0" w:rsidRDefault="00731C60" w:rsidP="00FB2D39">
      <w:pPr>
        <w:jc w:val="both"/>
        <w:rPr>
          <w:rFonts w:ascii="Arial" w:hAnsi="Arial" w:cs="Arial"/>
          <w:noProof/>
          <w:sz w:val="22"/>
          <w:szCs w:val="22"/>
          <w:lang w:val="en-US" w:eastAsia="en-US"/>
        </w:rPr>
      </w:pPr>
    </w:p>
    <w:p w14:paraId="560286EB" w14:textId="77777777" w:rsidR="00731C60" w:rsidRPr="00371DCB" w:rsidRDefault="00731C60" w:rsidP="00FB2D39">
      <w:pPr>
        <w:jc w:val="both"/>
        <w:rPr>
          <w:rFonts w:ascii="Arial" w:hAnsi="Arial" w:cs="Arial"/>
          <w:sz w:val="22"/>
          <w:szCs w:val="22"/>
        </w:rPr>
      </w:pPr>
      <w:r w:rsidRPr="008A4FE0">
        <w:rPr>
          <w:rFonts w:ascii="Arial" w:hAnsi="Arial" w:cs="Arial"/>
          <w:sz w:val="22"/>
          <w:szCs w:val="22"/>
        </w:rPr>
        <w:t xml:space="preserve">The loading dosing regimen is well covered from clinical safety margin perspective during the development program for </w:t>
      </w:r>
      <w:r>
        <w:rPr>
          <w:rFonts w:ascii="Arial" w:hAnsi="Arial" w:cs="Arial"/>
          <w:sz w:val="22"/>
          <w:szCs w:val="22"/>
        </w:rPr>
        <w:t>LPV/r (</w:t>
      </w:r>
      <w:r w:rsidRPr="008A4FE0">
        <w:rPr>
          <w:rFonts w:ascii="Arial" w:hAnsi="Arial" w:cs="Arial"/>
          <w:sz w:val="22"/>
          <w:szCs w:val="22"/>
        </w:rPr>
        <w:t>Kaletra</w:t>
      </w:r>
      <w:r w:rsidRPr="0059050A">
        <w:rPr>
          <w:rFonts w:ascii="Arial" w:hAnsi="Arial" w:cs="Arial"/>
          <w:sz w:val="22"/>
          <w:szCs w:val="22"/>
          <w:vertAlign w:val="superscript"/>
        </w:rPr>
        <w:t>®</w:t>
      </w:r>
      <w:r>
        <w:rPr>
          <w:rFonts w:ascii="Arial" w:hAnsi="Arial" w:cs="Arial"/>
          <w:sz w:val="22"/>
          <w:szCs w:val="22"/>
        </w:rPr>
        <w:t>)</w:t>
      </w:r>
      <w:r w:rsidRPr="008A4FE0">
        <w:rPr>
          <w:rFonts w:ascii="Arial" w:hAnsi="Arial" w:cs="Arial"/>
          <w:sz w:val="22"/>
          <w:szCs w:val="22"/>
        </w:rPr>
        <w:t>, and the subsequent dosing from day 2 is the standard dosing regimen used in treatment of HIV.</w:t>
      </w:r>
      <w:r w:rsidRPr="00371DCB">
        <w:rPr>
          <w:rFonts w:ascii="Arial" w:hAnsi="Arial" w:cs="Arial"/>
          <w:sz w:val="22"/>
          <w:szCs w:val="22"/>
        </w:rPr>
        <w:t xml:space="preserve"> </w:t>
      </w:r>
    </w:p>
    <w:p w14:paraId="39FEC1AF" w14:textId="77777777" w:rsidR="00731C60" w:rsidRPr="00371DCB" w:rsidRDefault="00731C60" w:rsidP="00FB2D39">
      <w:pPr>
        <w:jc w:val="both"/>
        <w:rPr>
          <w:rFonts w:ascii="Arial" w:hAnsi="Arial" w:cs="Arial"/>
          <w:sz w:val="22"/>
          <w:szCs w:val="22"/>
        </w:rPr>
      </w:pPr>
    </w:p>
    <w:p w14:paraId="7D592805" w14:textId="77777777" w:rsidR="00731C60" w:rsidRPr="00371DCB" w:rsidRDefault="00731C60" w:rsidP="00FB2D39">
      <w:pPr>
        <w:jc w:val="both"/>
        <w:rPr>
          <w:rFonts w:ascii="Arial" w:hAnsi="Arial" w:cs="Arial"/>
          <w:b/>
          <w:sz w:val="22"/>
          <w:szCs w:val="22"/>
        </w:rPr>
      </w:pPr>
      <w:r w:rsidRPr="00371DCB">
        <w:rPr>
          <w:rFonts w:ascii="Arial" w:hAnsi="Arial" w:cs="Arial"/>
          <w:b/>
          <w:sz w:val="22"/>
          <w:szCs w:val="22"/>
        </w:rPr>
        <w:t>Treatment administration</w:t>
      </w:r>
    </w:p>
    <w:tbl>
      <w:tblPr>
        <w:tblStyle w:val="TableGrid"/>
        <w:tblW w:w="5000" w:type="pct"/>
        <w:tblLook w:val="04A0" w:firstRow="1" w:lastRow="0" w:firstColumn="1" w:lastColumn="0" w:noHBand="0" w:noVBand="1"/>
      </w:tblPr>
      <w:tblGrid>
        <w:gridCol w:w="1965"/>
        <w:gridCol w:w="1590"/>
        <w:gridCol w:w="1769"/>
        <w:gridCol w:w="1610"/>
        <w:gridCol w:w="2416"/>
      </w:tblGrid>
      <w:tr w:rsidR="00731C60" w:rsidRPr="00FA7410" w14:paraId="341E800A" w14:textId="77777777" w:rsidTr="004F4C8E">
        <w:trPr>
          <w:trHeight w:val="123"/>
        </w:trPr>
        <w:tc>
          <w:tcPr>
            <w:tcW w:w="920" w:type="pct"/>
          </w:tcPr>
          <w:p w14:paraId="606132AA" w14:textId="77777777" w:rsidR="00731C60" w:rsidRPr="00371DCB" w:rsidRDefault="00731C60" w:rsidP="00FB2D39">
            <w:pPr>
              <w:jc w:val="both"/>
              <w:rPr>
                <w:rFonts w:ascii="Arial" w:hAnsi="Arial" w:cs="Arial"/>
                <w:b/>
                <w:sz w:val="22"/>
                <w:szCs w:val="22"/>
                <w:lang w:val="en-US" w:eastAsia="ja-JP"/>
              </w:rPr>
            </w:pPr>
            <w:r w:rsidRPr="00371DCB">
              <w:rPr>
                <w:rFonts w:ascii="Arial" w:hAnsi="Arial" w:cs="Arial"/>
                <w:b/>
                <w:sz w:val="22"/>
                <w:szCs w:val="22"/>
                <w:lang w:val="en-US" w:eastAsia="ja-JP"/>
              </w:rPr>
              <w:t>Drug</w:t>
            </w:r>
          </w:p>
        </w:tc>
        <w:tc>
          <w:tcPr>
            <w:tcW w:w="907" w:type="pct"/>
          </w:tcPr>
          <w:p w14:paraId="0BE17E80" w14:textId="77777777" w:rsidR="00731C60" w:rsidRPr="00371DCB" w:rsidRDefault="00731C60" w:rsidP="00FB2D39">
            <w:pPr>
              <w:jc w:val="both"/>
              <w:rPr>
                <w:rFonts w:ascii="Arial" w:hAnsi="Arial" w:cs="Arial"/>
                <w:b/>
                <w:sz w:val="22"/>
                <w:szCs w:val="22"/>
                <w:lang w:val="en-US" w:eastAsia="ja-JP"/>
              </w:rPr>
            </w:pPr>
            <w:r w:rsidRPr="00371DCB">
              <w:rPr>
                <w:rFonts w:ascii="Arial" w:hAnsi="Arial" w:cs="Arial"/>
                <w:b/>
                <w:sz w:val="22"/>
                <w:szCs w:val="22"/>
                <w:lang w:val="en-US" w:eastAsia="ja-JP"/>
              </w:rPr>
              <w:t>Dosage formulation</w:t>
            </w:r>
          </w:p>
        </w:tc>
        <w:tc>
          <w:tcPr>
            <w:tcW w:w="908" w:type="pct"/>
          </w:tcPr>
          <w:p w14:paraId="64BEA6B3" w14:textId="77777777" w:rsidR="00731C60" w:rsidRPr="00371DCB" w:rsidRDefault="00731C60" w:rsidP="00FB2D39">
            <w:pPr>
              <w:jc w:val="both"/>
              <w:rPr>
                <w:rFonts w:ascii="Arial" w:hAnsi="Arial" w:cs="Arial"/>
                <w:b/>
                <w:sz w:val="22"/>
                <w:szCs w:val="22"/>
                <w:lang w:val="en-US" w:eastAsia="ja-JP"/>
              </w:rPr>
            </w:pPr>
            <w:r w:rsidRPr="00371DCB">
              <w:rPr>
                <w:rFonts w:ascii="Arial" w:hAnsi="Arial" w:cs="Arial"/>
                <w:b/>
                <w:sz w:val="22"/>
                <w:szCs w:val="22"/>
              </w:rPr>
              <w:t>Route of Administration</w:t>
            </w:r>
          </w:p>
        </w:tc>
        <w:tc>
          <w:tcPr>
            <w:tcW w:w="911" w:type="pct"/>
          </w:tcPr>
          <w:p w14:paraId="010E15B2" w14:textId="77777777" w:rsidR="00731C60" w:rsidRPr="00371DCB" w:rsidRDefault="00731C60" w:rsidP="00FB2D39">
            <w:pPr>
              <w:jc w:val="both"/>
              <w:rPr>
                <w:rFonts w:ascii="Arial" w:hAnsi="Arial" w:cs="Arial"/>
                <w:b/>
                <w:sz w:val="22"/>
                <w:szCs w:val="22"/>
                <w:lang w:val="en-US" w:eastAsia="ja-JP"/>
              </w:rPr>
            </w:pPr>
            <w:r w:rsidRPr="00371DCB">
              <w:rPr>
                <w:rFonts w:ascii="Arial" w:hAnsi="Arial" w:cs="Arial"/>
                <w:b/>
                <w:sz w:val="22"/>
                <w:szCs w:val="22"/>
                <w:lang w:val="en-US" w:eastAsia="ja-JP"/>
              </w:rPr>
              <w:t xml:space="preserve">Manufacturer </w:t>
            </w:r>
          </w:p>
        </w:tc>
        <w:tc>
          <w:tcPr>
            <w:tcW w:w="1354" w:type="pct"/>
          </w:tcPr>
          <w:p w14:paraId="1462FA06" w14:textId="77777777" w:rsidR="00731C60" w:rsidRPr="00371DCB" w:rsidRDefault="00731C60" w:rsidP="00FB2D39">
            <w:pPr>
              <w:jc w:val="both"/>
              <w:rPr>
                <w:rFonts w:ascii="Arial" w:hAnsi="Arial" w:cs="Arial"/>
                <w:b/>
                <w:sz w:val="22"/>
                <w:szCs w:val="22"/>
                <w:lang w:val="en-US" w:eastAsia="ja-JP"/>
              </w:rPr>
            </w:pPr>
            <w:r w:rsidRPr="00371DCB">
              <w:rPr>
                <w:rFonts w:ascii="Arial" w:hAnsi="Arial" w:cs="Arial"/>
                <w:b/>
                <w:sz w:val="22"/>
                <w:szCs w:val="22"/>
                <w:lang w:val="en-US" w:eastAsia="ja-JP"/>
              </w:rPr>
              <w:t>Instructions</w:t>
            </w:r>
          </w:p>
        </w:tc>
      </w:tr>
      <w:tr w:rsidR="00731C60" w:rsidRPr="00FA7410" w14:paraId="2F0C88C0" w14:textId="77777777" w:rsidTr="004F4C8E">
        <w:tc>
          <w:tcPr>
            <w:tcW w:w="920" w:type="pct"/>
          </w:tcPr>
          <w:p w14:paraId="1122C608" w14:textId="77777777" w:rsidR="00731C60" w:rsidRPr="00371DCB" w:rsidRDefault="00731C60" w:rsidP="00FB2D39">
            <w:pPr>
              <w:jc w:val="both"/>
              <w:rPr>
                <w:rFonts w:ascii="Arial" w:hAnsi="Arial" w:cs="Arial"/>
                <w:sz w:val="22"/>
                <w:szCs w:val="22"/>
                <w:lang w:val="en-US" w:eastAsia="ja-JP"/>
              </w:rPr>
            </w:pPr>
            <w:r w:rsidRPr="00371DCB">
              <w:rPr>
                <w:rFonts w:ascii="Arial" w:hAnsi="Arial" w:cs="Arial"/>
                <w:sz w:val="22"/>
                <w:szCs w:val="22"/>
              </w:rPr>
              <w:t>Lopinavir</w:t>
            </w:r>
            <w:r w:rsidRPr="00371DCB">
              <w:rPr>
                <w:rFonts w:ascii="Arial" w:hAnsi="Arial" w:cs="Arial"/>
                <w:sz w:val="22"/>
                <w:szCs w:val="22"/>
              </w:rPr>
              <w:noBreakHyphen/>
              <w:t>ritonavir (LPV/r)</w:t>
            </w:r>
          </w:p>
        </w:tc>
        <w:tc>
          <w:tcPr>
            <w:tcW w:w="907" w:type="pct"/>
          </w:tcPr>
          <w:p w14:paraId="7E13DA2F" w14:textId="77777777" w:rsidR="00731C60" w:rsidRPr="00371DCB" w:rsidRDefault="00731C60" w:rsidP="00FB2D39">
            <w:pPr>
              <w:jc w:val="both"/>
              <w:rPr>
                <w:rFonts w:ascii="Arial" w:hAnsi="Arial" w:cs="Arial"/>
                <w:sz w:val="22"/>
                <w:szCs w:val="22"/>
              </w:rPr>
            </w:pPr>
            <w:r w:rsidRPr="00371DCB">
              <w:rPr>
                <w:rFonts w:ascii="Arial" w:hAnsi="Arial" w:cs="Arial"/>
                <w:sz w:val="22"/>
                <w:szCs w:val="22"/>
              </w:rPr>
              <w:t>200mg-50mg tablets</w:t>
            </w:r>
          </w:p>
        </w:tc>
        <w:tc>
          <w:tcPr>
            <w:tcW w:w="908" w:type="pct"/>
          </w:tcPr>
          <w:p w14:paraId="5AA64B40" w14:textId="77777777" w:rsidR="00731C60" w:rsidRPr="00371DCB" w:rsidRDefault="00731C60" w:rsidP="00FB2D39">
            <w:pPr>
              <w:jc w:val="both"/>
              <w:rPr>
                <w:rFonts w:ascii="Arial" w:hAnsi="Arial" w:cs="Arial"/>
                <w:sz w:val="22"/>
                <w:szCs w:val="22"/>
                <w:lang w:val="en-US" w:eastAsia="ja-JP"/>
              </w:rPr>
            </w:pPr>
            <w:r w:rsidRPr="00371DCB">
              <w:rPr>
                <w:rFonts w:ascii="Arial" w:hAnsi="Arial" w:cs="Arial"/>
                <w:sz w:val="22"/>
                <w:szCs w:val="22"/>
                <w:lang w:val="en-US" w:eastAsia="ja-JP"/>
              </w:rPr>
              <w:t>Oral</w:t>
            </w:r>
          </w:p>
        </w:tc>
        <w:tc>
          <w:tcPr>
            <w:tcW w:w="911" w:type="pct"/>
          </w:tcPr>
          <w:p w14:paraId="38A1B662" w14:textId="77777777" w:rsidR="00731C60" w:rsidRPr="00371DCB" w:rsidRDefault="00731C60" w:rsidP="00FB2D39">
            <w:pPr>
              <w:jc w:val="both"/>
              <w:rPr>
                <w:rFonts w:ascii="Arial" w:hAnsi="Arial" w:cs="Arial"/>
                <w:sz w:val="22"/>
                <w:szCs w:val="22"/>
                <w:lang w:val="en-US" w:eastAsia="ja-JP"/>
              </w:rPr>
            </w:pPr>
            <w:r w:rsidRPr="00371DCB">
              <w:rPr>
                <w:rFonts w:ascii="Arial" w:hAnsi="Arial" w:cs="Arial"/>
                <w:sz w:val="22"/>
                <w:szCs w:val="22"/>
                <w:lang w:val="en-US" w:eastAsia="ja-JP"/>
              </w:rPr>
              <w:t>AbbVie</w:t>
            </w:r>
          </w:p>
        </w:tc>
        <w:tc>
          <w:tcPr>
            <w:tcW w:w="1354" w:type="pct"/>
          </w:tcPr>
          <w:p w14:paraId="2EDEA92A" w14:textId="77777777" w:rsidR="00731C60" w:rsidRPr="00371DCB" w:rsidRDefault="00731C60" w:rsidP="00FB2D39">
            <w:pPr>
              <w:jc w:val="both"/>
              <w:rPr>
                <w:rFonts w:ascii="Arial" w:hAnsi="Arial" w:cs="Arial"/>
                <w:sz w:val="22"/>
                <w:szCs w:val="22"/>
                <w:lang w:val="en-US" w:eastAsia="ja-JP"/>
              </w:rPr>
            </w:pPr>
            <w:r w:rsidRPr="00371DCB">
              <w:rPr>
                <w:rFonts w:ascii="Arial" w:hAnsi="Arial" w:cs="Arial"/>
                <w:sz w:val="22"/>
                <w:szCs w:val="22"/>
              </w:rPr>
              <w:t xml:space="preserve">Take 4 tablets every 12 hours for the first day, then take 2 tablets twice daily for 9 days.  Take at approximately the same time each day with a meal. If a dose is missed, it should be taken as soon as possible. If it is less than 4 hours before the next dose, the </w:t>
            </w:r>
            <w:r w:rsidRPr="00371DCB">
              <w:rPr>
                <w:rFonts w:ascii="Arial" w:hAnsi="Arial" w:cs="Arial"/>
                <w:sz w:val="22"/>
                <w:szCs w:val="22"/>
              </w:rPr>
              <w:lastRenderedPageBreak/>
              <w:t>dose should be skipped.</w:t>
            </w:r>
          </w:p>
        </w:tc>
      </w:tr>
    </w:tbl>
    <w:p w14:paraId="0EE6F516" w14:textId="77777777" w:rsidR="00731C60" w:rsidRPr="00371DCB" w:rsidRDefault="00731C60" w:rsidP="00FB2D39">
      <w:pPr>
        <w:jc w:val="both"/>
        <w:rPr>
          <w:rFonts w:ascii="Arial" w:hAnsi="Arial" w:cs="Arial"/>
          <w:sz w:val="22"/>
          <w:szCs w:val="22"/>
        </w:rPr>
      </w:pPr>
    </w:p>
    <w:p w14:paraId="4D54FD78" w14:textId="77777777" w:rsidR="00731C60" w:rsidRPr="00371DCB" w:rsidRDefault="00731C60" w:rsidP="00FB2D39">
      <w:pPr>
        <w:jc w:val="both"/>
        <w:rPr>
          <w:rFonts w:ascii="Arial" w:hAnsi="Arial" w:cs="Arial"/>
          <w:b/>
          <w:bCs/>
          <w:sz w:val="22"/>
          <w:szCs w:val="22"/>
          <w:lang w:eastAsia="ja-JP"/>
        </w:rPr>
      </w:pPr>
      <w:r w:rsidRPr="00371DCB">
        <w:rPr>
          <w:rFonts w:ascii="Arial" w:hAnsi="Arial" w:cs="Arial"/>
          <w:b/>
          <w:bCs/>
          <w:sz w:val="22"/>
          <w:szCs w:val="22"/>
          <w:lang w:eastAsia="ja-JP"/>
        </w:rPr>
        <w:t>Specific Management of Toxicities Related to LPV/r</w:t>
      </w:r>
    </w:p>
    <w:p w14:paraId="508CD270" w14:textId="77777777" w:rsidR="00731C60" w:rsidRPr="00371DCB" w:rsidRDefault="00731C60" w:rsidP="00FB2D39">
      <w:pPr>
        <w:jc w:val="both"/>
        <w:rPr>
          <w:rFonts w:ascii="Arial" w:hAnsi="Arial" w:cs="Arial"/>
          <w:sz w:val="22"/>
          <w:szCs w:val="22"/>
          <w:u w:val="single"/>
        </w:rPr>
      </w:pPr>
      <w:r w:rsidRPr="00371DCB">
        <w:rPr>
          <w:rFonts w:ascii="Arial" w:hAnsi="Arial" w:cs="Arial"/>
          <w:sz w:val="22"/>
          <w:szCs w:val="22"/>
          <w:u w:val="single"/>
        </w:rPr>
        <w:t>Gastrointestinal disturbance</w:t>
      </w:r>
    </w:p>
    <w:p w14:paraId="4571F777" w14:textId="77777777" w:rsidR="00731C60" w:rsidRPr="00371DCB" w:rsidRDefault="00731C60" w:rsidP="00FB2D39">
      <w:pPr>
        <w:jc w:val="both"/>
        <w:rPr>
          <w:rFonts w:ascii="Arial" w:hAnsi="Arial" w:cs="Arial"/>
          <w:sz w:val="22"/>
          <w:szCs w:val="22"/>
        </w:rPr>
      </w:pPr>
      <w:r w:rsidRPr="00371DCB">
        <w:rPr>
          <w:rFonts w:ascii="Arial" w:hAnsi="Arial" w:cs="Arial"/>
          <w:sz w:val="22"/>
          <w:szCs w:val="22"/>
        </w:rPr>
        <w:t xml:space="preserve">Nausea, vomiting, and </w:t>
      </w:r>
      <w:proofErr w:type="spellStart"/>
      <w:r w:rsidRPr="00371DCB">
        <w:rPr>
          <w:rFonts w:ascii="Arial" w:hAnsi="Arial" w:cs="Arial"/>
          <w:sz w:val="22"/>
          <w:szCs w:val="22"/>
        </w:rPr>
        <w:t>diarrhea</w:t>
      </w:r>
      <w:proofErr w:type="spellEnd"/>
      <w:r w:rsidRPr="00371DCB">
        <w:rPr>
          <w:rFonts w:ascii="Arial" w:hAnsi="Arial" w:cs="Arial"/>
          <w:sz w:val="22"/>
          <w:szCs w:val="22"/>
        </w:rPr>
        <w:t xml:space="preserve"> are common known possible side effects of LPV/r. Taking with food may improve tolerability.</w:t>
      </w:r>
    </w:p>
    <w:p w14:paraId="402F75D5" w14:textId="77777777" w:rsidR="00731C60" w:rsidRPr="00371DCB" w:rsidRDefault="00731C60" w:rsidP="00FB2D39">
      <w:pPr>
        <w:jc w:val="both"/>
        <w:rPr>
          <w:rFonts w:ascii="Arial" w:hAnsi="Arial" w:cs="Arial"/>
          <w:sz w:val="22"/>
          <w:szCs w:val="22"/>
          <w:u w:val="single"/>
        </w:rPr>
      </w:pPr>
      <w:r w:rsidRPr="00371DCB">
        <w:rPr>
          <w:rFonts w:ascii="Arial" w:hAnsi="Arial" w:cs="Arial"/>
          <w:sz w:val="22"/>
          <w:szCs w:val="22"/>
          <w:u w:val="single"/>
        </w:rPr>
        <w:t>QT prolongation</w:t>
      </w:r>
    </w:p>
    <w:p w14:paraId="77C851E7" w14:textId="77777777" w:rsidR="00731C60" w:rsidRPr="00371DCB" w:rsidRDefault="00731C60" w:rsidP="00FB2D39">
      <w:pPr>
        <w:jc w:val="both"/>
        <w:rPr>
          <w:rFonts w:ascii="Arial" w:hAnsi="Arial" w:cs="Arial"/>
          <w:sz w:val="22"/>
          <w:szCs w:val="22"/>
        </w:rPr>
      </w:pPr>
      <w:r w:rsidRPr="00371DCB">
        <w:rPr>
          <w:rFonts w:ascii="Arial" w:hAnsi="Arial" w:cs="Arial"/>
          <w:sz w:val="22"/>
          <w:szCs w:val="22"/>
        </w:rPr>
        <w:t>LPV/r is associated with QT prolongation. QT will be assessed prior to enrolment to assess eligibility.</w:t>
      </w:r>
    </w:p>
    <w:p w14:paraId="4F5D16C9" w14:textId="77777777" w:rsidR="00431707" w:rsidRDefault="00431707" w:rsidP="00FB2D39">
      <w:pPr>
        <w:jc w:val="both"/>
        <w:rPr>
          <w:rFonts w:ascii="Arial" w:hAnsi="Arial" w:cs="Arial"/>
          <w:b/>
          <w:sz w:val="22"/>
          <w:szCs w:val="22"/>
        </w:rPr>
      </w:pPr>
    </w:p>
    <w:p w14:paraId="5AFB0FD7" w14:textId="26380D25" w:rsidR="00731C60" w:rsidRPr="00371DCB" w:rsidRDefault="00731C60" w:rsidP="00FB2D39">
      <w:pPr>
        <w:jc w:val="both"/>
        <w:rPr>
          <w:rFonts w:ascii="Arial" w:hAnsi="Arial" w:cs="Arial"/>
          <w:b/>
          <w:sz w:val="22"/>
          <w:szCs w:val="22"/>
          <w:lang w:val="en-US" w:eastAsia="ja-JP"/>
        </w:rPr>
      </w:pPr>
      <w:r w:rsidRPr="00371DCB">
        <w:rPr>
          <w:rFonts w:ascii="Arial" w:hAnsi="Arial" w:cs="Arial"/>
          <w:b/>
          <w:sz w:val="22"/>
          <w:szCs w:val="22"/>
        </w:rPr>
        <w:t>LPV/r label</w:t>
      </w:r>
    </w:p>
    <w:p w14:paraId="6C9B8DEF" w14:textId="77777777" w:rsidR="00731C60" w:rsidRPr="00371DCB" w:rsidRDefault="00731C60" w:rsidP="00FB2D39">
      <w:pPr>
        <w:jc w:val="both"/>
        <w:rPr>
          <w:rFonts w:ascii="Arial" w:hAnsi="Arial" w:cs="Arial"/>
          <w:sz w:val="22"/>
          <w:szCs w:val="22"/>
          <w:lang w:eastAsia="ja-JP"/>
        </w:rPr>
      </w:pPr>
      <w:r w:rsidRPr="00371DCB">
        <w:rPr>
          <w:rFonts w:ascii="Arial" w:hAnsi="Arial" w:cs="Arial"/>
          <w:sz w:val="22"/>
          <w:szCs w:val="22"/>
          <w:lang w:eastAsia="ja-JP"/>
        </w:rPr>
        <w:t xml:space="preserve">The lopinavir-ritonavir label (current as of Dec 2019) is available online at </w:t>
      </w:r>
      <w:hyperlink r:id="rId71" w:history="1">
        <w:r w:rsidRPr="00371DCB">
          <w:rPr>
            <w:rStyle w:val="Hyperlink"/>
            <w:rFonts w:ascii="Arial" w:hAnsi="Arial" w:cs="Arial"/>
            <w:sz w:val="22"/>
            <w:szCs w:val="22"/>
            <w:lang w:eastAsia="ja-JP"/>
          </w:rPr>
          <w:t>https://dailymed.nlm.nih.gov/dailymed/drugInfo.cfm?setid=8290add3-4449-4e58-6c97-8fe1eec972e3</w:t>
        </w:r>
      </w:hyperlink>
      <w:r w:rsidRPr="00371DCB">
        <w:rPr>
          <w:rFonts w:ascii="Arial" w:hAnsi="Arial" w:cs="Arial"/>
          <w:sz w:val="22"/>
          <w:szCs w:val="22"/>
          <w:lang w:eastAsia="ja-JP"/>
        </w:rPr>
        <w:t xml:space="preserve">. </w:t>
      </w:r>
    </w:p>
    <w:p w14:paraId="19A9E80D" w14:textId="77777777" w:rsidR="00431707" w:rsidRDefault="00431707" w:rsidP="00FB2D39">
      <w:pPr>
        <w:jc w:val="both"/>
        <w:rPr>
          <w:rFonts w:ascii="Arial" w:hAnsi="Arial" w:cs="Arial"/>
          <w:b/>
          <w:bCs/>
          <w:sz w:val="22"/>
          <w:szCs w:val="22"/>
        </w:rPr>
      </w:pPr>
    </w:p>
    <w:p w14:paraId="26A0FA12" w14:textId="20ACA104" w:rsidR="00731C60" w:rsidRPr="00D34E2A" w:rsidRDefault="00731C60" w:rsidP="00FB2D39">
      <w:pPr>
        <w:jc w:val="both"/>
        <w:rPr>
          <w:rFonts w:ascii="Arial" w:hAnsi="Arial" w:cs="Arial"/>
          <w:b/>
          <w:bCs/>
          <w:sz w:val="22"/>
          <w:szCs w:val="22"/>
        </w:rPr>
      </w:pPr>
      <w:r w:rsidRPr="00D34E2A">
        <w:rPr>
          <w:rFonts w:ascii="Arial" w:hAnsi="Arial" w:cs="Arial"/>
          <w:b/>
          <w:bCs/>
          <w:sz w:val="22"/>
          <w:szCs w:val="22"/>
        </w:rPr>
        <w:t>References</w:t>
      </w:r>
    </w:p>
    <w:p w14:paraId="08A63BEA" w14:textId="77777777" w:rsidR="00731C60" w:rsidRPr="00D34E2A" w:rsidRDefault="00731C60" w:rsidP="00FB2D39">
      <w:pPr>
        <w:widowControl w:val="0"/>
        <w:autoSpaceDE w:val="0"/>
        <w:autoSpaceDN w:val="0"/>
        <w:adjustRightInd w:val="0"/>
        <w:ind w:left="640" w:hanging="640"/>
        <w:jc w:val="both"/>
        <w:rPr>
          <w:rFonts w:ascii="Arial" w:hAnsi="Arial" w:cs="Arial"/>
          <w:noProof/>
          <w:sz w:val="22"/>
          <w:szCs w:val="22"/>
          <w:lang w:val="en-GB"/>
        </w:rPr>
      </w:pPr>
      <w:r w:rsidRPr="00D34E2A">
        <w:rPr>
          <w:rFonts w:ascii="Arial" w:hAnsi="Arial" w:cs="Arial"/>
          <w:sz w:val="22"/>
          <w:szCs w:val="22"/>
        </w:rPr>
        <w:fldChar w:fldCharType="begin" w:fldLock="1"/>
      </w:r>
      <w:r w:rsidRPr="00D34E2A">
        <w:rPr>
          <w:rFonts w:ascii="Arial" w:hAnsi="Arial" w:cs="Arial"/>
          <w:sz w:val="22"/>
          <w:szCs w:val="22"/>
        </w:rPr>
        <w:instrText xml:space="preserve">ADDIN Mendeley Bibliography CSL_BIBLIOGRAPHY </w:instrText>
      </w:r>
      <w:r w:rsidRPr="00D34E2A">
        <w:rPr>
          <w:rFonts w:ascii="Arial" w:hAnsi="Arial" w:cs="Arial"/>
          <w:sz w:val="22"/>
          <w:szCs w:val="22"/>
        </w:rPr>
        <w:fldChar w:fldCharType="separate"/>
      </w:r>
      <w:r w:rsidRPr="00D34E2A">
        <w:rPr>
          <w:rFonts w:ascii="Arial" w:hAnsi="Arial" w:cs="Arial"/>
          <w:noProof/>
          <w:sz w:val="22"/>
          <w:szCs w:val="22"/>
          <w:lang w:val="en-GB"/>
        </w:rPr>
        <w:t>1.</w:t>
      </w:r>
      <w:r w:rsidRPr="00D34E2A">
        <w:rPr>
          <w:rFonts w:ascii="Arial" w:hAnsi="Arial" w:cs="Arial"/>
          <w:noProof/>
          <w:sz w:val="22"/>
          <w:szCs w:val="22"/>
          <w:lang w:val="en-GB"/>
        </w:rPr>
        <w:tab/>
        <w:t xml:space="preserve">López Aspiroz, E. </w:t>
      </w:r>
      <w:r w:rsidRPr="00D34E2A">
        <w:rPr>
          <w:rFonts w:ascii="Arial" w:hAnsi="Arial" w:cs="Arial"/>
          <w:i/>
          <w:iCs/>
          <w:noProof/>
          <w:sz w:val="22"/>
          <w:szCs w:val="22"/>
          <w:lang w:val="en-GB"/>
        </w:rPr>
        <w:t>et al.</w:t>
      </w:r>
      <w:r w:rsidRPr="00D34E2A">
        <w:rPr>
          <w:rFonts w:ascii="Arial" w:hAnsi="Arial" w:cs="Arial"/>
          <w:noProof/>
          <w:sz w:val="22"/>
          <w:szCs w:val="22"/>
          <w:lang w:val="en-GB"/>
        </w:rPr>
        <w:t xml:space="preserve"> Population Pharmacokinetics of Lopinavir/Ritonavir (Kaletra) in HIV-Infected Patients. </w:t>
      </w:r>
      <w:r w:rsidRPr="00D34E2A">
        <w:rPr>
          <w:rFonts w:ascii="Arial" w:hAnsi="Arial" w:cs="Arial"/>
          <w:i/>
          <w:iCs/>
          <w:noProof/>
          <w:sz w:val="22"/>
          <w:szCs w:val="22"/>
          <w:lang w:val="en-GB"/>
        </w:rPr>
        <w:t>Ther. Drug Monit.</w:t>
      </w:r>
      <w:r w:rsidRPr="00D34E2A">
        <w:rPr>
          <w:rFonts w:ascii="Arial" w:hAnsi="Arial" w:cs="Arial"/>
          <w:noProof/>
          <w:sz w:val="22"/>
          <w:szCs w:val="22"/>
          <w:lang w:val="en-GB"/>
        </w:rPr>
        <w:t xml:space="preserve"> 1 (2011). doi:10.1097/FTD.0b013e31822d578b</w:t>
      </w:r>
    </w:p>
    <w:p w14:paraId="6C553C66" w14:textId="77777777" w:rsidR="00731C60" w:rsidRPr="00D34E2A" w:rsidRDefault="00731C60" w:rsidP="00FB2D39">
      <w:pPr>
        <w:widowControl w:val="0"/>
        <w:autoSpaceDE w:val="0"/>
        <w:autoSpaceDN w:val="0"/>
        <w:adjustRightInd w:val="0"/>
        <w:ind w:left="640" w:hanging="640"/>
        <w:jc w:val="both"/>
        <w:rPr>
          <w:rFonts w:ascii="Arial" w:hAnsi="Arial" w:cs="Arial"/>
          <w:noProof/>
          <w:sz w:val="22"/>
          <w:szCs w:val="22"/>
          <w:lang w:val="en-GB"/>
        </w:rPr>
      </w:pPr>
      <w:r w:rsidRPr="00D34E2A">
        <w:rPr>
          <w:rFonts w:ascii="Arial" w:hAnsi="Arial" w:cs="Arial"/>
          <w:noProof/>
          <w:sz w:val="22"/>
          <w:szCs w:val="22"/>
          <w:lang w:val="en-GB"/>
        </w:rPr>
        <w:t>2.</w:t>
      </w:r>
      <w:r w:rsidRPr="00D34E2A">
        <w:rPr>
          <w:rFonts w:ascii="Arial" w:hAnsi="Arial" w:cs="Arial"/>
          <w:noProof/>
          <w:sz w:val="22"/>
          <w:szCs w:val="22"/>
          <w:lang w:val="en-GB"/>
        </w:rPr>
        <w:tab/>
        <w:t xml:space="preserve">Ng, J. </w:t>
      </w:r>
      <w:r w:rsidRPr="00D34E2A">
        <w:rPr>
          <w:rFonts w:ascii="Arial" w:hAnsi="Arial" w:cs="Arial"/>
          <w:i/>
          <w:iCs/>
          <w:noProof/>
          <w:sz w:val="22"/>
          <w:szCs w:val="22"/>
          <w:lang w:val="en-GB"/>
        </w:rPr>
        <w:t>et al.</w:t>
      </w:r>
      <w:r w:rsidRPr="00D34E2A">
        <w:rPr>
          <w:rFonts w:ascii="Arial" w:hAnsi="Arial" w:cs="Arial"/>
          <w:noProof/>
          <w:sz w:val="22"/>
          <w:szCs w:val="22"/>
          <w:lang w:val="en-GB"/>
        </w:rPr>
        <w:t xml:space="preserve"> Population pharmacokinetic/pharmacodynamic analysis of lopinavir and ritonavir in subjects receiving the tablet formulation. </w:t>
      </w:r>
      <w:r w:rsidRPr="00D34E2A">
        <w:rPr>
          <w:rFonts w:ascii="Arial" w:hAnsi="Arial" w:cs="Arial"/>
          <w:i/>
          <w:iCs/>
          <w:noProof/>
          <w:sz w:val="22"/>
          <w:szCs w:val="22"/>
          <w:lang w:val="en-GB"/>
        </w:rPr>
        <w:t>J. Int. AIDS Soc.</w:t>
      </w:r>
      <w:r w:rsidRPr="00D34E2A">
        <w:rPr>
          <w:rFonts w:ascii="Arial" w:hAnsi="Arial" w:cs="Arial"/>
          <w:noProof/>
          <w:sz w:val="22"/>
          <w:szCs w:val="22"/>
          <w:lang w:val="en-GB"/>
        </w:rPr>
        <w:t xml:space="preserve"> </w:t>
      </w:r>
      <w:r w:rsidRPr="00D34E2A">
        <w:rPr>
          <w:rFonts w:ascii="Arial" w:hAnsi="Arial" w:cs="Arial"/>
          <w:b/>
          <w:bCs/>
          <w:noProof/>
          <w:sz w:val="22"/>
          <w:szCs w:val="22"/>
          <w:lang w:val="en-GB"/>
        </w:rPr>
        <w:t>11</w:t>
      </w:r>
      <w:r w:rsidRPr="00D34E2A">
        <w:rPr>
          <w:rFonts w:ascii="Arial" w:hAnsi="Arial" w:cs="Arial"/>
          <w:noProof/>
          <w:sz w:val="22"/>
          <w:szCs w:val="22"/>
          <w:lang w:val="en-GB"/>
        </w:rPr>
        <w:t>, P245 (2008).</w:t>
      </w:r>
    </w:p>
    <w:p w14:paraId="1CFAFE55" w14:textId="77777777" w:rsidR="00731C60" w:rsidRPr="00D34E2A" w:rsidRDefault="00731C60" w:rsidP="00FB2D39">
      <w:pPr>
        <w:widowControl w:val="0"/>
        <w:autoSpaceDE w:val="0"/>
        <w:autoSpaceDN w:val="0"/>
        <w:adjustRightInd w:val="0"/>
        <w:ind w:left="640" w:hanging="640"/>
        <w:jc w:val="both"/>
        <w:rPr>
          <w:rFonts w:ascii="Arial" w:hAnsi="Arial" w:cs="Arial"/>
          <w:noProof/>
          <w:sz w:val="22"/>
          <w:szCs w:val="22"/>
          <w:lang w:val="en-GB"/>
        </w:rPr>
      </w:pPr>
      <w:r w:rsidRPr="00D34E2A">
        <w:rPr>
          <w:rFonts w:ascii="Arial" w:hAnsi="Arial" w:cs="Arial"/>
          <w:noProof/>
          <w:sz w:val="22"/>
          <w:szCs w:val="22"/>
          <w:lang w:val="en-GB"/>
        </w:rPr>
        <w:t>3.</w:t>
      </w:r>
      <w:r w:rsidRPr="00D34E2A">
        <w:rPr>
          <w:rFonts w:ascii="Arial" w:hAnsi="Arial" w:cs="Arial"/>
          <w:noProof/>
          <w:sz w:val="22"/>
          <w:szCs w:val="22"/>
          <w:lang w:val="en-GB"/>
        </w:rPr>
        <w:tab/>
        <w:t xml:space="preserve">Atzori, C., Villani, P., Regazzi, M., Maruzzi, M. &amp; Cargnel, A. Detection of intrapulmonary concentration of lopinavir in an HIV-infected patient. </w:t>
      </w:r>
      <w:r w:rsidRPr="00D34E2A">
        <w:rPr>
          <w:rFonts w:ascii="Arial" w:hAnsi="Arial" w:cs="Arial"/>
          <w:i/>
          <w:iCs/>
          <w:noProof/>
          <w:sz w:val="22"/>
          <w:szCs w:val="22"/>
          <w:lang w:val="en-GB"/>
        </w:rPr>
        <w:t>AIDS</w:t>
      </w:r>
      <w:r w:rsidRPr="00D34E2A">
        <w:rPr>
          <w:rFonts w:ascii="Arial" w:hAnsi="Arial" w:cs="Arial"/>
          <w:noProof/>
          <w:sz w:val="22"/>
          <w:szCs w:val="22"/>
          <w:lang w:val="en-GB"/>
        </w:rPr>
        <w:t xml:space="preserve"> </w:t>
      </w:r>
      <w:r w:rsidRPr="00D34E2A">
        <w:rPr>
          <w:rFonts w:ascii="Arial" w:hAnsi="Arial" w:cs="Arial"/>
          <w:b/>
          <w:bCs/>
          <w:noProof/>
          <w:sz w:val="22"/>
          <w:szCs w:val="22"/>
          <w:lang w:val="en-GB"/>
        </w:rPr>
        <w:t>17</w:t>
      </w:r>
      <w:r w:rsidRPr="00D34E2A">
        <w:rPr>
          <w:rFonts w:ascii="Arial" w:hAnsi="Arial" w:cs="Arial"/>
          <w:noProof/>
          <w:sz w:val="22"/>
          <w:szCs w:val="22"/>
          <w:lang w:val="en-GB"/>
        </w:rPr>
        <w:t>, 1710–1711 (2003).</w:t>
      </w:r>
    </w:p>
    <w:p w14:paraId="63FBBE4C" w14:textId="77777777" w:rsidR="00731C60" w:rsidRPr="00D34E2A" w:rsidRDefault="00731C60" w:rsidP="00FB2D39">
      <w:pPr>
        <w:widowControl w:val="0"/>
        <w:autoSpaceDE w:val="0"/>
        <w:autoSpaceDN w:val="0"/>
        <w:adjustRightInd w:val="0"/>
        <w:ind w:left="640" w:hanging="640"/>
        <w:jc w:val="both"/>
        <w:rPr>
          <w:rFonts w:ascii="Arial" w:hAnsi="Arial" w:cs="Arial"/>
          <w:noProof/>
          <w:sz w:val="22"/>
          <w:szCs w:val="22"/>
          <w:lang w:val="en-GB"/>
        </w:rPr>
      </w:pPr>
      <w:r w:rsidRPr="00D34E2A">
        <w:rPr>
          <w:rFonts w:ascii="Arial" w:hAnsi="Arial" w:cs="Arial"/>
          <w:noProof/>
          <w:sz w:val="22"/>
          <w:szCs w:val="22"/>
          <w:lang w:val="en-GB"/>
        </w:rPr>
        <w:t>4.</w:t>
      </w:r>
      <w:r w:rsidRPr="00D34E2A">
        <w:rPr>
          <w:rFonts w:ascii="Arial" w:hAnsi="Arial" w:cs="Arial"/>
          <w:noProof/>
          <w:sz w:val="22"/>
          <w:szCs w:val="22"/>
          <w:lang w:val="en-GB"/>
        </w:rPr>
        <w:tab/>
        <w:t xml:space="preserve">Kiem, S. &amp; Schentag, J. J. Interpretation of Antibiotic Concentration Ratios Measured in Epithelial Lining Fluid. </w:t>
      </w:r>
      <w:r w:rsidRPr="00D34E2A">
        <w:rPr>
          <w:rFonts w:ascii="Arial" w:hAnsi="Arial" w:cs="Arial"/>
          <w:i/>
          <w:iCs/>
          <w:noProof/>
          <w:sz w:val="22"/>
          <w:szCs w:val="22"/>
          <w:lang w:val="en-GB"/>
        </w:rPr>
        <w:t>Antimicrob. Agents Chemother.</w:t>
      </w:r>
      <w:r w:rsidRPr="00D34E2A">
        <w:rPr>
          <w:rFonts w:ascii="Arial" w:hAnsi="Arial" w:cs="Arial"/>
          <w:noProof/>
          <w:sz w:val="22"/>
          <w:szCs w:val="22"/>
          <w:lang w:val="en-GB"/>
        </w:rPr>
        <w:t xml:space="preserve"> </w:t>
      </w:r>
      <w:r w:rsidRPr="00D34E2A">
        <w:rPr>
          <w:rFonts w:ascii="Arial" w:hAnsi="Arial" w:cs="Arial"/>
          <w:b/>
          <w:bCs/>
          <w:noProof/>
          <w:sz w:val="22"/>
          <w:szCs w:val="22"/>
          <w:lang w:val="en-GB"/>
        </w:rPr>
        <w:t>52</w:t>
      </w:r>
      <w:r w:rsidRPr="00D34E2A">
        <w:rPr>
          <w:rFonts w:ascii="Arial" w:hAnsi="Arial" w:cs="Arial"/>
          <w:noProof/>
          <w:sz w:val="22"/>
          <w:szCs w:val="22"/>
          <w:lang w:val="en-GB"/>
        </w:rPr>
        <w:t>, 24–36 (2008).</w:t>
      </w:r>
    </w:p>
    <w:p w14:paraId="4BC04506" w14:textId="77777777" w:rsidR="00731C60" w:rsidRPr="00D34E2A" w:rsidRDefault="00731C60" w:rsidP="00FB2D39">
      <w:pPr>
        <w:widowControl w:val="0"/>
        <w:autoSpaceDE w:val="0"/>
        <w:autoSpaceDN w:val="0"/>
        <w:adjustRightInd w:val="0"/>
        <w:ind w:left="640" w:hanging="640"/>
        <w:jc w:val="both"/>
        <w:rPr>
          <w:rFonts w:ascii="Arial" w:hAnsi="Arial" w:cs="Arial"/>
          <w:noProof/>
          <w:sz w:val="22"/>
          <w:szCs w:val="22"/>
        </w:rPr>
      </w:pPr>
      <w:r w:rsidRPr="00D34E2A">
        <w:rPr>
          <w:rFonts w:ascii="Arial" w:hAnsi="Arial" w:cs="Arial"/>
          <w:noProof/>
          <w:sz w:val="22"/>
          <w:szCs w:val="22"/>
          <w:lang w:val="en-GB"/>
        </w:rPr>
        <w:t>5.</w:t>
      </w:r>
      <w:r w:rsidRPr="00D34E2A">
        <w:rPr>
          <w:rFonts w:ascii="Arial" w:hAnsi="Arial" w:cs="Arial"/>
          <w:noProof/>
          <w:sz w:val="22"/>
          <w:szCs w:val="22"/>
          <w:lang w:val="en-GB"/>
        </w:rPr>
        <w:tab/>
        <w:t xml:space="preserve">Chu, C. M. </w:t>
      </w:r>
      <w:r w:rsidRPr="00D34E2A">
        <w:rPr>
          <w:rFonts w:ascii="Arial" w:hAnsi="Arial" w:cs="Arial"/>
          <w:i/>
          <w:iCs/>
          <w:noProof/>
          <w:sz w:val="22"/>
          <w:szCs w:val="22"/>
          <w:lang w:val="en-GB"/>
        </w:rPr>
        <w:t>et al.</w:t>
      </w:r>
      <w:r w:rsidRPr="00D34E2A">
        <w:rPr>
          <w:rFonts w:ascii="Arial" w:hAnsi="Arial" w:cs="Arial"/>
          <w:noProof/>
          <w:sz w:val="22"/>
          <w:szCs w:val="22"/>
          <w:lang w:val="en-GB"/>
        </w:rPr>
        <w:t xml:space="preserve"> Role of lopinavir/ritonavir in the treatment of SARS: initial virological and clinical findings. </w:t>
      </w:r>
      <w:r w:rsidRPr="00D34E2A">
        <w:rPr>
          <w:rFonts w:ascii="Arial" w:hAnsi="Arial" w:cs="Arial"/>
          <w:i/>
          <w:iCs/>
          <w:noProof/>
          <w:sz w:val="22"/>
          <w:szCs w:val="22"/>
          <w:lang w:val="en-GB"/>
        </w:rPr>
        <w:t>Thorax</w:t>
      </w:r>
      <w:r w:rsidRPr="00D34E2A">
        <w:rPr>
          <w:rFonts w:ascii="Arial" w:hAnsi="Arial" w:cs="Arial"/>
          <w:noProof/>
          <w:sz w:val="22"/>
          <w:szCs w:val="22"/>
          <w:lang w:val="en-GB"/>
        </w:rPr>
        <w:t xml:space="preserve"> </w:t>
      </w:r>
      <w:r w:rsidRPr="00D34E2A">
        <w:rPr>
          <w:rFonts w:ascii="Arial" w:hAnsi="Arial" w:cs="Arial"/>
          <w:b/>
          <w:bCs/>
          <w:noProof/>
          <w:sz w:val="22"/>
          <w:szCs w:val="22"/>
          <w:lang w:val="en-GB"/>
        </w:rPr>
        <w:t>59</w:t>
      </w:r>
      <w:r w:rsidRPr="00D34E2A">
        <w:rPr>
          <w:rFonts w:ascii="Arial" w:hAnsi="Arial" w:cs="Arial"/>
          <w:noProof/>
          <w:sz w:val="22"/>
          <w:szCs w:val="22"/>
          <w:lang w:val="en-GB"/>
        </w:rPr>
        <w:t>, 252–6 (2004).</w:t>
      </w:r>
    </w:p>
    <w:p w14:paraId="329FDE79" w14:textId="46DF83EC" w:rsidR="0034557D" w:rsidRPr="00731C60" w:rsidRDefault="00731C60" w:rsidP="00FB2D39">
      <w:pPr>
        <w:jc w:val="both"/>
      </w:pPr>
      <w:r w:rsidRPr="00D34E2A">
        <w:rPr>
          <w:rFonts w:ascii="Arial" w:hAnsi="Arial" w:cs="Arial"/>
          <w:sz w:val="22"/>
          <w:szCs w:val="22"/>
        </w:rPr>
        <w:fldChar w:fldCharType="end"/>
      </w:r>
    </w:p>
    <w:p w14:paraId="604B5A5D" w14:textId="533E8622" w:rsidR="007066B7" w:rsidRDefault="007066B7" w:rsidP="00FB2D39">
      <w:pPr>
        <w:jc w:val="both"/>
        <w:rPr>
          <w:rFonts w:eastAsia="MS Gothic"/>
          <w:b/>
          <w:bCs/>
          <w:i/>
          <w:iCs/>
          <w:color w:val="000000"/>
          <w:sz w:val="28"/>
          <w:szCs w:val="28"/>
          <w:lang w:val="en-US" w:eastAsia="ja-JP"/>
        </w:rPr>
      </w:pPr>
      <w:bookmarkStart w:id="201" w:name="_Toc38818813"/>
      <w:r>
        <w:br w:type="page"/>
      </w:r>
    </w:p>
    <w:p w14:paraId="6B82336B" w14:textId="56068917" w:rsidR="00BB5E71" w:rsidRPr="00371DCB" w:rsidRDefault="00BB5E71" w:rsidP="00FB2D39">
      <w:pPr>
        <w:pStyle w:val="Heading2non-numbered"/>
        <w:jc w:val="both"/>
      </w:pPr>
      <w:r w:rsidRPr="00371DCB">
        <w:lastRenderedPageBreak/>
        <w:t>Appendix</w:t>
      </w:r>
      <w:r w:rsidR="007066B7">
        <w:t xml:space="preserve"> </w:t>
      </w:r>
      <w:r w:rsidR="00B971A8">
        <w:t>10</w:t>
      </w:r>
      <w:r w:rsidRPr="00371DCB">
        <w:t>: Azithromycin</w:t>
      </w:r>
      <w:bookmarkEnd w:id="201"/>
      <w:r w:rsidRPr="00371DCB">
        <w:t xml:space="preserve"> </w:t>
      </w:r>
    </w:p>
    <w:p w14:paraId="161A8E5B" w14:textId="77777777" w:rsidR="003C113D" w:rsidRPr="00371DCB" w:rsidRDefault="003C113D" w:rsidP="00FB2D39">
      <w:pPr>
        <w:jc w:val="both"/>
        <w:rPr>
          <w:rFonts w:ascii="Arial" w:hAnsi="Arial" w:cs="Arial"/>
          <w:b/>
          <w:sz w:val="22"/>
          <w:szCs w:val="22"/>
          <w:lang w:eastAsia="ja-JP"/>
        </w:rPr>
      </w:pPr>
      <w:bookmarkStart w:id="202" w:name="_Toc38818814"/>
      <w:r w:rsidRPr="00371DCB">
        <w:rPr>
          <w:rFonts w:ascii="Arial" w:hAnsi="Arial" w:cs="Arial"/>
          <w:b/>
          <w:sz w:val="22"/>
          <w:szCs w:val="22"/>
        </w:rPr>
        <w:t xml:space="preserve">Dosing rationale for Azithromycin </w:t>
      </w:r>
    </w:p>
    <w:p w14:paraId="13D3F5E7" w14:textId="77777777" w:rsidR="003C113D" w:rsidRPr="004C7B6D" w:rsidRDefault="003C113D" w:rsidP="00FB2D39">
      <w:pPr>
        <w:jc w:val="both"/>
        <w:rPr>
          <w:rFonts w:ascii="Arial" w:hAnsi="Arial" w:cs="Arial"/>
          <w:sz w:val="22"/>
          <w:szCs w:val="22"/>
        </w:rPr>
      </w:pPr>
      <w:r w:rsidRPr="004C7B6D">
        <w:rPr>
          <w:rFonts w:ascii="Arial" w:hAnsi="Arial" w:cs="Arial"/>
          <w:sz w:val="22"/>
          <w:szCs w:val="22"/>
        </w:rPr>
        <w:t>The efficacy and safety of azithromycin monotherapy in the treatment of COVID-19 has not been established. The dose regimen of 500 mg as a single dose on Day 1, followed by 250 mg once daily on Days 2 through 5 in combination with hydroxychloroquine was used in a recently published study of HCQ and azithromycin in patients with COVID-19</w:t>
      </w:r>
      <w:r>
        <w:rPr>
          <w:rFonts w:ascii="Arial" w:hAnsi="Arial" w:cs="Arial"/>
          <w:sz w:val="22"/>
          <w:szCs w:val="22"/>
        </w:rPr>
        <w:t>.</w:t>
      </w:r>
      <w:r>
        <w:rPr>
          <w:rFonts w:ascii="Arial" w:hAnsi="Arial" w:cs="Arial"/>
          <w:sz w:val="22"/>
          <w:szCs w:val="22"/>
        </w:rPr>
        <w:fldChar w:fldCharType="begin" w:fldLock="1"/>
      </w:r>
      <w:r>
        <w:rPr>
          <w:rFonts w:ascii="Arial" w:hAnsi="Arial" w:cs="Arial"/>
          <w:sz w:val="22"/>
          <w:szCs w:val="22"/>
        </w:rPr>
        <w:instrText>ADDIN CSL_CITATION {"citationItems":[{"id":"ITEM-1","itemData":{"DOI":"10.1016/j.ijantimicag.2020.105949","ISSN":"1872-7913","PMID":"32205204","abstract":"BACKGROUND Chloroquine and hydroxychloroquine have been found to be efficient on SARS-CoV-2, and reported to be efficient in Chinese COV-19 patients. We evaluate the role of hydroxychloroquine on respiratory viral loads. PATIENTS AND METHODS French Confirmed COVID-19 patients were included in a single arm protocol from early March to March 16th, to receive 600mg of hydroxychloroquine daily and their viral load in nasopharyngeal swabs was tested daily in a hospital setting. Depending on their clinical presentation, azithromycin was added to the treatment. Untreated patients from another center and cases refusing the protocol were included as negative controls. Presence and absence of virus at Day6-post inclusion was considered the end point. RESULTS Six patients were asymptomatic, 22 had upper respiratory tract infection symptoms and eight had lower respiratory tract infection symptoms. Twenty cases were treated in this study and showed a significant reduction of the viral carriage at D6-post inclusion compared to controls, and much lower average carrying duration than reported of untreated patients in the literature. Azithromycin added to hydroxychloroquine was significantly more efficient for virus elimination. CONCLUSION Despite its small sample size our survey shows that hydroxychloroquine treatment is significantly associated with viral load reduction/disappearance in COVID-19 patients and its effect is reinforced by azithromycin.","author":[{"dropping-particle":"","family":"Gautret","given":"Philippe","non-dropping-particle":"","parse-names":false,"suffix":""},{"dropping-particle":"","family":"Lagier","given":"Jean-Christophe","non-dropping-particle":"","parse-names":false,"suffix":""},{"dropping-particle":"","family":"Parola","given":"Philippe","non-dropping-particle":"","parse-names":false,"suffix":""},{"dropping-particle":"","family":"Hoang","given":"Van Thuan","non-dropping-particle":"","parse-names":false,"suffix":""},{"dropping-particle":"","family":"Meddeb","given":"Line","non-dropping-particle":"","parse-names":false,"suffix":""},{"dropping-particle":"","family":"Mailhe","given":"Morgane","non-dropping-particle":"","parse-names":false,"suffix":""},{"dropping-particle":"","family":"Doudier","given":"Barbara","non-dropping-particle":"","parse-names":false,"suffix":""},{"dropping-particle":"","family":"Courjon","given":"Johan","non-dropping-particle":"","parse-names":false,"suffix":""},{"dropping-particle":"","family":"Giordanengo","given":"Valérie","non-dropping-particle":"","parse-names":false,"suffix":""},{"dropping-particle":"","family":"Vieira","given":"Vera Esteves","non-dropping-particle":"","parse-names":false,"suffix":""},{"dropping-particle":"","family":"Dupont","given":"Hervé Tissot","non-dropping-particle":"","parse-names":false,"suffix":""},{"dropping-particle":"","family":"Honoré","given":"Stéphane","non-dropping-particle":"","parse-names":false,"suffix":""},{"dropping-particle":"","family":"Colson","given":"Philippe","non-dropping-particle":"","parse-names":false,"suffix":""},{"dropping-particle":"","family":"Chabrière","given":"Eric","non-dropping-particle":"","parse-names":false,"suffix":""},{"dropping-particle":"","family":"Scola","given":"Bernard","non-dropping-particle":"La","parse-names":false,"suffix":""},{"dropping-particle":"","family":"Rolain","given":"Jean-Marc","non-dropping-particle":"","parse-names":false,"suffix":""},{"dropping-particle":"","family":"Brouqui","given":"Philippe","non-dropping-particle":"","parse-names":false,"suffix":""},{"dropping-particle":"","family":"Raoult","given":"Didier","non-dropping-particle":"","parse-names":false,"suffix":""}],"container-title":"International journal of antimicrobial agents","id":"ITEM-1","issued":{"date-parts":[["2020","3","20"]]},"page":"105949","title":"Hydroxychloroquine and azithromycin as a treatment of COVID-19: results of an open-label non-randomized clinical trial.","type":"article-journal"},"uris":["http://www.mendeley.com/documents/?uuid=510b7004-1be1-4953-90f9-a999471846f4"]}],"mendeley":{"formattedCitation":"&lt;sup&gt;1&lt;/sup&gt;","plainTextFormattedCitation":"1"},"properties":{"noteIndex":0},"schema":"https://github.com/citation-style-language/schema/raw/master/csl-citation.json"}</w:instrText>
      </w:r>
      <w:r>
        <w:rPr>
          <w:rFonts w:ascii="Arial" w:hAnsi="Arial" w:cs="Arial"/>
          <w:sz w:val="22"/>
          <w:szCs w:val="22"/>
        </w:rPr>
        <w:fldChar w:fldCharType="separate"/>
      </w:r>
      <w:r w:rsidRPr="00F33C16">
        <w:rPr>
          <w:rFonts w:ascii="Arial" w:hAnsi="Arial" w:cs="Arial"/>
          <w:noProof/>
          <w:sz w:val="22"/>
          <w:szCs w:val="22"/>
          <w:vertAlign w:val="superscript"/>
        </w:rPr>
        <w:t>1</w:t>
      </w:r>
      <w:r>
        <w:rPr>
          <w:rFonts w:ascii="Arial" w:hAnsi="Arial" w:cs="Arial"/>
          <w:sz w:val="22"/>
          <w:szCs w:val="22"/>
        </w:rPr>
        <w:fldChar w:fldCharType="end"/>
      </w:r>
      <w:r w:rsidRPr="004C7B6D">
        <w:rPr>
          <w:rFonts w:ascii="Arial" w:hAnsi="Arial" w:cs="Arial"/>
          <w:sz w:val="22"/>
          <w:szCs w:val="22"/>
        </w:rPr>
        <w:t xml:space="preserve"> </w:t>
      </w:r>
    </w:p>
    <w:p w14:paraId="458D6547" w14:textId="77777777" w:rsidR="003C113D" w:rsidRPr="004C7B6D" w:rsidRDefault="003C113D" w:rsidP="00FB2D39">
      <w:pPr>
        <w:jc w:val="both"/>
        <w:rPr>
          <w:rFonts w:ascii="Arial" w:hAnsi="Arial" w:cs="Arial"/>
          <w:sz w:val="22"/>
          <w:szCs w:val="22"/>
        </w:rPr>
      </w:pPr>
      <w:r w:rsidRPr="004C7B6D">
        <w:rPr>
          <w:rFonts w:ascii="Arial" w:hAnsi="Arial" w:cs="Arial"/>
          <w:sz w:val="22"/>
          <w:szCs w:val="22"/>
        </w:rPr>
        <w:t>There are a range of possible dosages in the US product labels, depending on the indication. For example, one single 2 gram oral dose of azithromycin is indicated for gonococcal urethritis and cervicitis. For mild community-acquired pneumonia, the recommended dose is 500 mg on Day 1, followed by 250 mg once daily on Days 2 through 5. For community-acquired pneumonia in patients who require initial intravenous therapy for susceptible organisms, 500 mg is administered intravenously for Days 1 and 2, followed by an oral daily dose of 500 mg to complete a 7- to 10-day course of therapy.</w:t>
      </w:r>
    </w:p>
    <w:p w14:paraId="5C731DC6" w14:textId="77777777" w:rsidR="003C113D" w:rsidRPr="004C7B6D" w:rsidRDefault="003C113D" w:rsidP="00FB2D39">
      <w:pPr>
        <w:jc w:val="both"/>
        <w:rPr>
          <w:rFonts w:ascii="Arial" w:hAnsi="Arial" w:cs="Arial"/>
          <w:sz w:val="22"/>
          <w:szCs w:val="22"/>
        </w:rPr>
      </w:pPr>
      <w:r w:rsidRPr="00B30E0F">
        <w:rPr>
          <w:rFonts w:ascii="Arial" w:hAnsi="Arial" w:cs="Arial"/>
          <w:sz w:val="22"/>
          <w:szCs w:val="22"/>
        </w:rPr>
        <w:t xml:space="preserve">A loading dose of azithromycin 1 gram on Day 1, followed by a maintenance dose of 500 mg daily to complete a 10-day course of therapy facilitates a more efficient achievement of pseudo-steady state concentrations. The maintenance dose of 500 mg daily to complete the 10-day course is consistent with </w:t>
      </w:r>
      <w:proofErr w:type="spellStart"/>
      <w:r w:rsidRPr="00B30E0F">
        <w:rPr>
          <w:rFonts w:ascii="Arial" w:hAnsi="Arial" w:cs="Arial"/>
          <w:sz w:val="22"/>
          <w:szCs w:val="22"/>
        </w:rPr>
        <w:t>labeled</w:t>
      </w:r>
      <w:proofErr w:type="spellEnd"/>
      <w:r w:rsidRPr="00B30E0F">
        <w:rPr>
          <w:rFonts w:ascii="Arial" w:hAnsi="Arial" w:cs="Arial"/>
          <w:sz w:val="22"/>
          <w:szCs w:val="22"/>
        </w:rPr>
        <w:t xml:space="preserve"> dosing.</w:t>
      </w:r>
      <w:r w:rsidRPr="004C7B6D">
        <w:rPr>
          <w:rFonts w:ascii="Arial" w:hAnsi="Arial" w:cs="Arial"/>
          <w:sz w:val="22"/>
          <w:szCs w:val="22"/>
        </w:rPr>
        <w:t xml:space="preserve">  </w:t>
      </w:r>
    </w:p>
    <w:p w14:paraId="474A0B9F" w14:textId="3A4A0A78" w:rsidR="003C113D" w:rsidRPr="004C7B6D" w:rsidRDefault="003C113D" w:rsidP="00FB2D39">
      <w:pPr>
        <w:jc w:val="both"/>
        <w:rPr>
          <w:rFonts w:ascii="Arial" w:hAnsi="Arial" w:cs="Arial"/>
          <w:sz w:val="22"/>
          <w:szCs w:val="22"/>
        </w:rPr>
      </w:pPr>
      <w:r w:rsidRPr="004C7B6D">
        <w:rPr>
          <w:rFonts w:ascii="Arial" w:hAnsi="Arial" w:cs="Arial"/>
          <w:sz w:val="22"/>
          <w:szCs w:val="22"/>
        </w:rPr>
        <w:t xml:space="preserve">The most common adverse reactions to azithromycin are </w:t>
      </w:r>
      <w:proofErr w:type="spellStart"/>
      <w:r w:rsidRPr="004C7B6D">
        <w:rPr>
          <w:rFonts w:ascii="Arial" w:hAnsi="Arial" w:cs="Arial"/>
          <w:sz w:val="22"/>
          <w:szCs w:val="22"/>
        </w:rPr>
        <w:t>diarrhea</w:t>
      </w:r>
      <w:proofErr w:type="spellEnd"/>
      <w:r w:rsidRPr="004C7B6D">
        <w:rPr>
          <w:rFonts w:ascii="Arial" w:hAnsi="Arial" w:cs="Arial"/>
          <w:sz w:val="22"/>
          <w:szCs w:val="22"/>
        </w:rPr>
        <w:t xml:space="preserve">, nausea, abdominal pain, or vomiting. Severe side effects include serious allergic reactions, including, but not limited to, anaphylaxis, angioedema, and dermatologic reactions such as Stevens-Johnson syndrome. Abnormal liver function, hepatitis, cholestatic jaundice, hepatic necrosis, and hepatic failure have been reported, some of which have resulted in death. Azithromycin can cause abnormal changes in the cardiac electrophysiology that may lead to a potentially fatal irregular heart rhythm. It may increase the risk of death, especially in those with heart problems, compared with those on other antibiotics such as amoxicillin or no antibiotic. </w:t>
      </w:r>
      <w:r>
        <w:rPr>
          <w:rFonts w:ascii="Arial" w:hAnsi="Arial" w:cs="Arial"/>
          <w:sz w:val="22"/>
          <w:szCs w:val="22"/>
        </w:rPr>
        <w:t>Patients</w:t>
      </w:r>
      <w:r w:rsidRPr="004C7B6D">
        <w:rPr>
          <w:rFonts w:ascii="Arial" w:hAnsi="Arial" w:cs="Arial"/>
          <w:sz w:val="22"/>
          <w:szCs w:val="22"/>
        </w:rPr>
        <w:t xml:space="preserve"> with pre-existing conditions are at particular risk, such as those with QT interval prolongation, proarrhythmic conditions, low blood levels of potassium or magnesium, a slower than normal heart rate, or those who use certain drugs to treat abnormal heart rhythms. Elderly patients may be more susceptible to development of </w:t>
      </w:r>
      <w:proofErr w:type="spellStart"/>
      <w:r w:rsidR="004F4C8E">
        <w:rPr>
          <w:rFonts w:ascii="Arial" w:hAnsi="Arial" w:cs="Arial"/>
          <w:sz w:val="22"/>
          <w:szCs w:val="22"/>
        </w:rPr>
        <w:t>T</w:t>
      </w:r>
      <w:r w:rsidRPr="004C7B6D">
        <w:rPr>
          <w:rFonts w:ascii="Arial" w:hAnsi="Arial" w:cs="Arial"/>
          <w:sz w:val="22"/>
          <w:szCs w:val="22"/>
        </w:rPr>
        <w:t>orsades</w:t>
      </w:r>
      <w:proofErr w:type="spellEnd"/>
      <w:r w:rsidRPr="004C7B6D">
        <w:rPr>
          <w:rFonts w:ascii="Arial" w:hAnsi="Arial" w:cs="Arial"/>
          <w:sz w:val="22"/>
          <w:szCs w:val="22"/>
        </w:rPr>
        <w:t xml:space="preserve"> de </w:t>
      </w:r>
      <w:r w:rsidR="004F4C8E">
        <w:rPr>
          <w:rFonts w:ascii="Arial" w:hAnsi="Arial" w:cs="Arial"/>
          <w:sz w:val="22"/>
          <w:szCs w:val="22"/>
        </w:rPr>
        <w:t>P</w:t>
      </w:r>
      <w:r w:rsidRPr="004C7B6D">
        <w:rPr>
          <w:rFonts w:ascii="Arial" w:hAnsi="Arial" w:cs="Arial"/>
          <w:sz w:val="22"/>
          <w:szCs w:val="22"/>
        </w:rPr>
        <w:t xml:space="preserve">ointes arrhythmias. </w:t>
      </w:r>
    </w:p>
    <w:p w14:paraId="7EACB2AB" w14:textId="77777777" w:rsidR="003C113D" w:rsidRPr="004C7B6D" w:rsidRDefault="003C113D" w:rsidP="00FB2D39">
      <w:pPr>
        <w:jc w:val="both"/>
        <w:rPr>
          <w:rFonts w:ascii="Arial" w:hAnsi="Arial" w:cs="Arial"/>
          <w:b/>
          <w:sz w:val="22"/>
          <w:szCs w:val="22"/>
        </w:rPr>
      </w:pPr>
      <w:r w:rsidRPr="004C7B6D">
        <w:rPr>
          <w:rFonts w:ascii="Arial" w:hAnsi="Arial" w:cs="Arial"/>
          <w:b/>
          <w:sz w:val="22"/>
          <w:szCs w:val="22"/>
        </w:rPr>
        <w:t>Physiological based PK model for Azithromycin Dose Regimen</w:t>
      </w:r>
    </w:p>
    <w:p w14:paraId="424F3724" w14:textId="77777777" w:rsidR="003C113D" w:rsidRPr="00B30E0F" w:rsidRDefault="003C113D" w:rsidP="00FB2D39">
      <w:pPr>
        <w:jc w:val="both"/>
        <w:rPr>
          <w:rFonts w:ascii="Arial" w:hAnsi="Arial" w:cs="Arial"/>
          <w:sz w:val="22"/>
          <w:szCs w:val="22"/>
        </w:rPr>
      </w:pPr>
      <w:r w:rsidRPr="00B30E0F">
        <w:rPr>
          <w:rFonts w:ascii="Arial" w:hAnsi="Arial" w:cs="Arial"/>
          <w:sz w:val="22"/>
          <w:szCs w:val="22"/>
        </w:rPr>
        <w:t>A physiologically based pharmacokinetic (PBPK) model for azithromycin was developed previously and verified against clinical data.</w:t>
      </w:r>
      <w:r>
        <w:rPr>
          <w:rFonts w:ascii="Arial" w:hAnsi="Arial" w:cs="Arial"/>
          <w:sz w:val="22"/>
          <w:szCs w:val="22"/>
        </w:rPr>
        <w:fldChar w:fldCharType="begin" w:fldLock="1"/>
      </w:r>
      <w:r>
        <w:rPr>
          <w:rFonts w:ascii="Arial" w:hAnsi="Arial" w:cs="Arial"/>
          <w:sz w:val="22"/>
          <w:szCs w:val="22"/>
        </w:rPr>
        <w:instrText>ADDIN CSL_CITATION {"citationItems":[{"id":"ITEM-1","itemData":{"DOI":"10.1124/dmd.115.068643","ISSN":"1521-009X","author":[{"dropping-particle":"","family":"Johnson","given":"T. N.","non-dropping-particle":"","parse-names":false,"suffix":""},{"dropping-particle":"","family":"Jamei","given":"M.","non-dropping-particle":"","parse-names":false,"suffix":""},{"dropping-particle":"","family":"Rowland-Yeo","given":"K.","non-dropping-particle":"","parse-names":false,"suffix":""}],"container-title":"Drug Metabolism and Disposition","id":"ITEM-1","issue":"7","issued":{"date-parts":[["2016","6","14"]]},"page":"1090-1098","title":"How Does In Vivo Biliary Elimination of Drugs Change with Age? Evidence from In Vitro and Clinical Data Using a Systems Pharmacology Approach","type":"article-journal","volume":"44"},"uris":["http://www.mendeley.com/documents/?uuid=233264e5-9d2b-4830-8be4-d99b93e1b021"]}],"mendeley":{"formattedCitation":"&lt;sup&gt;2&lt;/sup&gt;","plainTextFormattedCitation":"2","previouslyFormattedCitation":"&lt;sup&gt;1&lt;/sup&gt;"},"properties":{"noteIndex":0},"schema":"https://github.com/citation-style-language/schema/raw/master/csl-citation.json"}</w:instrText>
      </w:r>
      <w:r>
        <w:rPr>
          <w:rFonts w:ascii="Arial" w:hAnsi="Arial" w:cs="Arial"/>
          <w:sz w:val="22"/>
          <w:szCs w:val="22"/>
        </w:rPr>
        <w:fldChar w:fldCharType="separate"/>
      </w:r>
      <w:r w:rsidRPr="00F33C16">
        <w:rPr>
          <w:rFonts w:ascii="Arial" w:hAnsi="Arial" w:cs="Arial"/>
          <w:noProof/>
          <w:sz w:val="22"/>
          <w:szCs w:val="22"/>
          <w:vertAlign w:val="superscript"/>
        </w:rPr>
        <w:t>2</w:t>
      </w:r>
      <w:r>
        <w:rPr>
          <w:rFonts w:ascii="Arial" w:hAnsi="Arial" w:cs="Arial"/>
          <w:sz w:val="22"/>
          <w:szCs w:val="22"/>
        </w:rPr>
        <w:fldChar w:fldCharType="end"/>
      </w:r>
      <w:r w:rsidRPr="00B30E0F">
        <w:rPr>
          <w:rFonts w:ascii="Arial" w:hAnsi="Arial" w:cs="Arial"/>
          <w:sz w:val="22"/>
          <w:szCs w:val="22"/>
        </w:rPr>
        <w:t xml:space="preserve"> With the exception of the B:P ratio which was set at 2.28, the input parameters for the azithromycin model remained the same.</w:t>
      </w:r>
      <w:r>
        <w:rPr>
          <w:rFonts w:ascii="Arial" w:hAnsi="Arial" w:cs="Arial"/>
          <w:sz w:val="22"/>
          <w:szCs w:val="22"/>
        </w:rPr>
        <w:fldChar w:fldCharType="begin" w:fldLock="1"/>
      </w:r>
      <w:r>
        <w:rPr>
          <w:rFonts w:ascii="Arial" w:hAnsi="Arial" w:cs="Arial"/>
          <w:sz w:val="22"/>
          <w:szCs w:val="22"/>
        </w:rPr>
        <w:instrText xml:space="preserve">ADDIN CSL_CITATION {"citationItems":[{"id":"ITEM-1","itemData":{"DOI":"10.1128/AAC.02430-12","ISSN":"0066-4804","abstract":"Azithromycin (AZI), a broad-spectrum antibiotic, accumulates in polymorphonuclear cells and peripheral blood mononuclear cells. The distribution of AZI in proinflammatory cells may be important to the anti-inflammatory properties. Previous studies have described plasma AZI pharmacokinetics. The objective of this study was to describe the pharmacokinetics of AZI in whole blood (concentration in whole blood [ C b ]) and plasma (concentration in plasma [ C p ]) of healthy subjects. In this study, 12 subjects received AZI (500 mg once a day for 3 days). AZI C b and C p were quantified in serial samples collected up to 3 weeks after the last dose and analyzed using noncompartmental and compartmental methods. After the last dose, C b was greater than C p . Importantly, C b , but not C p , was quantifiable in all but one subject at 3 weeks. The blood area under the curve during a 24-h dosing interval (AUC 24 ) was </w:instrText>
      </w:r>
      <w:r>
        <w:rPr>
          <w:rFonts w:ascii="Cambria Math" w:hAnsi="Cambria Math" w:cs="Cambria Math"/>
          <w:sz w:val="22"/>
          <w:szCs w:val="22"/>
        </w:rPr>
        <w:instrText>∼</w:instrText>
      </w:r>
      <w:r>
        <w:rPr>
          <w:rFonts w:ascii="Arial" w:hAnsi="Arial" w:cs="Arial"/>
          <w:sz w:val="22"/>
          <w:szCs w:val="22"/>
        </w:rPr>
        <w:instrText>2-fold greater than the plasma AUC 24 , but simulations suggested that C b was not at steady state by day 3. Upon exploration of numerous models, an empirical 3-compartment model adequately described C p and C b , but C p was somewhat underestimated. Intercompartmental clearance (CL; likely representing cells) was lower than apparent oral CL (18 versus 118 liters/h). Plasma, peripheral, and cell compartmental volumes were 439 liters, 2,980 liters, and 3,084 liters, respectively. Interindividual variability in CL was low (26.2%), while the volume of distribution variability was high (107%). This is the first report to describe AZI C b in healthy subjects, the distribution parameters between C p and C b , and AZI retention in blood for up to 3 weeks following 3 daily doses. The model can be used to predict C b from C p for AZI under various dosing regimens. (This study has been registered at ClinicalTrials.gov under registration no. NCT01026064.)","author":[{"dropping-particle":"","family":"Pene Dumitrescu","given":"T.","non-dropping-particle":"","parse-names":false,"suffix":""},{"dropping-particle":"","family":"Anic-Milic","given":"T.","non-dropping-particle":"","parse-names":false,"suffix":""},{"dropping-particle":"","family":"Oreskovic","given":"K.","non-dropping-particle":"","parse-names":false,"suffix":""},{"dropping-particle":"","family":"Padovan","given":"J.","non-dropping-particle":"","parse-names":false,"suffix":""},{"dropping-particle":"","family":"Brouwer","given":"K. L. R.","non-dropping-particle":"","parse-names":false,"suffix":""},{"dropping-particle":"","family":"Zuo","given":"P.","non-dropping-particle":"","parse-names":false,"suffix":""},{"dropping-particle":"","family":"Schmith","given":"V. D.","non-dropping-particle":"","parse-names":false,"suffix":""}],"container-title":"Antimicrobial Agents and Chemotherapy","id":"ITEM-1","issue":"7","issued":{"date-parts":[["2013","7"]]},"page":"3194-3201","title":"Development of a Population Pharmacokinetic Model To Describe Azithromycin Whole-Blood and Plasma Concentrations over Time in Healthy Subjects","type":"article-journal","volume":"57"},"uris":["http://www.mendeley.com/documents/?uuid=4f17d589-0e92-4d14-b1c5-f23b7cd0abda"]}],"mendeley":{"formattedCitation":"&lt;sup&gt;3&lt;/sup&gt;","plainTextFormattedCitation":"3","previouslyFormattedCitation":"&lt;sup&gt;2&lt;/sup&gt;"},"properties":{"noteIndex":0},"schema":"https://github.com/citation-style-language/schema/raw/master/csl-citation.json"}</w:instrText>
      </w:r>
      <w:r>
        <w:rPr>
          <w:rFonts w:ascii="Arial" w:hAnsi="Arial" w:cs="Arial"/>
          <w:sz w:val="22"/>
          <w:szCs w:val="22"/>
        </w:rPr>
        <w:fldChar w:fldCharType="separate"/>
      </w:r>
      <w:r w:rsidRPr="00F33C16">
        <w:rPr>
          <w:rFonts w:ascii="Arial" w:hAnsi="Arial" w:cs="Arial"/>
          <w:noProof/>
          <w:sz w:val="22"/>
          <w:szCs w:val="22"/>
          <w:vertAlign w:val="superscript"/>
        </w:rPr>
        <w:t>3</w:t>
      </w:r>
      <w:r>
        <w:rPr>
          <w:rFonts w:ascii="Arial" w:hAnsi="Arial" w:cs="Arial"/>
          <w:sz w:val="22"/>
          <w:szCs w:val="22"/>
        </w:rPr>
        <w:fldChar w:fldCharType="end"/>
      </w:r>
      <w:r w:rsidRPr="00B30E0F">
        <w:rPr>
          <w:rFonts w:ascii="Arial" w:hAnsi="Arial" w:cs="Arial"/>
          <w:sz w:val="22"/>
          <w:szCs w:val="22"/>
        </w:rPr>
        <w:t xml:space="preserve"> This updated model was then used to predict exposures in plasma and lung after administration of 1 gram for 1 day and 500 mg </w:t>
      </w:r>
      <w:r>
        <w:rPr>
          <w:rFonts w:ascii="Arial" w:hAnsi="Arial" w:cs="Arial"/>
          <w:sz w:val="22"/>
          <w:szCs w:val="22"/>
        </w:rPr>
        <w:t>daily</w:t>
      </w:r>
      <w:r w:rsidRPr="00B30E0F">
        <w:rPr>
          <w:rFonts w:ascii="Arial" w:hAnsi="Arial" w:cs="Arial"/>
          <w:sz w:val="22"/>
          <w:szCs w:val="22"/>
        </w:rPr>
        <w:t xml:space="preserve"> for 9 days. Based on physicochemical data, the predicted lung to tissue ratio (</w:t>
      </w:r>
      <w:proofErr w:type="spellStart"/>
      <w:r w:rsidRPr="00B30E0F">
        <w:rPr>
          <w:rFonts w:ascii="Arial" w:hAnsi="Arial" w:cs="Arial"/>
          <w:sz w:val="22"/>
          <w:szCs w:val="22"/>
        </w:rPr>
        <w:t>Kp</w:t>
      </w:r>
      <w:proofErr w:type="spellEnd"/>
      <w:r w:rsidRPr="00B30E0F">
        <w:rPr>
          <w:rFonts w:ascii="Arial" w:hAnsi="Arial" w:cs="Arial"/>
          <w:sz w:val="22"/>
          <w:szCs w:val="22"/>
        </w:rPr>
        <w:t>) was 16.44, which was lower than the observed ratio of 50.5 determined for lung tissue following a single oral dose of either 500 or 2000 mg azithromycin.</w:t>
      </w:r>
      <w:r>
        <w:rPr>
          <w:rFonts w:ascii="Arial" w:hAnsi="Arial" w:cs="Arial"/>
          <w:sz w:val="22"/>
          <w:szCs w:val="22"/>
        </w:rPr>
        <w:fldChar w:fldCharType="begin" w:fldLock="1"/>
      </w:r>
      <w:r>
        <w:rPr>
          <w:rFonts w:ascii="Arial" w:hAnsi="Arial" w:cs="Arial"/>
          <w:sz w:val="22"/>
          <w:szCs w:val="22"/>
        </w:rPr>
        <w:instrText>ADDIN CSL_CITATION {"citationItems":[{"id":"ITEM-1","itemData":{"DOI":"10.1093/jac/dkn032","ISSN":"0305-7453","author":[{"dropping-particle":"","family":"Lucchi","given":"M.","non-dropping-particle":"","parse-names":false,"suffix":""},{"dropping-particle":"","family":"Damle","given":"B.","non-dropping-particle":"","parse-names":false,"suffix":""},{"dropping-particle":"","family":"Fang","given":"A.","non-dropping-particle":"","parse-names":false,"suffix":""},{"dropping-particle":"","family":"Caprariis","given":"P. J.","non-dropping-particle":"de","parse-names":false,"suffix":""},{"dropping-particle":"","family":"Mussi","given":"A.","non-dropping-particle":"","parse-names":false,"suffix":""},{"dropping-particle":"","family":"Sanchez","given":"S. P.","non-dropping-particle":"","parse-names":false,"suffix":""},{"dropping-particle":"","family":"Pasqualetti","given":"G.","non-dropping-particle":"","parse-names":false,"suffix":""},{"dropping-particle":"","family":"Tacca","given":"M.","non-dropping-particle":"Del","parse-names":false,"suffix":""}],"container-title":"Journal of Antimicrobial Chemotherapy","id":"ITEM-1","issue":"4","issued":{"date-parts":[["2008","2","4"]]},"page":"884-891","title":"Pharmacokinetics of azithromycin in serum, bronchial washings, alveolar macrophages and lung tissue following a single oral dose of extended or immediate release formulations of azithromycin","type":"article-journal","volume":"61"},"uris":["http://www.mendeley.com/documents/?uuid=7a18efdc-1133-4cda-add4-037bd950a70c"]}],"mendeley":{"formattedCitation":"&lt;sup&gt;4&lt;/sup&gt;","plainTextFormattedCitation":"4","previouslyFormattedCitation":"&lt;sup&gt;3&lt;/sup&gt;"},"properties":{"noteIndex":0},"schema":"https://github.com/citation-style-language/schema/raw/master/csl-citation.json"}</w:instrText>
      </w:r>
      <w:r>
        <w:rPr>
          <w:rFonts w:ascii="Arial" w:hAnsi="Arial" w:cs="Arial"/>
          <w:sz w:val="22"/>
          <w:szCs w:val="22"/>
        </w:rPr>
        <w:fldChar w:fldCharType="separate"/>
      </w:r>
      <w:r w:rsidRPr="00F33C16">
        <w:rPr>
          <w:rFonts w:ascii="Arial" w:hAnsi="Arial" w:cs="Arial"/>
          <w:noProof/>
          <w:sz w:val="22"/>
          <w:szCs w:val="22"/>
          <w:vertAlign w:val="superscript"/>
        </w:rPr>
        <w:t>4</w:t>
      </w:r>
      <w:r>
        <w:rPr>
          <w:rFonts w:ascii="Arial" w:hAnsi="Arial" w:cs="Arial"/>
          <w:sz w:val="22"/>
          <w:szCs w:val="22"/>
        </w:rPr>
        <w:fldChar w:fldCharType="end"/>
      </w:r>
      <w:r w:rsidRPr="00B30E0F">
        <w:rPr>
          <w:rFonts w:ascii="Arial" w:hAnsi="Arial" w:cs="Arial"/>
          <w:sz w:val="22"/>
          <w:szCs w:val="22"/>
        </w:rPr>
        <w:t xml:space="preserve"> Both predicted and observed ratios were used in simulations (100 </w:t>
      </w:r>
      <w:r>
        <w:rPr>
          <w:rFonts w:ascii="Arial" w:hAnsi="Arial" w:cs="Arial"/>
          <w:sz w:val="22"/>
          <w:szCs w:val="22"/>
        </w:rPr>
        <w:t>participants</w:t>
      </w:r>
      <w:r w:rsidRPr="00B30E0F">
        <w:rPr>
          <w:rFonts w:ascii="Arial" w:hAnsi="Arial" w:cs="Arial"/>
          <w:sz w:val="22"/>
          <w:szCs w:val="22"/>
        </w:rPr>
        <w:t xml:space="preserve"> aged 20 – 80 years; 50% female) of plasma and lung concentration-time profiles which were then compared against in vitro values of 2.12 (EC</w:t>
      </w:r>
      <w:r w:rsidRPr="00B30E0F">
        <w:rPr>
          <w:rFonts w:ascii="Arial" w:hAnsi="Arial" w:cs="Arial"/>
          <w:sz w:val="22"/>
          <w:szCs w:val="22"/>
          <w:vertAlign w:val="subscript"/>
        </w:rPr>
        <w:t>50</w:t>
      </w:r>
      <w:r w:rsidRPr="00B30E0F">
        <w:rPr>
          <w:rFonts w:ascii="Arial" w:hAnsi="Arial" w:cs="Arial"/>
          <w:sz w:val="22"/>
          <w:szCs w:val="22"/>
        </w:rPr>
        <w:t>) and 8.65 µM (EC</w:t>
      </w:r>
      <w:r w:rsidRPr="00B30E0F">
        <w:rPr>
          <w:rFonts w:ascii="Arial" w:hAnsi="Arial" w:cs="Arial"/>
          <w:sz w:val="22"/>
          <w:szCs w:val="22"/>
          <w:vertAlign w:val="subscript"/>
        </w:rPr>
        <w:t>90</w:t>
      </w:r>
      <w:r w:rsidRPr="00B30E0F">
        <w:rPr>
          <w:rFonts w:ascii="Arial" w:hAnsi="Arial" w:cs="Arial"/>
          <w:sz w:val="22"/>
          <w:szCs w:val="22"/>
        </w:rPr>
        <w:t>) reported for inhibition of SARS-CoV-2 by azithromycin (</w:t>
      </w:r>
      <w:r w:rsidRPr="00B30E0F">
        <w:rPr>
          <w:rFonts w:ascii="Arial" w:hAnsi="Arial" w:cs="Arial"/>
          <w:b/>
          <w:bCs/>
          <w:sz w:val="22"/>
          <w:szCs w:val="22"/>
        </w:rPr>
        <w:t>Figure 1</w:t>
      </w:r>
      <w:r w:rsidRPr="00B30E0F">
        <w:rPr>
          <w:rFonts w:ascii="Arial" w:hAnsi="Arial" w:cs="Arial"/>
          <w:sz w:val="22"/>
          <w:szCs w:val="22"/>
        </w:rPr>
        <w:t>).</w:t>
      </w:r>
      <w:r>
        <w:rPr>
          <w:rFonts w:ascii="Arial" w:hAnsi="Arial" w:cs="Arial"/>
          <w:sz w:val="22"/>
          <w:szCs w:val="22"/>
          <w:vertAlign w:val="superscript"/>
        </w:rPr>
        <w:t>5</w:t>
      </w:r>
      <w:r w:rsidRPr="00B30E0F">
        <w:rPr>
          <w:rFonts w:ascii="Arial" w:hAnsi="Arial" w:cs="Arial"/>
          <w:sz w:val="22"/>
          <w:szCs w:val="22"/>
        </w:rPr>
        <w:t xml:space="preserve"> It should be noted that the unbound fraction in plasma (</w:t>
      </w:r>
      <w:proofErr w:type="spellStart"/>
      <w:r w:rsidRPr="00B30E0F">
        <w:rPr>
          <w:rFonts w:ascii="Arial" w:hAnsi="Arial" w:cs="Arial"/>
          <w:sz w:val="22"/>
          <w:szCs w:val="22"/>
        </w:rPr>
        <w:t>fu</w:t>
      </w:r>
      <w:proofErr w:type="spellEnd"/>
      <w:r w:rsidRPr="00B30E0F">
        <w:rPr>
          <w:rFonts w:ascii="Arial" w:hAnsi="Arial" w:cs="Arial"/>
          <w:sz w:val="22"/>
          <w:szCs w:val="22"/>
        </w:rPr>
        <w:t xml:space="preserve">) was set at 0.69 and the predicted </w:t>
      </w:r>
      <w:proofErr w:type="spellStart"/>
      <w:r w:rsidRPr="00B30E0F">
        <w:rPr>
          <w:rFonts w:ascii="Arial" w:hAnsi="Arial" w:cs="Arial"/>
          <w:sz w:val="22"/>
          <w:szCs w:val="22"/>
        </w:rPr>
        <w:t>fu</w:t>
      </w:r>
      <w:proofErr w:type="spellEnd"/>
      <w:r w:rsidRPr="00B30E0F">
        <w:rPr>
          <w:rFonts w:ascii="Arial" w:hAnsi="Arial" w:cs="Arial"/>
          <w:sz w:val="22"/>
          <w:szCs w:val="22"/>
        </w:rPr>
        <w:t xml:space="preserve"> in lung tissue was 0.82 (intracellular </w:t>
      </w:r>
      <w:proofErr w:type="spellStart"/>
      <w:r w:rsidRPr="00B30E0F">
        <w:rPr>
          <w:rFonts w:ascii="Arial" w:hAnsi="Arial" w:cs="Arial"/>
          <w:sz w:val="22"/>
          <w:szCs w:val="22"/>
        </w:rPr>
        <w:t>fu</w:t>
      </w:r>
      <w:proofErr w:type="spellEnd"/>
      <w:r w:rsidRPr="00B30E0F">
        <w:rPr>
          <w:rFonts w:ascii="Arial" w:hAnsi="Arial" w:cs="Arial"/>
          <w:sz w:val="22"/>
          <w:szCs w:val="22"/>
        </w:rPr>
        <w:t>=0.16). Thus, unbound and total concentrations were similar in both plasma and lung.</w:t>
      </w:r>
    </w:p>
    <w:p w14:paraId="74034501" w14:textId="77777777" w:rsidR="003C113D" w:rsidRPr="009D6E5D" w:rsidRDefault="003C113D" w:rsidP="00FB2D39">
      <w:pPr>
        <w:jc w:val="both"/>
        <w:rPr>
          <w:rFonts w:ascii="Arial" w:hAnsi="Arial" w:cs="Arial"/>
          <w:sz w:val="22"/>
          <w:szCs w:val="22"/>
          <w:highlight w:val="cyan"/>
        </w:rPr>
      </w:pPr>
      <w:r w:rsidRPr="009D6E5D">
        <w:rPr>
          <w:rFonts w:ascii="Arial" w:hAnsi="Arial" w:cs="Arial"/>
          <w:noProof/>
          <w:sz w:val="22"/>
          <w:szCs w:val="22"/>
          <w:highlight w:val="cyan"/>
          <w:lang w:eastAsia="en-ZA"/>
        </w:rPr>
        <w:lastRenderedPageBreak/>
        <w:drawing>
          <wp:inline distT="0" distB="0" distL="0" distR="0" wp14:anchorId="05D3AFD8" wp14:editId="250D93F0">
            <wp:extent cx="4310380" cy="3352800"/>
            <wp:effectExtent l="0" t="0" r="0" b="0"/>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0380" cy="3352800"/>
                    </a:xfrm>
                    <a:prstGeom prst="rect">
                      <a:avLst/>
                    </a:prstGeom>
                    <a:noFill/>
                  </pic:spPr>
                </pic:pic>
              </a:graphicData>
            </a:graphic>
          </wp:inline>
        </w:drawing>
      </w:r>
    </w:p>
    <w:p w14:paraId="3C7B2AE7" w14:textId="33BBFB56" w:rsidR="003C113D" w:rsidRDefault="003C113D" w:rsidP="00FB2D39">
      <w:pPr>
        <w:jc w:val="both"/>
        <w:rPr>
          <w:rFonts w:ascii="Arial" w:hAnsi="Arial" w:cs="Arial"/>
          <w:sz w:val="22"/>
          <w:szCs w:val="22"/>
        </w:rPr>
      </w:pPr>
      <w:r w:rsidRPr="00B30E0F">
        <w:rPr>
          <w:rFonts w:ascii="Arial" w:hAnsi="Arial" w:cs="Arial"/>
          <w:b/>
          <w:bCs/>
          <w:sz w:val="22"/>
          <w:szCs w:val="22"/>
        </w:rPr>
        <w:t>Figure 1</w:t>
      </w:r>
      <w:r w:rsidRPr="00B30E0F">
        <w:rPr>
          <w:rFonts w:ascii="Arial" w:hAnsi="Arial" w:cs="Arial"/>
          <w:sz w:val="22"/>
          <w:szCs w:val="22"/>
        </w:rPr>
        <w:t xml:space="preserve">. Predicted concentration-time profiles for azithromycin in the plasma and lung based on </w:t>
      </w:r>
      <w:proofErr w:type="spellStart"/>
      <w:r w:rsidRPr="00B30E0F">
        <w:rPr>
          <w:rFonts w:ascii="Arial" w:hAnsi="Arial" w:cs="Arial"/>
          <w:sz w:val="22"/>
          <w:szCs w:val="22"/>
        </w:rPr>
        <w:t>Kp</w:t>
      </w:r>
      <w:proofErr w:type="spellEnd"/>
      <w:r w:rsidRPr="00B30E0F">
        <w:rPr>
          <w:rFonts w:ascii="Arial" w:hAnsi="Arial" w:cs="Arial"/>
          <w:sz w:val="22"/>
          <w:szCs w:val="22"/>
        </w:rPr>
        <w:t xml:space="preserve"> values of 16.33 and 50 in the lung.</w:t>
      </w:r>
    </w:p>
    <w:p w14:paraId="4DA5D84D" w14:textId="77777777" w:rsidR="005B495B" w:rsidRPr="00B30E0F" w:rsidRDefault="005B495B" w:rsidP="00FB2D39">
      <w:pPr>
        <w:jc w:val="both"/>
        <w:rPr>
          <w:rFonts w:ascii="Arial" w:hAnsi="Arial" w:cs="Arial"/>
          <w:sz w:val="22"/>
          <w:szCs w:val="22"/>
        </w:rPr>
      </w:pPr>
    </w:p>
    <w:p w14:paraId="5C29BD5A" w14:textId="77777777" w:rsidR="003C113D" w:rsidRDefault="003C113D" w:rsidP="00FB2D39">
      <w:pPr>
        <w:jc w:val="both"/>
        <w:rPr>
          <w:rFonts w:ascii="Arial" w:hAnsi="Arial" w:cs="Arial"/>
          <w:sz w:val="22"/>
          <w:szCs w:val="22"/>
        </w:rPr>
      </w:pPr>
      <w:r w:rsidRPr="00B30E0F">
        <w:rPr>
          <w:rFonts w:ascii="Arial" w:hAnsi="Arial" w:cs="Arial"/>
          <w:sz w:val="22"/>
          <w:szCs w:val="22"/>
        </w:rPr>
        <w:t>Based on the simulations shown, it appears that the dosing regimen of 1 gram for 1 day followed by 500 mg daily for 9 days, is able to attain concentrations of azithromycin in the lung that are higher than the in vitro EC</w:t>
      </w:r>
      <w:r w:rsidRPr="00B30E0F">
        <w:rPr>
          <w:rFonts w:ascii="Arial" w:hAnsi="Arial" w:cs="Arial"/>
          <w:sz w:val="22"/>
          <w:szCs w:val="22"/>
          <w:vertAlign w:val="subscript"/>
        </w:rPr>
        <w:t>90</w:t>
      </w:r>
      <w:r w:rsidRPr="00B30E0F">
        <w:rPr>
          <w:rFonts w:ascii="Arial" w:hAnsi="Arial" w:cs="Arial"/>
          <w:sz w:val="22"/>
          <w:szCs w:val="22"/>
        </w:rPr>
        <w:t xml:space="preserve"> value determined for azithromycin.</w:t>
      </w:r>
    </w:p>
    <w:p w14:paraId="485212F1" w14:textId="77777777" w:rsidR="003C113D" w:rsidRPr="004C7B6D" w:rsidRDefault="003C113D" w:rsidP="00FB2D39">
      <w:pPr>
        <w:jc w:val="both"/>
        <w:rPr>
          <w:rFonts w:ascii="Arial" w:hAnsi="Arial" w:cs="Arial"/>
          <w:sz w:val="22"/>
          <w:szCs w:val="22"/>
        </w:rPr>
      </w:pPr>
    </w:p>
    <w:p w14:paraId="0FAD7AF3" w14:textId="77777777" w:rsidR="003C113D" w:rsidRPr="00371DCB" w:rsidRDefault="003C113D" w:rsidP="00FB2D39">
      <w:pPr>
        <w:jc w:val="both"/>
        <w:rPr>
          <w:rFonts w:ascii="Arial" w:hAnsi="Arial" w:cs="Arial"/>
          <w:b/>
          <w:bCs/>
          <w:sz w:val="22"/>
          <w:szCs w:val="22"/>
          <w:lang w:eastAsia="ja-JP"/>
        </w:rPr>
      </w:pPr>
      <w:r w:rsidRPr="00371DCB">
        <w:rPr>
          <w:rFonts w:ascii="Arial" w:hAnsi="Arial" w:cs="Arial"/>
          <w:b/>
          <w:bCs/>
          <w:sz w:val="22"/>
          <w:szCs w:val="22"/>
          <w:lang w:eastAsia="ja-JP"/>
        </w:rPr>
        <w:t>Specific Management of Toxicities Related to Azithromycin</w:t>
      </w:r>
    </w:p>
    <w:p w14:paraId="0D527620" w14:textId="77777777" w:rsidR="003C113D" w:rsidRPr="00371DCB" w:rsidRDefault="003C113D" w:rsidP="00FB2D39">
      <w:pPr>
        <w:keepNext/>
        <w:jc w:val="both"/>
        <w:rPr>
          <w:rFonts w:ascii="Arial" w:hAnsi="Arial" w:cs="Arial"/>
          <w:sz w:val="22"/>
          <w:szCs w:val="22"/>
          <w:u w:val="single"/>
        </w:rPr>
      </w:pPr>
      <w:r w:rsidRPr="00371DCB">
        <w:rPr>
          <w:rFonts w:ascii="Arial" w:hAnsi="Arial" w:cs="Arial"/>
          <w:sz w:val="22"/>
          <w:szCs w:val="22"/>
          <w:u w:val="single"/>
        </w:rPr>
        <w:t>Gastrointestinal disturbance</w:t>
      </w:r>
    </w:p>
    <w:p w14:paraId="2F8A65CB" w14:textId="77777777" w:rsidR="003C113D" w:rsidRPr="00371DCB" w:rsidRDefault="003C113D" w:rsidP="00FB2D39">
      <w:pPr>
        <w:jc w:val="both"/>
        <w:rPr>
          <w:rFonts w:ascii="Arial" w:hAnsi="Arial" w:cs="Arial"/>
          <w:sz w:val="22"/>
          <w:szCs w:val="22"/>
        </w:rPr>
      </w:pPr>
      <w:r w:rsidRPr="00371DCB">
        <w:rPr>
          <w:rFonts w:ascii="Arial" w:hAnsi="Arial" w:cs="Arial"/>
          <w:sz w:val="22"/>
          <w:szCs w:val="22"/>
        </w:rPr>
        <w:t xml:space="preserve">Gastrointestinal adverse reactions (nausea, vomiting, abdominal pain, and </w:t>
      </w:r>
      <w:proofErr w:type="spellStart"/>
      <w:r w:rsidRPr="00371DCB">
        <w:rPr>
          <w:rFonts w:ascii="Arial" w:hAnsi="Arial" w:cs="Arial"/>
          <w:sz w:val="22"/>
          <w:szCs w:val="22"/>
        </w:rPr>
        <w:t>diarrhea</w:t>
      </w:r>
      <w:proofErr w:type="spellEnd"/>
      <w:r w:rsidRPr="00371DCB">
        <w:rPr>
          <w:rFonts w:ascii="Arial" w:hAnsi="Arial" w:cs="Arial"/>
          <w:sz w:val="22"/>
          <w:szCs w:val="22"/>
        </w:rPr>
        <w:t>) are common side effect of azithromycin. Most gastrointestinal side effects do not require treatment discontinuation and participants may receive treatment for symptoms (e.g., antiemetics).</w:t>
      </w:r>
    </w:p>
    <w:p w14:paraId="6B6FF11D" w14:textId="77777777" w:rsidR="003C113D" w:rsidRPr="00371DCB" w:rsidRDefault="003C113D" w:rsidP="00FB2D39">
      <w:pPr>
        <w:keepNext/>
        <w:jc w:val="both"/>
        <w:rPr>
          <w:rFonts w:ascii="Arial" w:hAnsi="Arial" w:cs="Arial"/>
          <w:sz w:val="22"/>
          <w:szCs w:val="22"/>
          <w:u w:val="single"/>
        </w:rPr>
      </w:pPr>
      <w:r w:rsidRPr="00371DCB">
        <w:rPr>
          <w:rFonts w:ascii="Arial" w:hAnsi="Arial" w:cs="Arial"/>
          <w:sz w:val="22"/>
          <w:szCs w:val="22"/>
          <w:u w:val="single"/>
        </w:rPr>
        <w:t>Allergic reaction</w:t>
      </w:r>
    </w:p>
    <w:p w14:paraId="4081D39B" w14:textId="77777777" w:rsidR="003C113D" w:rsidRPr="00371DCB" w:rsidRDefault="003C113D" w:rsidP="00FB2D39">
      <w:pPr>
        <w:jc w:val="both"/>
        <w:rPr>
          <w:rFonts w:ascii="Arial" w:hAnsi="Arial" w:cs="Arial"/>
          <w:sz w:val="22"/>
          <w:szCs w:val="22"/>
        </w:rPr>
      </w:pPr>
      <w:r w:rsidRPr="00371DCB">
        <w:rPr>
          <w:rFonts w:ascii="Arial" w:hAnsi="Arial" w:cs="Arial"/>
          <w:sz w:val="22"/>
          <w:szCs w:val="22"/>
        </w:rPr>
        <w:t>Serious allergic reactions, including, but not limited to anaphylaxis, angioedema, and dermatologic reactions such as Stevens-Johnson syndrome have been reported with azithromycin treatment. Azithromycin should be discontinued immediately in the event of a hypersensitivity reaction.</w:t>
      </w:r>
    </w:p>
    <w:p w14:paraId="4F9FB4B4" w14:textId="77777777" w:rsidR="003C113D" w:rsidRPr="00371DCB" w:rsidRDefault="003C113D" w:rsidP="00FB2D39">
      <w:pPr>
        <w:keepNext/>
        <w:jc w:val="both"/>
        <w:rPr>
          <w:rFonts w:ascii="Arial" w:hAnsi="Arial" w:cs="Arial"/>
          <w:sz w:val="22"/>
          <w:szCs w:val="22"/>
          <w:u w:val="single"/>
        </w:rPr>
      </w:pPr>
      <w:r w:rsidRPr="00371DCB">
        <w:rPr>
          <w:rFonts w:ascii="Arial" w:hAnsi="Arial" w:cs="Arial"/>
          <w:sz w:val="22"/>
          <w:szCs w:val="22"/>
          <w:u w:val="single"/>
        </w:rPr>
        <w:t>QT prolongation</w:t>
      </w:r>
    </w:p>
    <w:p w14:paraId="3CE43D99" w14:textId="77777777" w:rsidR="003C113D" w:rsidRPr="00371DCB" w:rsidRDefault="003C113D" w:rsidP="00FB2D39">
      <w:pPr>
        <w:jc w:val="both"/>
        <w:rPr>
          <w:rFonts w:ascii="Arial" w:hAnsi="Arial" w:cs="Arial"/>
          <w:sz w:val="22"/>
          <w:szCs w:val="22"/>
        </w:rPr>
      </w:pPr>
      <w:r w:rsidRPr="00371DCB">
        <w:rPr>
          <w:rFonts w:ascii="Arial" w:hAnsi="Arial" w:cs="Arial"/>
          <w:sz w:val="22"/>
          <w:szCs w:val="22"/>
        </w:rPr>
        <w:t xml:space="preserve">Azithromycin is associated with QT prolongation. QT will be assessed prior to enrolment prior to enrolment to assess eligibility. </w:t>
      </w:r>
    </w:p>
    <w:p w14:paraId="1B1BF91E" w14:textId="77777777" w:rsidR="003C113D" w:rsidRDefault="003C113D" w:rsidP="00FB2D39">
      <w:pPr>
        <w:jc w:val="both"/>
        <w:rPr>
          <w:rFonts w:ascii="Arial" w:hAnsi="Arial" w:cs="Arial"/>
          <w:b/>
          <w:sz w:val="22"/>
          <w:szCs w:val="22"/>
          <w:lang w:val="en-US" w:eastAsia="ja-JP"/>
        </w:rPr>
      </w:pPr>
    </w:p>
    <w:p w14:paraId="1B30A1E8" w14:textId="77777777" w:rsidR="003C113D" w:rsidRPr="00371DCB" w:rsidRDefault="003C113D" w:rsidP="00FB2D39">
      <w:pPr>
        <w:jc w:val="both"/>
        <w:rPr>
          <w:rFonts w:ascii="Arial" w:hAnsi="Arial" w:cs="Arial"/>
          <w:b/>
          <w:sz w:val="22"/>
          <w:szCs w:val="22"/>
          <w:lang w:val="en-US" w:eastAsia="ja-JP"/>
        </w:rPr>
      </w:pPr>
      <w:r w:rsidRPr="00371DCB">
        <w:rPr>
          <w:rFonts w:ascii="Arial" w:hAnsi="Arial" w:cs="Arial"/>
          <w:b/>
          <w:sz w:val="22"/>
          <w:szCs w:val="22"/>
          <w:lang w:val="en-US" w:eastAsia="ja-JP"/>
        </w:rPr>
        <w:t>Azithromycin label</w:t>
      </w:r>
    </w:p>
    <w:p w14:paraId="33C008FD" w14:textId="77777777" w:rsidR="003C113D" w:rsidRDefault="003C113D" w:rsidP="00FB2D39">
      <w:pPr>
        <w:jc w:val="both"/>
        <w:rPr>
          <w:rStyle w:val="Hyperlink"/>
          <w:rFonts w:ascii="Arial" w:eastAsia="MS Gothic" w:hAnsi="Arial" w:cs="Arial"/>
          <w:sz w:val="22"/>
          <w:szCs w:val="22"/>
        </w:rPr>
      </w:pPr>
      <w:r w:rsidRPr="00371DCB">
        <w:rPr>
          <w:rFonts w:ascii="Arial" w:hAnsi="Arial" w:cs="Arial"/>
          <w:sz w:val="22"/>
          <w:szCs w:val="22"/>
          <w:lang w:eastAsia="ja-JP"/>
        </w:rPr>
        <w:t xml:space="preserve">Generic </w:t>
      </w:r>
      <w:r w:rsidRPr="00371DCB">
        <w:rPr>
          <w:rFonts w:ascii="Arial" w:hAnsi="Arial" w:cs="Arial"/>
          <w:sz w:val="22"/>
          <w:szCs w:val="22"/>
        </w:rPr>
        <w:t>Azithromycin</w:t>
      </w:r>
      <w:r w:rsidRPr="00371DCB">
        <w:rPr>
          <w:rFonts w:ascii="Arial" w:hAnsi="Arial" w:cs="Arial"/>
          <w:sz w:val="22"/>
          <w:szCs w:val="22"/>
          <w:lang w:eastAsia="ja-JP"/>
        </w:rPr>
        <w:t xml:space="preserve"> label (current as of June 2019) is available online at </w:t>
      </w:r>
      <w:hyperlink r:id="rId73" w:history="1">
        <w:r w:rsidRPr="00371DCB">
          <w:rPr>
            <w:rStyle w:val="Hyperlink"/>
            <w:rFonts w:ascii="Arial" w:eastAsia="MS Gothic" w:hAnsi="Arial" w:cs="Arial"/>
            <w:sz w:val="22"/>
            <w:szCs w:val="22"/>
          </w:rPr>
          <w:t>https://dailymed.nlm.nih.gov/dailymed/drugInfo.cfm?setid=41e2163b-af61-4323-8b9c-2d44fc122fd9</w:t>
        </w:r>
      </w:hyperlink>
    </w:p>
    <w:p w14:paraId="6925A53A" w14:textId="77777777" w:rsidR="003C113D" w:rsidRDefault="003C113D" w:rsidP="00FB2D39">
      <w:pPr>
        <w:jc w:val="both"/>
        <w:rPr>
          <w:rStyle w:val="Hyperlink"/>
          <w:rFonts w:ascii="Arial" w:eastAsia="MS Gothic" w:hAnsi="Arial" w:cs="Arial"/>
          <w:sz w:val="22"/>
          <w:szCs w:val="22"/>
        </w:rPr>
      </w:pPr>
    </w:p>
    <w:p w14:paraId="6440A1AC" w14:textId="77777777" w:rsidR="003C113D" w:rsidRPr="0090010F" w:rsidRDefault="003C113D" w:rsidP="00FB2D39">
      <w:pPr>
        <w:jc w:val="both"/>
        <w:rPr>
          <w:rFonts w:ascii="Arial" w:hAnsi="Arial" w:cs="Arial"/>
          <w:b/>
          <w:bCs/>
          <w:sz w:val="22"/>
          <w:szCs w:val="22"/>
        </w:rPr>
      </w:pPr>
      <w:r w:rsidRPr="0090010F">
        <w:rPr>
          <w:rFonts w:ascii="Arial" w:hAnsi="Arial" w:cs="Arial"/>
          <w:b/>
          <w:bCs/>
          <w:sz w:val="22"/>
          <w:szCs w:val="22"/>
        </w:rPr>
        <w:t>Refe</w:t>
      </w:r>
      <w:r>
        <w:rPr>
          <w:rFonts w:ascii="Arial" w:hAnsi="Arial" w:cs="Arial"/>
          <w:b/>
          <w:bCs/>
          <w:sz w:val="22"/>
          <w:szCs w:val="22"/>
        </w:rPr>
        <w:t>re</w:t>
      </w:r>
      <w:r w:rsidRPr="0090010F">
        <w:rPr>
          <w:rFonts w:ascii="Arial" w:hAnsi="Arial" w:cs="Arial"/>
          <w:b/>
          <w:bCs/>
          <w:sz w:val="22"/>
          <w:szCs w:val="22"/>
        </w:rPr>
        <w:t>nces:</w:t>
      </w:r>
    </w:p>
    <w:p w14:paraId="1E872A23" w14:textId="77777777" w:rsidR="003C113D" w:rsidRPr="00F33C16" w:rsidRDefault="003C113D" w:rsidP="00FB2D39">
      <w:pPr>
        <w:widowControl w:val="0"/>
        <w:autoSpaceDE w:val="0"/>
        <w:autoSpaceDN w:val="0"/>
        <w:adjustRightInd w:val="0"/>
        <w:ind w:left="640" w:hanging="640"/>
        <w:jc w:val="both"/>
        <w:rPr>
          <w:rFonts w:ascii="Arial" w:hAnsi="Arial" w:cs="Arial"/>
          <w:noProof/>
          <w:sz w:val="22"/>
          <w:lang w:val="en-GB"/>
        </w:rPr>
      </w:pPr>
      <w:r>
        <w:rPr>
          <w:rFonts w:ascii="Arial" w:hAnsi="Arial" w:cs="Arial"/>
          <w:sz w:val="22"/>
          <w:szCs w:val="22"/>
        </w:rPr>
        <w:fldChar w:fldCharType="begin" w:fldLock="1"/>
      </w:r>
      <w:r>
        <w:rPr>
          <w:rFonts w:ascii="Arial" w:hAnsi="Arial" w:cs="Arial"/>
          <w:sz w:val="22"/>
          <w:szCs w:val="22"/>
        </w:rPr>
        <w:instrText xml:space="preserve">ADDIN Mendeley Bibliography CSL_BIBLIOGRAPHY </w:instrText>
      </w:r>
      <w:r>
        <w:rPr>
          <w:rFonts w:ascii="Arial" w:hAnsi="Arial" w:cs="Arial"/>
          <w:sz w:val="22"/>
          <w:szCs w:val="22"/>
        </w:rPr>
        <w:fldChar w:fldCharType="separate"/>
      </w:r>
      <w:r w:rsidRPr="00F33C16">
        <w:rPr>
          <w:rFonts w:ascii="Arial" w:hAnsi="Arial" w:cs="Arial"/>
          <w:noProof/>
          <w:sz w:val="22"/>
          <w:lang w:val="en-GB"/>
        </w:rPr>
        <w:t>1.</w:t>
      </w:r>
      <w:r w:rsidRPr="00F33C16">
        <w:rPr>
          <w:rFonts w:ascii="Arial" w:hAnsi="Arial" w:cs="Arial"/>
          <w:noProof/>
          <w:sz w:val="22"/>
          <w:lang w:val="en-GB"/>
        </w:rPr>
        <w:tab/>
        <w:t xml:space="preserve">Gautret, P. </w:t>
      </w:r>
      <w:r w:rsidRPr="00F33C16">
        <w:rPr>
          <w:rFonts w:ascii="Arial" w:hAnsi="Arial" w:cs="Arial"/>
          <w:i/>
          <w:iCs/>
          <w:noProof/>
          <w:sz w:val="22"/>
          <w:lang w:val="en-GB"/>
        </w:rPr>
        <w:t>et al.</w:t>
      </w:r>
      <w:r w:rsidRPr="00F33C16">
        <w:rPr>
          <w:rFonts w:ascii="Arial" w:hAnsi="Arial" w:cs="Arial"/>
          <w:noProof/>
          <w:sz w:val="22"/>
          <w:lang w:val="en-GB"/>
        </w:rPr>
        <w:t xml:space="preserve"> Hydroxychloroquine and azithromycin as a treatment of COVID-19: results of an open-label non-randomized clinical trial. </w:t>
      </w:r>
      <w:r w:rsidRPr="00F33C16">
        <w:rPr>
          <w:rFonts w:ascii="Arial" w:hAnsi="Arial" w:cs="Arial"/>
          <w:i/>
          <w:iCs/>
          <w:noProof/>
          <w:sz w:val="22"/>
          <w:lang w:val="en-GB"/>
        </w:rPr>
        <w:t>Int. J. Antimicrob. Agents</w:t>
      </w:r>
      <w:r w:rsidRPr="00F33C16">
        <w:rPr>
          <w:rFonts w:ascii="Arial" w:hAnsi="Arial" w:cs="Arial"/>
          <w:noProof/>
          <w:sz w:val="22"/>
          <w:lang w:val="en-GB"/>
        </w:rPr>
        <w:t xml:space="preserve"> 105949 (2020). </w:t>
      </w:r>
      <w:r w:rsidRPr="00F33C16">
        <w:rPr>
          <w:rFonts w:ascii="Arial" w:hAnsi="Arial" w:cs="Arial"/>
          <w:noProof/>
          <w:sz w:val="22"/>
          <w:lang w:val="en-GB"/>
        </w:rPr>
        <w:lastRenderedPageBreak/>
        <w:t>doi:10.1016/j.ijantimicag.2020.105949</w:t>
      </w:r>
    </w:p>
    <w:p w14:paraId="426854B6" w14:textId="77777777" w:rsidR="003C113D" w:rsidRPr="00F33C16" w:rsidRDefault="003C113D" w:rsidP="00FB2D39">
      <w:pPr>
        <w:widowControl w:val="0"/>
        <w:autoSpaceDE w:val="0"/>
        <w:autoSpaceDN w:val="0"/>
        <w:adjustRightInd w:val="0"/>
        <w:ind w:left="640" w:hanging="640"/>
        <w:jc w:val="both"/>
        <w:rPr>
          <w:rFonts w:ascii="Arial" w:hAnsi="Arial" w:cs="Arial"/>
          <w:noProof/>
          <w:sz w:val="22"/>
          <w:lang w:val="en-GB"/>
        </w:rPr>
      </w:pPr>
      <w:r w:rsidRPr="00F33C16">
        <w:rPr>
          <w:rFonts w:ascii="Arial" w:hAnsi="Arial" w:cs="Arial"/>
          <w:noProof/>
          <w:sz w:val="22"/>
          <w:lang w:val="en-GB"/>
        </w:rPr>
        <w:t>2.</w:t>
      </w:r>
      <w:r w:rsidRPr="00F33C16">
        <w:rPr>
          <w:rFonts w:ascii="Arial" w:hAnsi="Arial" w:cs="Arial"/>
          <w:noProof/>
          <w:sz w:val="22"/>
          <w:lang w:val="en-GB"/>
        </w:rPr>
        <w:tab/>
        <w:t xml:space="preserve">Johnson, T. N., Jamei, M. &amp; Rowland-Yeo, K. How Does In Vivo Biliary Elimination of Drugs Change with Age? Evidence from In Vitro and Clinical Data Using a Systems Pharmacology Approach. </w:t>
      </w:r>
      <w:r w:rsidRPr="00F33C16">
        <w:rPr>
          <w:rFonts w:ascii="Arial" w:hAnsi="Arial" w:cs="Arial"/>
          <w:i/>
          <w:iCs/>
          <w:noProof/>
          <w:sz w:val="22"/>
          <w:lang w:val="en-GB"/>
        </w:rPr>
        <w:t>Drug Metab. Dispos.</w:t>
      </w:r>
      <w:r w:rsidRPr="00F33C16">
        <w:rPr>
          <w:rFonts w:ascii="Arial" w:hAnsi="Arial" w:cs="Arial"/>
          <w:noProof/>
          <w:sz w:val="22"/>
          <w:lang w:val="en-GB"/>
        </w:rPr>
        <w:t xml:space="preserve"> </w:t>
      </w:r>
      <w:r w:rsidRPr="00F33C16">
        <w:rPr>
          <w:rFonts w:ascii="Arial" w:hAnsi="Arial" w:cs="Arial"/>
          <w:b/>
          <w:bCs/>
          <w:noProof/>
          <w:sz w:val="22"/>
          <w:lang w:val="en-GB"/>
        </w:rPr>
        <w:t>44</w:t>
      </w:r>
      <w:r w:rsidRPr="00F33C16">
        <w:rPr>
          <w:rFonts w:ascii="Arial" w:hAnsi="Arial" w:cs="Arial"/>
          <w:noProof/>
          <w:sz w:val="22"/>
          <w:lang w:val="en-GB"/>
        </w:rPr>
        <w:t>, 1090–1098 (2016).</w:t>
      </w:r>
    </w:p>
    <w:p w14:paraId="37869559" w14:textId="77777777" w:rsidR="003C113D" w:rsidRPr="00F33C16" w:rsidRDefault="003C113D" w:rsidP="00FB2D39">
      <w:pPr>
        <w:widowControl w:val="0"/>
        <w:autoSpaceDE w:val="0"/>
        <w:autoSpaceDN w:val="0"/>
        <w:adjustRightInd w:val="0"/>
        <w:ind w:left="640" w:hanging="640"/>
        <w:jc w:val="both"/>
        <w:rPr>
          <w:rFonts w:ascii="Arial" w:hAnsi="Arial" w:cs="Arial"/>
          <w:noProof/>
          <w:sz w:val="22"/>
          <w:lang w:val="en-GB"/>
        </w:rPr>
      </w:pPr>
      <w:r w:rsidRPr="00F33C16">
        <w:rPr>
          <w:rFonts w:ascii="Arial" w:hAnsi="Arial" w:cs="Arial"/>
          <w:noProof/>
          <w:sz w:val="22"/>
          <w:lang w:val="en-GB"/>
        </w:rPr>
        <w:t>3.</w:t>
      </w:r>
      <w:r w:rsidRPr="00F33C16">
        <w:rPr>
          <w:rFonts w:ascii="Arial" w:hAnsi="Arial" w:cs="Arial"/>
          <w:noProof/>
          <w:sz w:val="22"/>
          <w:lang w:val="en-GB"/>
        </w:rPr>
        <w:tab/>
        <w:t xml:space="preserve">Pene Dumitrescu, T. </w:t>
      </w:r>
      <w:r w:rsidRPr="00F33C16">
        <w:rPr>
          <w:rFonts w:ascii="Arial" w:hAnsi="Arial" w:cs="Arial"/>
          <w:i/>
          <w:iCs/>
          <w:noProof/>
          <w:sz w:val="22"/>
          <w:lang w:val="en-GB"/>
        </w:rPr>
        <w:t>et al.</w:t>
      </w:r>
      <w:r w:rsidRPr="00F33C16">
        <w:rPr>
          <w:rFonts w:ascii="Arial" w:hAnsi="Arial" w:cs="Arial"/>
          <w:noProof/>
          <w:sz w:val="22"/>
          <w:lang w:val="en-GB"/>
        </w:rPr>
        <w:t xml:space="preserve"> Development of a Population Pharmacokinetic Model To Describe Azithromycin Whole-Blood and Plasma Concentrations over Time in Healthy Subjects. </w:t>
      </w:r>
      <w:r w:rsidRPr="00F33C16">
        <w:rPr>
          <w:rFonts w:ascii="Arial" w:hAnsi="Arial" w:cs="Arial"/>
          <w:i/>
          <w:iCs/>
          <w:noProof/>
          <w:sz w:val="22"/>
          <w:lang w:val="en-GB"/>
        </w:rPr>
        <w:t>Antimicrob. Agents Chemother.</w:t>
      </w:r>
      <w:r w:rsidRPr="00F33C16">
        <w:rPr>
          <w:rFonts w:ascii="Arial" w:hAnsi="Arial" w:cs="Arial"/>
          <w:noProof/>
          <w:sz w:val="22"/>
          <w:lang w:val="en-GB"/>
        </w:rPr>
        <w:t xml:space="preserve"> </w:t>
      </w:r>
      <w:r w:rsidRPr="00F33C16">
        <w:rPr>
          <w:rFonts w:ascii="Arial" w:hAnsi="Arial" w:cs="Arial"/>
          <w:b/>
          <w:bCs/>
          <w:noProof/>
          <w:sz w:val="22"/>
          <w:lang w:val="en-GB"/>
        </w:rPr>
        <w:t>57</w:t>
      </w:r>
      <w:r w:rsidRPr="00F33C16">
        <w:rPr>
          <w:rFonts w:ascii="Arial" w:hAnsi="Arial" w:cs="Arial"/>
          <w:noProof/>
          <w:sz w:val="22"/>
          <w:lang w:val="en-GB"/>
        </w:rPr>
        <w:t>, 3194–3201 (2013).</w:t>
      </w:r>
    </w:p>
    <w:p w14:paraId="411C38E5" w14:textId="77777777" w:rsidR="003C113D" w:rsidRPr="00F33C16" w:rsidRDefault="003C113D" w:rsidP="00FB2D39">
      <w:pPr>
        <w:widowControl w:val="0"/>
        <w:autoSpaceDE w:val="0"/>
        <w:autoSpaceDN w:val="0"/>
        <w:adjustRightInd w:val="0"/>
        <w:ind w:left="640" w:hanging="640"/>
        <w:jc w:val="both"/>
        <w:rPr>
          <w:rFonts w:ascii="Arial" w:hAnsi="Arial" w:cs="Arial"/>
          <w:noProof/>
          <w:sz w:val="22"/>
        </w:rPr>
      </w:pPr>
      <w:r w:rsidRPr="00F33C16">
        <w:rPr>
          <w:rFonts w:ascii="Arial" w:hAnsi="Arial" w:cs="Arial"/>
          <w:noProof/>
          <w:sz w:val="22"/>
          <w:lang w:val="en-GB"/>
        </w:rPr>
        <w:t>4.</w:t>
      </w:r>
      <w:r w:rsidRPr="00F33C16">
        <w:rPr>
          <w:rFonts w:ascii="Arial" w:hAnsi="Arial" w:cs="Arial"/>
          <w:noProof/>
          <w:sz w:val="22"/>
          <w:lang w:val="en-GB"/>
        </w:rPr>
        <w:tab/>
        <w:t xml:space="preserve">Lucchi, M. </w:t>
      </w:r>
      <w:r w:rsidRPr="00F33C16">
        <w:rPr>
          <w:rFonts w:ascii="Arial" w:hAnsi="Arial" w:cs="Arial"/>
          <w:i/>
          <w:iCs/>
          <w:noProof/>
          <w:sz w:val="22"/>
          <w:lang w:val="en-GB"/>
        </w:rPr>
        <w:t>et al.</w:t>
      </w:r>
      <w:r w:rsidRPr="00F33C16">
        <w:rPr>
          <w:rFonts w:ascii="Arial" w:hAnsi="Arial" w:cs="Arial"/>
          <w:noProof/>
          <w:sz w:val="22"/>
          <w:lang w:val="en-GB"/>
        </w:rPr>
        <w:t xml:space="preserve"> Pharmacokinetics of azithromycin in serum, bronchial washings, alveolar macrophages and lung tissue following a single oral dose of extended or immediate release formulations of azithromycin. </w:t>
      </w:r>
      <w:r w:rsidRPr="00F33C16">
        <w:rPr>
          <w:rFonts w:ascii="Arial" w:hAnsi="Arial" w:cs="Arial"/>
          <w:i/>
          <w:iCs/>
          <w:noProof/>
          <w:sz w:val="22"/>
          <w:lang w:val="en-GB"/>
        </w:rPr>
        <w:t>J. Antimicrob. Chemother.</w:t>
      </w:r>
      <w:r w:rsidRPr="00F33C16">
        <w:rPr>
          <w:rFonts w:ascii="Arial" w:hAnsi="Arial" w:cs="Arial"/>
          <w:noProof/>
          <w:sz w:val="22"/>
          <w:lang w:val="en-GB"/>
        </w:rPr>
        <w:t xml:space="preserve"> </w:t>
      </w:r>
      <w:r w:rsidRPr="00F33C16">
        <w:rPr>
          <w:rFonts w:ascii="Arial" w:hAnsi="Arial" w:cs="Arial"/>
          <w:b/>
          <w:bCs/>
          <w:noProof/>
          <w:sz w:val="22"/>
          <w:lang w:val="en-GB"/>
        </w:rPr>
        <w:t>61</w:t>
      </w:r>
      <w:r w:rsidRPr="00F33C16">
        <w:rPr>
          <w:rFonts w:ascii="Arial" w:hAnsi="Arial" w:cs="Arial"/>
          <w:noProof/>
          <w:sz w:val="22"/>
          <w:lang w:val="en-GB"/>
        </w:rPr>
        <w:t>, 884–891 (2008).</w:t>
      </w:r>
    </w:p>
    <w:p w14:paraId="72BF808E" w14:textId="77777777" w:rsidR="003C113D" w:rsidRPr="0090010F" w:rsidRDefault="003C113D" w:rsidP="00FB2D39">
      <w:pPr>
        <w:widowControl w:val="0"/>
        <w:autoSpaceDE w:val="0"/>
        <w:autoSpaceDN w:val="0"/>
        <w:adjustRightInd w:val="0"/>
        <w:ind w:left="640" w:hanging="640"/>
        <w:jc w:val="both"/>
        <w:rPr>
          <w:rFonts w:ascii="Arial" w:hAnsi="Arial" w:cs="Arial"/>
          <w:sz w:val="22"/>
          <w:szCs w:val="22"/>
        </w:rPr>
      </w:pPr>
      <w:r>
        <w:rPr>
          <w:rFonts w:ascii="Arial" w:hAnsi="Arial" w:cs="Arial"/>
          <w:sz w:val="22"/>
          <w:szCs w:val="22"/>
        </w:rPr>
        <w:fldChar w:fldCharType="end"/>
      </w:r>
      <w:r>
        <w:rPr>
          <w:rFonts w:ascii="Arial" w:hAnsi="Arial" w:cs="Arial"/>
          <w:sz w:val="22"/>
          <w:szCs w:val="22"/>
        </w:rPr>
        <w:t>5.</w:t>
      </w:r>
      <w:r>
        <w:rPr>
          <w:rFonts w:ascii="Arial" w:hAnsi="Arial" w:cs="Arial"/>
          <w:sz w:val="22"/>
          <w:szCs w:val="22"/>
        </w:rPr>
        <w:tab/>
      </w:r>
      <w:proofErr w:type="spellStart"/>
      <w:r w:rsidRPr="0090010F">
        <w:rPr>
          <w:rFonts w:ascii="Arial" w:hAnsi="Arial" w:cs="Arial"/>
          <w:sz w:val="22"/>
          <w:szCs w:val="22"/>
        </w:rPr>
        <w:t>Touret</w:t>
      </w:r>
      <w:proofErr w:type="spellEnd"/>
      <w:r w:rsidRPr="0090010F">
        <w:rPr>
          <w:rFonts w:ascii="Arial" w:hAnsi="Arial" w:cs="Arial"/>
          <w:sz w:val="22"/>
          <w:szCs w:val="22"/>
        </w:rPr>
        <w:t xml:space="preserve"> F, Gilles M, </w:t>
      </w:r>
      <w:proofErr w:type="spellStart"/>
      <w:r w:rsidRPr="0090010F">
        <w:rPr>
          <w:rFonts w:ascii="Arial" w:hAnsi="Arial" w:cs="Arial"/>
          <w:sz w:val="22"/>
          <w:szCs w:val="22"/>
        </w:rPr>
        <w:t>Barral</w:t>
      </w:r>
      <w:proofErr w:type="spellEnd"/>
      <w:r w:rsidRPr="0090010F">
        <w:rPr>
          <w:rFonts w:ascii="Arial" w:hAnsi="Arial" w:cs="Arial"/>
          <w:sz w:val="22"/>
          <w:szCs w:val="22"/>
        </w:rPr>
        <w:t xml:space="preserve"> K, </w:t>
      </w:r>
      <w:proofErr w:type="spellStart"/>
      <w:r w:rsidRPr="0090010F">
        <w:rPr>
          <w:rFonts w:ascii="Arial" w:hAnsi="Arial" w:cs="Arial"/>
          <w:sz w:val="22"/>
          <w:szCs w:val="22"/>
        </w:rPr>
        <w:t>NougairédeA</w:t>
      </w:r>
      <w:proofErr w:type="spellEnd"/>
      <w:r w:rsidRPr="0090010F">
        <w:rPr>
          <w:rFonts w:ascii="Arial" w:hAnsi="Arial" w:cs="Arial"/>
          <w:sz w:val="22"/>
          <w:szCs w:val="22"/>
        </w:rPr>
        <w:t xml:space="preserve">, </w:t>
      </w:r>
      <w:proofErr w:type="spellStart"/>
      <w:r w:rsidRPr="0090010F">
        <w:rPr>
          <w:rFonts w:ascii="Arial" w:hAnsi="Arial" w:cs="Arial"/>
          <w:sz w:val="22"/>
          <w:szCs w:val="22"/>
        </w:rPr>
        <w:t>Decroly</w:t>
      </w:r>
      <w:proofErr w:type="spellEnd"/>
      <w:r w:rsidRPr="0090010F">
        <w:rPr>
          <w:rFonts w:ascii="Arial" w:hAnsi="Arial" w:cs="Arial"/>
          <w:sz w:val="22"/>
          <w:szCs w:val="22"/>
        </w:rPr>
        <w:t xml:space="preserve"> E, de </w:t>
      </w:r>
      <w:proofErr w:type="spellStart"/>
      <w:r w:rsidRPr="0090010F">
        <w:rPr>
          <w:rFonts w:ascii="Arial" w:hAnsi="Arial" w:cs="Arial"/>
          <w:sz w:val="22"/>
          <w:szCs w:val="22"/>
        </w:rPr>
        <w:t>Lamballerie</w:t>
      </w:r>
      <w:proofErr w:type="spellEnd"/>
      <w:r w:rsidRPr="0090010F">
        <w:rPr>
          <w:rFonts w:ascii="Arial" w:hAnsi="Arial" w:cs="Arial"/>
          <w:sz w:val="22"/>
          <w:szCs w:val="22"/>
        </w:rPr>
        <w:t xml:space="preserve"> X, </w:t>
      </w:r>
      <w:proofErr w:type="spellStart"/>
      <w:r w:rsidRPr="0090010F">
        <w:rPr>
          <w:rFonts w:ascii="Arial" w:hAnsi="Arial" w:cs="Arial"/>
          <w:sz w:val="22"/>
          <w:szCs w:val="22"/>
        </w:rPr>
        <w:t>Coutard</w:t>
      </w:r>
      <w:proofErr w:type="spellEnd"/>
      <w:r w:rsidRPr="0090010F">
        <w:rPr>
          <w:rFonts w:ascii="Arial" w:hAnsi="Arial" w:cs="Arial"/>
          <w:sz w:val="22"/>
          <w:szCs w:val="22"/>
        </w:rPr>
        <w:t xml:space="preserve"> B. In vitro screening of a FDA approved chemical library reveals potential inhibitors of SARS-CoV-2 replication. </w:t>
      </w:r>
      <w:proofErr w:type="spellStart"/>
      <w:r w:rsidRPr="0090010F">
        <w:rPr>
          <w:rFonts w:ascii="Arial" w:hAnsi="Arial" w:cs="Arial"/>
          <w:sz w:val="22"/>
          <w:szCs w:val="22"/>
        </w:rPr>
        <w:t>bioRxiv</w:t>
      </w:r>
      <w:proofErr w:type="spellEnd"/>
      <w:r w:rsidRPr="0090010F">
        <w:rPr>
          <w:rFonts w:ascii="Arial" w:hAnsi="Arial" w:cs="Arial"/>
          <w:sz w:val="22"/>
          <w:szCs w:val="22"/>
        </w:rPr>
        <w:t xml:space="preserve"> preprint </w:t>
      </w:r>
      <w:proofErr w:type="spellStart"/>
      <w:r w:rsidRPr="0090010F">
        <w:rPr>
          <w:rFonts w:ascii="Arial" w:hAnsi="Arial" w:cs="Arial"/>
          <w:sz w:val="22"/>
          <w:szCs w:val="22"/>
        </w:rPr>
        <w:t>doi</w:t>
      </w:r>
      <w:proofErr w:type="spellEnd"/>
      <w:r w:rsidRPr="0090010F">
        <w:rPr>
          <w:rFonts w:ascii="Arial" w:hAnsi="Arial" w:cs="Arial"/>
          <w:sz w:val="22"/>
          <w:szCs w:val="22"/>
        </w:rPr>
        <w:t xml:space="preserve">: </w:t>
      </w:r>
      <w:hyperlink r:id="rId74" w:history="1">
        <w:r w:rsidRPr="0090010F">
          <w:rPr>
            <w:rFonts w:ascii="Arial" w:hAnsi="Arial" w:cs="Arial"/>
            <w:sz w:val="22"/>
            <w:szCs w:val="22"/>
          </w:rPr>
          <w:t>https://doi.org/10.1101/2020.04.03.023846</w:t>
        </w:r>
      </w:hyperlink>
      <w:r w:rsidRPr="0090010F">
        <w:rPr>
          <w:rFonts w:ascii="Arial" w:hAnsi="Arial" w:cs="Arial"/>
          <w:sz w:val="22"/>
          <w:szCs w:val="22"/>
        </w:rPr>
        <w:t>.</w:t>
      </w:r>
    </w:p>
    <w:p w14:paraId="37B3BFD9" w14:textId="77777777" w:rsidR="003C113D" w:rsidRPr="00371DCB" w:rsidRDefault="003C113D" w:rsidP="00FB2D39">
      <w:pPr>
        <w:jc w:val="both"/>
        <w:rPr>
          <w:rFonts w:ascii="Arial" w:hAnsi="Arial" w:cs="Arial"/>
          <w:sz w:val="22"/>
          <w:szCs w:val="22"/>
          <w:lang w:eastAsia="en-US"/>
        </w:rPr>
      </w:pPr>
    </w:p>
    <w:p w14:paraId="03479C79" w14:textId="77777777" w:rsidR="007066B7" w:rsidRDefault="007066B7" w:rsidP="00FB2D39">
      <w:pPr>
        <w:jc w:val="both"/>
        <w:rPr>
          <w:rFonts w:eastAsia="MS Gothic"/>
          <w:b/>
          <w:bCs/>
          <w:i/>
          <w:iCs/>
          <w:color w:val="000000"/>
          <w:sz w:val="28"/>
          <w:szCs w:val="28"/>
          <w:lang w:val="en-US" w:eastAsia="ja-JP"/>
        </w:rPr>
      </w:pPr>
      <w:r>
        <w:br w:type="page"/>
      </w:r>
    </w:p>
    <w:p w14:paraId="03BC9708" w14:textId="7379DB35" w:rsidR="0083497D" w:rsidRPr="00371DCB" w:rsidRDefault="0083497D" w:rsidP="00FB2D39">
      <w:pPr>
        <w:pStyle w:val="Heading2non-numbered"/>
        <w:jc w:val="both"/>
      </w:pPr>
      <w:r w:rsidRPr="00371DCB">
        <w:lastRenderedPageBreak/>
        <w:t xml:space="preserve">Appendix </w:t>
      </w:r>
      <w:r w:rsidR="00AA0D69" w:rsidRPr="00371DCB">
        <w:t>1</w:t>
      </w:r>
      <w:r w:rsidR="00B971A8">
        <w:t>1</w:t>
      </w:r>
      <w:r w:rsidRPr="00371DCB">
        <w:t>: Experimental intervention</w:t>
      </w:r>
      <w:bookmarkEnd w:id="202"/>
      <w:r w:rsidR="009658D3" w:rsidRPr="00371DCB">
        <w:t xml:space="preserve"> to be added </w:t>
      </w:r>
      <w:r w:rsidR="006178F9" w:rsidRPr="00371DCB">
        <w:t>as part of adaptive design</w:t>
      </w:r>
    </w:p>
    <w:p w14:paraId="5543A278" w14:textId="2E71D883" w:rsidR="0083497D" w:rsidRPr="00371DCB" w:rsidRDefault="0083497D" w:rsidP="00FB2D39">
      <w:pPr>
        <w:jc w:val="both"/>
        <w:rPr>
          <w:rFonts w:ascii="Arial" w:hAnsi="Arial" w:cs="Arial"/>
          <w:b/>
          <w:sz w:val="22"/>
          <w:szCs w:val="22"/>
        </w:rPr>
      </w:pPr>
      <w:r w:rsidRPr="00371DCB">
        <w:rPr>
          <w:rFonts w:ascii="Arial" w:hAnsi="Arial" w:cs="Arial"/>
          <w:b/>
          <w:sz w:val="22"/>
          <w:szCs w:val="22"/>
        </w:rPr>
        <w:t>Dosing Rationale</w:t>
      </w:r>
    </w:p>
    <w:p w14:paraId="196C187D" w14:textId="608BD814" w:rsidR="00BB5E71" w:rsidRPr="00371DCB" w:rsidRDefault="00BB5E71" w:rsidP="00FB2D39">
      <w:pPr>
        <w:jc w:val="both"/>
        <w:rPr>
          <w:rFonts w:ascii="Arial" w:hAnsi="Arial" w:cs="Arial"/>
          <w:sz w:val="22"/>
          <w:szCs w:val="22"/>
        </w:rPr>
      </w:pPr>
    </w:p>
    <w:p w14:paraId="02B29B93" w14:textId="0FB657BB" w:rsidR="0083497D" w:rsidRPr="00371DCB" w:rsidRDefault="0083497D" w:rsidP="00FB2D39">
      <w:pPr>
        <w:jc w:val="both"/>
        <w:rPr>
          <w:rFonts w:ascii="Arial" w:hAnsi="Arial" w:cs="Arial"/>
          <w:b/>
          <w:sz w:val="22"/>
          <w:szCs w:val="22"/>
        </w:rPr>
      </w:pPr>
      <w:r w:rsidRPr="00371DCB">
        <w:rPr>
          <w:rFonts w:ascii="Arial" w:hAnsi="Arial" w:cs="Arial"/>
          <w:b/>
          <w:sz w:val="22"/>
          <w:szCs w:val="22"/>
        </w:rPr>
        <w:t>Treatment Administration</w:t>
      </w:r>
    </w:p>
    <w:tbl>
      <w:tblPr>
        <w:tblStyle w:val="TableGrid"/>
        <w:tblW w:w="5000" w:type="pct"/>
        <w:tblLook w:val="04A0" w:firstRow="1" w:lastRow="0" w:firstColumn="1" w:lastColumn="0" w:noHBand="0" w:noVBand="1"/>
      </w:tblPr>
      <w:tblGrid>
        <w:gridCol w:w="1702"/>
        <w:gridCol w:w="1678"/>
        <w:gridCol w:w="1769"/>
        <w:gridCol w:w="1686"/>
        <w:gridCol w:w="2515"/>
      </w:tblGrid>
      <w:tr w:rsidR="0083497D" w:rsidRPr="00FA7410" w14:paraId="58991AF0" w14:textId="77777777" w:rsidTr="0007606A">
        <w:trPr>
          <w:trHeight w:val="123"/>
        </w:trPr>
        <w:tc>
          <w:tcPr>
            <w:tcW w:w="920" w:type="pct"/>
          </w:tcPr>
          <w:p w14:paraId="146CE53E" w14:textId="77777777" w:rsidR="0083497D" w:rsidRPr="00371DCB" w:rsidRDefault="0083497D" w:rsidP="00FB2D39">
            <w:pPr>
              <w:jc w:val="both"/>
              <w:rPr>
                <w:rFonts w:ascii="Arial" w:hAnsi="Arial" w:cs="Arial"/>
                <w:b/>
                <w:sz w:val="22"/>
                <w:szCs w:val="22"/>
                <w:lang w:val="en-US" w:eastAsia="ja-JP"/>
              </w:rPr>
            </w:pPr>
            <w:r w:rsidRPr="00371DCB">
              <w:rPr>
                <w:rFonts w:ascii="Arial" w:hAnsi="Arial" w:cs="Arial"/>
                <w:b/>
                <w:sz w:val="22"/>
                <w:szCs w:val="22"/>
                <w:lang w:val="en-US" w:eastAsia="ja-JP"/>
              </w:rPr>
              <w:t>Drug</w:t>
            </w:r>
          </w:p>
        </w:tc>
        <w:tc>
          <w:tcPr>
            <w:tcW w:w="907" w:type="pct"/>
          </w:tcPr>
          <w:p w14:paraId="30A3404F" w14:textId="77777777" w:rsidR="0083497D" w:rsidRPr="00371DCB" w:rsidRDefault="0083497D" w:rsidP="00FB2D39">
            <w:pPr>
              <w:jc w:val="both"/>
              <w:rPr>
                <w:rFonts w:ascii="Arial" w:hAnsi="Arial" w:cs="Arial"/>
                <w:b/>
                <w:sz w:val="22"/>
                <w:szCs w:val="22"/>
                <w:lang w:val="en-US" w:eastAsia="ja-JP"/>
              </w:rPr>
            </w:pPr>
            <w:r w:rsidRPr="00371DCB">
              <w:rPr>
                <w:rFonts w:ascii="Arial" w:hAnsi="Arial" w:cs="Arial"/>
                <w:b/>
                <w:sz w:val="22"/>
                <w:szCs w:val="22"/>
                <w:lang w:val="en-US" w:eastAsia="ja-JP"/>
              </w:rPr>
              <w:t>Dosage formulation</w:t>
            </w:r>
          </w:p>
        </w:tc>
        <w:tc>
          <w:tcPr>
            <w:tcW w:w="908" w:type="pct"/>
          </w:tcPr>
          <w:p w14:paraId="01E6E6CD" w14:textId="77777777" w:rsidR="0083497D" w:rsidRPr="00371DCB" w:rsidRDefault="0083497D" w:rsidP="00FB2D39">
            <w:pPr>
              <w:jc w:val="both"/>
              <w:rPr>
                <w:rFonts w:ascii="Arial" w:hAnsi="Arial" w:cs="Arial"/>
                <w:b/>
                <w:sz w:val="22"/>
                <w:szCs w:val="22"/>
                <w:lang w:val="en-US" w:eastAsia="ja-JP"/>
              </w:rPr>
            </w:pPr>
            <w:r w:rsidRPr="00371DCB">
              <w:rPr>
                <w:rFonts w:ascii="Arial" w:hAnsi="Arial" w:cs="Arial"/>
                <w:b/>
                <w:sz w:val="22"/>
                <w:szCs w:val="22"/>
              </w:rPr>
              <w:t>Route of Administration</w:t>
            </w:r>
          </w:p>
        </w:tc>
        <w:tc>
          <w:tcPr>
            <w:tcW w:w="911" w:type="pct"/>
          </w:tcPr>
          <w:p w14:paraId="1231009F" w14:textId="77777777" w:rsidR="0083497D" w:rsidRPr="00371DCB" w:rsidRDefault="0083497D" w:rsidP="00FB2D39">
            <w:pPr>
              <w:jc w:val="both"/>
              <w:rPr>
                <w:rFonts w:ascii="Arial" w:hAnsi="Arial" w:cs="Arial"/>
                <w:b/>
                <w:sz w:val="22"/>
                <w:szCs w:val="22"/>
                <w:lang w:val="en-US" w:eastAsia="ja-JP"/>
              </w:rPr>
            </w:pPr>
            <w:r w:rsidRPr="00371DCB">
              <w:rPr>
                <w:rFonts w:ascii="Arial" w:hAnsi="Arial" w:cs="Arial"/>
                <w:b/>
                <w:sz w:val="22"/>
                <w:szCs w:val="22"/>
                <w:lang w:val="en-US" w:eastAsia="ja-JP"/>
              </w:rPr>
              <w:t xml:space="preserve">Manufacturer </w:t>
            </w:r>
          </w:p>
        </w:tc>
        <w:tc>
          <w:tcPr>
            <w:tcW w:w="1354" w:type="pct"/>
          </w:tcPr>
          <w:p w14:paraId="7CF18570" w14:textId="77777777" w:rsidR="0083497D" w:rsidRPr="00371DCB" w:rsidRDefault="0083497D" w:rsidP="00FB2D39">
            <w:pPr>
              <w:jc w:val="both"/>
              <w:rPr>
                <w:rFonts w:ascii="Arial" w:hAnsi="Arial" w:cs="Arial"/>
                <w:b/>
                <w:sz w:val="22"/>
                <w:szCs w:val="22"/>
                <w:lang w:val="en-US" w:eastAsia="ja-JP"/>
              </w:rPr>
            </w:pPr>
            <w:r w:rsidRPr="00371DCB">
              <w:rPr>
                <w:rFonts w:ascii="Arial" w:hAnsi="Arial" w:cs="Arial"/>
                <w:b/>
                <w:sz w:val="22"/>
                <w:szCs w:val="22"/>
                <w:lang w:val="en-US" w:eastAsia="ja-JP"/>
              </w:rPr>
              <w:t>Instructions</w:t>
            </w:r>
          </w:p>
        </w:tc>
      </w:tr>
      <w:tr w:rsidR="0083497D" w:rsidRPr="00FA7410" w14:paraId="5ECC94A7" w14:textId="77777777" w:rsidTr="0007606A">
        <w:tc>
          <w:tcPr>
            <w:tcW w:w="920" w:type="pct"/>
          </w:tcPr>
          <w:p w14:paraId="04AB4FC5" w14:textId="3FB86ABD" w:rsidR="0083497D" w:rsidRPr="00371DCB" w:rsidRDefault="0083497D" w:rsidP="00FB2D39">
            <w:pPr>
              <w:jc w:val="both"/>
              <w:rPr>
                <w:rFonts w:ascii="Arial" w:hAnsi="Arial" w:cs="Arial"/>
                <w:sz w:val="22"/>
                <w:szCs w:val="22"/>
                <w:lang w:val="en-US" w:eastAsia="ja-JP"/>
              </w:rPr>
            </w:pPr>
          </w:p>
        </w:tc>
        <w:tc>
          <w:tcPr>
            <w:tcW w:w="907" w:type="pct"/>
          </w:tcPr>
          <w:p w14:paraId="3B1FDF3B" w14:textId="13DDD170" w:rsidR="0083497D" w:rsidRPr="00371DCB" w:rsidRDefault="0083497D" w:rsidP="00FB2D39">
            <w:pPr>
              <w:jc w:val="both"/>
              <w:rPr>
                <w:rFonts w:ascii="Arial" w:hAnsi="Arial" w:cs="Arial"/>
                <w:sz w:val="22"/>
                <w:szCs w:val="22"/>
                <w:lang w:val="en-US" w:eastAsia="ja-JP"/>
              </w:rPr>
            </w:pPr>
          </w:p>
        </w:tc>
        <w:tc>
          <w:tcPr>
            <w:tcW w:w="908" w:type="pct"/>
          </w:tcPr>
          <w:p w14:paraId="50C3A9C8" w14:textId="1A53973D" w:rsidR="0083497D" w:rsidRPr="00371DCB" w:rsidRDefault="0083497D" w:rsidP="00FB2D39">
            <w:pPr>
              <w:jc w:val="both"/>
              <w:rPr>
                <w:rFonts w:ascii="Arial" w:hAnsi="Arial" w:cs="Arial"/>
                <w:sz w:val="22"/>
                <w:szCs w:val="22"/>
                <w:lang w:val="en-US" w:eastAsia="ja-JP"/>
              </w:rPr>
            </w:pPr>
          </w:p>
        </w:tc>
        <w:tc>
          <w:tcPr>
            <w:tcW w:w="911" w:type="pct"/>
          </w:tcPr>
          <w:p w14:paraId="7D554534" w14:textId="0229D817" w:rsidR="0083497D" w:rsidRPr="00371DCB" w:rsidRDefault="0083497D" w:rsidP="00FB2D39">
            <w:pPr>
              <w:jc w:val="both"/>
              <w:rPr>
                <w:rFonts w:ascii="Arial" w:hAnsi="Arial" w:cs="Arial"/>
                <w:sz w:val="22"/>
                <w:szCs w:val="22"/>
                <w:lang w:val="en-US" w:eastAsia="ja-JP"/>
              </w:rPr>
            </w:pPr>
          </w:p>
        </w:tc>
        <w:tc>
          <w:tcPr>
            <w:tcW w:w="1354" w:type="pct"/>
          </w:tcPr>
          <w:p w14:paraId="4B4CDD24" w14:textId="7B0B78E5" w:rsidR="0083497D" w:rsidRPr="00371DCB" w:rsidRDefault="0083497D" w:rsidP="00FB2D39">
            <w:pPr>
              <w:jc w:val="both"/>
              <w:rPr>
                <w:rFonts w:ascii="Arial" w:hAnsi="Arial" w:cs="Arial"/>
                <w:sz w:val="22"/>
                <w:szCs w:val="22"/>
                <w:lang w:val="en-US" w:eastAsia="ja-JP"/>
              </w:rPr>
            </w:pPr>
          </w:p>
        </w:tc>
      </w:tr>
    </w:tbl>
    <w:p w14:paraId="4F016DAF" w14:textId="20E39F37" w:rsidR="0083497D" w:rsidRPr="00371DCB" w:rsidRDefault="0083497D" w:rsidP="00FB2D39">
      <w:pPr>
        <w:jc w:val="both"/>
        <w:rPr>
          <w:rFonts w:ascii="Arial" w:hAnsi="Arial" w:cs="Arial"/>
          <w:sz w:val="22"/>
          <w:szCs w:val="22"/>
        </w:rPr>
      </w:pPr>
      <w:r w:rsidRPr="00371DCB">
        <w:rPr>
          <w:rFonts w:ascii="Arial" w:hAnsi="Arial" w:cs="Arial"/>
          <w:sz w:val="22"/>
          <w:szCs w:val="22"/>
          <w:lang w:val="en-US" w:eastAsia="ja-JP"/>
        </w:rPr>
        <w:t xml:space="preserve">Packaging and label: </w:t>
      </w:r>
      <w:r w:rsidRPr="00371DCB">
        <w:rPr>
          <w:rFonts w:ascii="Arial" w:hAnsi="Arial" w:cs="Arial"/>
          <w:sz w:val="22"/>
          <w:szCs w:val="22"/>
        </w:rPr>
        <w:t xml:space="preserve">The medication for home delivery will be dispensed in an otherwise-unmarked container with the study label. The container will be </w:t>
      </w:r>
      <w:proofErr w:type="spellStart"/>
      <w:r w:rsidRPr="00371DCB">
        <w:rPr>
          <w:rFonts w:ascii="Arial" w:hAnsi="Arial" w:cs="Arial"/>
          <w:sz w:val="22"/>
          <w:szCs w:val="22"/>
        </w:rPr>
        <w:t>labeled</w:t>
      </w:r>
      <w:proofErr w:type="spellEnd"/>
      <w:r w:rsidRPr="00371DCB">
        <w:rPr>
          <w:rFonts w:ascii="Arial" w:hAnsi="Arial" w:cs="Arial"/>
          <w:sz w:val="22"/>
          <w:szCs w:val="22"/>
        </w:rPr>
        <w:t xml:space="preserve"> with a unique identifier. The container will be packed in a standard box used for mail delivery of medications as needed.</w:t>
      </w:r>
    </w:p>
    <w:p w14:paraId="0EE2C52E" w14:textId="1D9F6C5A" w:rsidR="0083497D" w:rsidRPr="00371DCB" w:rsidRDefault="0083497D" w:rsidP="00FB2D39">
      <w:pPr>
        <w:jc w:val="both"/>
        <w:rPr>
          <w:rFonts w:ascii="Arial" w:hAnsi="Arial" w:cs="Arial"/>
          <w:b/>
          <w:sz w:val="22"/>
          <w:szCs w:val="22"/>
        </w:rPr>
      </w:pPr>
      <w:r w:rsidRPr="00371DCB">
        <w:rPr>
          <w:rFonts w:ascii="Arial" w:hAnsi="Arial" w:cs="Arial"/>
          <w:b/>
          <w:sz w:val="22"/>
          <w:szCs w:val="22"/>
        </w:rPr>
        <w:t>Risks Associated with Experimental Intervention</w:t>
      </w:r>
    </w:p>
    <w:p w14:paraId="0A12BA1A" w14:textId="0B7A1AE4" w:rsidR="0083497D" w:rsidRPr="00371DCB" w:rsidRDefault="0083497D" w:rsidP="00FB2D39">
      <w:pPr>
        <w:jc w:val="both"/>
        <w:rPr>
          <w:rFonts w:ascii="Arial" w:hAnsi="Arial" w:cs="Arial"/>
          <w:b/>
          <w:sz w:val="22"/>
          <w:szCs w:val="22"/>
        </w:rPr>
      </w:pPr>
    </w:p>
    <w:p w14:paraId="7DA7F791" w14:textId="080C8B6B" w:rsidR="0083497D" w:rsidRPr="00371DCB" w:rsidRDefault="0083497D" w:rsidP="00FB2D39">
      <w:pPr>
        <w:jc w:val="both"/>
        <w:rPr>
          <w:rFonts w:ascii="Arial" w:hAnsi="Arial" w:cs="Arial"/>
          <w:b/>
          <w:bCs/>
          <w:sz w:val="22"/>
          <w:szCs w:val="22"/>
          <w:lang w:eastAsia="ja-JP"/>
        </w:rPr>
      </w:pPr>
      <w:r w:rsidRPr="00371DCB">
        <w:rPr>
          <w:rFonts w:ascii="Arial" w:hAnsi="Arial" w:cs="Arial"/>
          <w:b/>
          <w:bCs/>
          <w:sz w:val="22"/>
          <w:szCs w:val="22"/>
          <w:lang w:eastAsia="ja-JP"/>
        </w:rPr>
        <w:t>Specific Management of Toxicities Related to Study-Provided Drug</w:t>
      </w:r>
    </w:p>
    <w:p w14:paraId="66664D14" w14:textId="77777777" w:rsidR="0083497D" w:rsidRPr="00371DCB" w:rsidRDefault="0083497D" w:rsidP="00FB2D39">
      <w:pPr>
        <w:jc w:val="both"/>
        <w:rPr>
          <w:rFonts w:ascii="Arial" w:hAnsi="Arial" w:cs="Arial"/>
          <w:b/>
          <w:sz w:val="22"/>
          <w:szCs w:val="22"/>
        </w:rPr>
      </w:pPr>
    </w:p>
    <w:p w14:paraId="01B6480C" w14:textId="77777777" w:rsidR="0083497D" w:rsidRPr="00371DCB" w:rsidRDefault="0083497D" w:rsidP="00FB2D39">
      <w:pPr>
        <w:jc w:val="both"/>
        <w:rPr>
          <w:rFonts w:ascii="Arial" w:hAnsi="Arial" w:cs="Arial"/>
          <w:b/>
          <w:sz w:val="22"/>
          <w:szCs w:val="22"/>
        </w:rPr>
      </w:pPr>
    </w:p>
    <w:p w14:paraId="0237614B" w14:textId="7B2328D7" w:rsidR="0083497D" w:rsidRPr="00371DCB" w:rsidRDefault="0083497D" w:rsidP="00FB2D39">
      <w:pPr>
        <w:jc w:val="both"/>
        <w:rPr>
          <w:rFonts w:ascii="Arial" w:hAnsi="Arial" w:cs="Arial"/>
          <w:b/>
          <w:sz w:val="22"/>
          <w:szCs w:val="22"/>
          <w:lang w:eastAsia="ja-JP"/>
        </w:rPr>
      </w:pPr>
      <w:r w:rsidRPr="00371DCB">
        <w:rPr>
          <w:rFonts w:ascii="Arial" w:hAnsi="Arial" w:cs="Arial"/>
          <w:b/>
          <w:sz w:val="22"/>
          <w:szCs w:val="22"/>
        </w:rPr>
        <w:t>Drug label</w:t>
      </w:r>
    </w:p>
    <w:p w14:paraId="2E36AA7E" w14:textId="77777777" w:rsidR="0083497D" w:rsidRPr="00371DCB" w:rsidRDefault="0083497D" w:rsidP="00FB2D39">
      <w:pPr>
        <w:jc w:val="both"/>
        <w:rPr>
          <w:rFonts w:ascii="Arial" w:hAnsi="Arial" w:cs="Arial"/>
          <w:b/>
          <w:sz w:val="22"/>
          <w:szCs w:val="22"/>
        </w:rPr>
      </w:pPr>
    </w:p>
    <w:p w14:paraId="07CEA690" w14:textId="1DD8A60D" w:rsidR="0083497D" w:rsidRPr="00371DCB" w:rsidRDefault="0083497D" w:rsidP="00FB2D39">
      <w:pPr>
        <w:jc w:val="both"/>
        <w:rPr>
          <w:rFonts w:ascii="Arial" w:hAnsi="Arial" w:cs="Arial"/>
          <w:b/>
          <w:sz w:val="22"/>
          <w:szCs w:val="22"/>
        </w:rPr>
      </w:pPr>
    </w:p>
    <w:p w14:paraId="1B66FBFE" w14:textId="77777777" w:rsidR="0083497D" w:rsidRPr="00371DCB" w:rsidRDefault="0083497D" w:rsidP="00FB2D39">
      <w:pPr>
        <w:jc w:val="both"/>
        <w:rPr>
          <w:rFonts w:ascii="Arial" w:hAnsi="Arial" w:cs="Arial"/>
          <w:b/>
          <w:sz w:val="22"/>
          <w:szCs w:val="22"/>
        </w:rPr>
      </w:pPr>
    </w:p>
    <w:p w14:paraId="02D2975F" w14:textId="4D9A0793" w:rsidR="00381D18" w:rsidRPr="00371DCB" w:rsidRDefault="00381D18" w:rsidP="00FB2D39">
      <w:pPr>
        <w:jc w:val="both"/>
        <w:rPr>
          <w:rFonts w:ascii="Arial" w:hAnsi="Arial" w:cs="Arial"/>
          <w:sz w:val="22"/>
          <w:szCs w:val="22"/>
        </w:rPr>
      </w:pPr>
    </w:p>
    <w:sectPr w:rsidR="00381D18" w:rsidRPr="00371DCB">
      <w:pgSz w:w="12240" w:h="15840" w:code="1"/>
      <w:pgMar w:top="1440" w:right="1440" w:bottom="1440" w:left="1440" w:header="720" w:footer="720" w:gutter="0"/>
      <w:paperSrc w:first="7" w:other="7"/>
      <w:cols w:space="720"/>
      <w:rtlGutter/>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46CA3" w14:textId="77777777" w:rsidR="00826232" w:rsidRDefault="00826232">
      <w:r>
        <w:separator/>
      </w:r>
    </w:p>
    <w:p w14:paraId="11789650" w14:textId="77777777" w:rsidR="00826232" w:rsidRDefault="00826232"/>
    <w:p w14:paraId="5A2B4085" w14:textId="77777777" w:rsidR="00826232" w:rsidRDefault="00826232"/>
    <w:p w14:paraId="485716C4" w14:textId="77777777" w:rsidR="00826232" w:rsidRDefault="00826232"/>
  </w:endnote>
  <w:endnote w:type="continuationSeparator" w:id="0">
    <w:p w14:paraId="40AA24F6" w14:textId="77777777" w:rsidR="00826232" w:rsidRDefault="00826232">
      <w:r>
        <w:continuationSeparator/>
      </w:r>
    </w:p>
    <w:p w14:paraId="5A58BBEB" w14:textId="77777777" w:rsidR="00826232" w:rsidRDefault="00826232"/>
    <w:p w14:paraId="192E1C50" w14:textId="77777777" w:rsidR="00826232" w:rsidRDefault="00826232"/>
    <w:p w14:paraId="1900D8CB" w14:textId="77777777" w:rsidR="00826232" w:rsidRDefault="00826232"/>
  </w:endnote>
  <w:endnote w:type="continuationNotice" w:id="1">
    <w:p w14:paraId="4D88E8B1" w14:textId="77777777" w:rsidR="00826232" w:rsidRDefault="00826232"/>
    <w:p w14:paraId="1853B029" w14:textId="77777777" w:rsidR="00826232" w:rsidRDefault="00826232"/>
    <w:p w14:paraId="5D99D0E9" w14:textId="77777777" w:rsidR="00826232" w:rsidRDefault="00826232"/>
    <w:p w14:paraId="70F06770" w14:textId="77777777" w:rsidR="00826232" w:rsidRDefault="00826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BC228" w14:textId="77777777" w:rsidR="00B971A8" w:rsidRDefault="00B97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shd w:val="clear" w:color="auto" w:fill="D9D9D9" w:themeFill="background1" w:themeFillShade="D9"/>
      <w:tblLook w:val="04A0" w:firstRow="1" w:lastRow="0" w:firstColumn="1" w:lastColumn="0" w:noHBand="0" w:noVBand="1"/>
    </w:tblPr>
    <w:tblGrid>
      <w:gridCol w:w="4675"/>
      <w:gridCol w:w="4675"/>
    </w:tblGrid>
    <w:tr w:rsidR="00B971A8" w14:paraId="769BD591" w14:textId="77777777" w:rsidTr="00A77308">
      <w:tc>
        <w:tcPr>
          <w:tcW w:w="4675" w:type="dxa"/>
          <w:shd w:val="clear" w:color="auto" w:fill="F2F2F2" w:themeFill="background1" w:themeFillShade="F2"/>
        </w:tcPr>
        <w:p w14:paraId="06748A03" w14:textId="64A830BE" w:rsidR="00B971A8" w:rsidRPr="00DB2CD1" w:rsidRDefault="00B971A8" w:rsidP="009D6FED">
          <w:pPr>
            <w:pStyle w:val="Header"/>
            <w:rPr>
              <w:sz w:val="19"/>
              <w:szCs w:val="19"/>
            </w:rPr>
          </w:pPr>
          <w:r w:rsidRPr="00DB2CD1">
            <w:rPr>
              <w:b/>
              <w:bCs/>
              <w:sz w:val="19"/>
              <w:szCs w:val="19"/>
            </w:rPr>
            <w:t>Date/version:</w:t>
          </w:r>
          <w:r>
            <w:rPr>
              <w:sz w:val="19"/>
              <w:szCs w:val="19"/>
            </w:rPr>
            <w:t xml:space="preserve"> May 09, 2020 – V1.0</w:t>
          </w:r>
        </w:p>
      </w:tc>
      <w:tc>
        <w:tcPr>
          <w:tcW w:w="4675" w:type="dxa"/>
          <w:shd w:val="clear" w:color="auto" w:fill="F2F2F2" w:themeFill="background1" w:themeFillShade="F2"/>
        </w:tcPr>
        <w:p w14:paraId="3FDF5A66" w14:textId="6B3309FF" w:rsidR="00B971A8" w:rsidRPr="00391897" w:rsidRDefault="00B971A8" w:rsidP="00391897">
          <w:pPr>
            <w:pStyle w:val="Header"/>
            <w:rPr>
              <w:b/>
              <w:bCs/>
              <w:sz w:val="19"/>
              <w:szCs w:val="19"/>
            </w:rPr>
          </w:pPr>
          <w:r>
            <w:rPr>
              <w:b/>
              <w:bCs/>
              <w:sz w:val="19"/>
              <w:szCs w:val="19"/>
            </w:rPr>
            <w:t xml:space="preserve">Page: </w:t>
          </w:r>
          <w:r>
            <w:rPr>
              <w:b/>
              <w:bCs/>
              <w:sz w:val="19"/>
              <w:szCs w:val="19"/>
            </w:rPr>
            <w:fldChar w:fldCharType="begin"/>
          </w:r>
          <w:r>
            <w:rPr>
              <w:b/>
              <w:bCs/>
              <w:sz w:val="19"/>
              <w:szCs w:val="19"/>
            </w:rPr>
            <w:instrText xml:space="preserve"> PAGE  \* MERGEFORMAT </w:instrText>
          </w:r>
          <w:r>
            <w:rPr>
              <w:b/>
              <w:bCs/>
              <w:sz w:val="19"/>
              <w:szCs w:val="19"/>
            </w:rPr>
            <w:fldChar w:fldCharType="separate"/>
          </w:r>
          <w:r>
            <w:rPr>
              <w:b/>
              <w:bCs/>
              <w:noProof/>
              <w:sz w:val="19"/>
              <w:szCs w:val="19"/>
            </w:rPr>
            <w:t>2</w:t>
          </w:r>
          <w:r>
            <w:rPr>
              <w:b/>
              <w:bCs/>
              <w:sz w:val="19"/>
              <w:szCs w:val="19"/>
            </w:rPr>
            <w:fldChar w:fldCharType="end"/>
          </w:r>
        </w:p>
      </w:tc>
    </w:tr>
  </w:tbl>
  <w:p w14:paraId="1A19F403" w14:textId="3DF54C15" w:rsidR="00B971A8" w:rsidRDefault="00B971A8" w:rsidP="00391897">
    <w:pPr>
      <w:tabs>
        <w:tab w:val="center"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6B9F7" w14:textId="77777777" w:rsidR="00B971A8" w:rsidRDefault="00B97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6DF93" w14:textId="77777777" w:rsidR="00826232" w:rsidRDefault="00826232">
      <w:r>
        <w:separator/>
      </w:r>
    </w:p>
    <w:p w14:paraId="0BCBED89" w14:textId="77777777" w:rsidR="00826232" w:rsidRDefault="00826232"/>
    <w:p w14:paraId="29646029" w14:textId="77777777" w:rsidR="00826232" w:rsidRDefault="00826232"/>
    <w:p w14:paraId="0AC9D200" w14:textId="77777777" w:rsidR="00826232" w:rsidRDefault="00826232"/>
  </w:footnote>
  <w:footnote w:type="continuationSeparator" w:id="0">
    <w:p w14:paraId="7746E911" w14:textId="77777777" w:rsidR="00826232" w:rsidRDefault="00826232">
      <w:r>
        <w:continuationSeparator/>
      </w:r>
    </w:p>
    <w:p w14:paraId="766832E0" w14:textId="77777777" w:rsidR="00826232" w:rsidRDefault="00826232"/>
    <w:p w14:paraId="1674A567" w14:textId="77777777" w:rsidR="00826232" w:rsidRDefault="00826232"/>
    <w:p w14:paraId="13FA14CC" w14:textId="77777777" w:rsidR="00826232" w:rsidRDefault="00826232"/>
  </w:footnote>
  <w:footnote w:type="continuationNotice" w:id="1">
    <w:p w14:paraId="2206335D" w14:textId="77777777" w:rsidR="00826232" w:rsidRDefault="00826232"/>
    <w:p w14:paraId="62ED4994" w14:textId="77777777" w:rsidR="00826232" w:rsidRDefault="00826232"/>
    <w:p w14:paraId="442CA7F4" w14:textId="77777777" w:rsidR="00826232" w:rsidRDefault="00826232"/>
    <w:p w14:paraId="003418C8" w14:textId="77777777" w:rsidR="00826232" w:rsidRDefault="008262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C0D6" w14:textId="77777777" w:rsidR="00B971A8" w:rsidRDefault="00B97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0"/>
      <w:tblW w:w="0" w:type="auto"/>
      <w:shd w:val="clear" w:color="auto" w:fill="D9D9D9"/>
      <w:tblLook w:val="04A0" w:firstRow="1" w:lastRow="0" w:firstColumn="1" w:lastColumn="0" w:noHBand="0" w:noVBand="1"/>
    </w:tblPr>
    <w:tblGrid>
      <w:gridCol w:w="9350"/>
    </w:tblGrid>
    <w:tr w:rsidR="00B971A8" w:rsidRPr="00391897" w14:paraId="6B000823" w14:textId="77777777" w:rsidTr="00A77308">
      <w:tc>
        <w:tcPr>
          <w:tcW w:w="9350" w:type="dxa"/>
          <w:tcBorders>
            <w:bottom w:val="single" w:sz="4" w:space="0" w:color="auto"/>
          </w:tcBorders>
          <w:shd w:val="clear" w:color="auto" w:fill="D9D9D9"/>
        </w:tcPr>
        <w:p w14:paraId="6A4B6F77" w14:textId="77777777" w:rsidR="00B971A8" w:rsidRPr="00391897" w:rsidRDefault="00B971A8" w:rsidP="00391897">
          <w:pPr>
            <w:tabs>
              <w:tab w:val="center" w:pos="4513"/>
              <w:tab w:val="right" w:pos="9026"/>
            </w:tabs>
            <w:jc w:val="center"/>
            <w:rPr>
              <w:b/>
              <w:bCs/>
              <w:sz w:val="19"/>
              <w:szCs w:val="19"/>
            </w:rPr>
          </w:pPr>
          <w:r w:rsidRPr="00391897">
            <w:rPr>
              <w:b/>
              <w:bCs/>
              <w:sz w:val="19"/>
              <w:szCs w:val="19"/>
            </w:rPr>
            <w:t>Protocol</w:t>
          </w:r>
        </w:p>
      </w:tc>
    </w:tr>
    <w:tr w:rsidR="00B971A8" w:rsidRPr="00391897" w14:paraId="06C99653" w14:textId="77777777" w:rsidTr="00F25705">
      <w:tc>
        <w:tcPr>
          <w:tcW w:w="9350" w:type="dxa"/>
          <w:shd w:val="clear" w:color="auto" w:fill="F2F2F2"/>
        </w:tcPr>
        <w:p w14:paraId="2412F83A" w14:textId="2FEA5932" w:rsidR="00B971A8" w:rsidRPr="00391897" w:rsidRDefault="00B971A8" w:rsidP="006A1DCB">
          <w:pPr>
            <w:tabs>
              <w:tab w:val="center" w:pos="4513"/>
              <w:tab w:val="right" w:pos="9026"/>
            </w:tabs>
            <w:rPr>
              <w:sz w:val="19"/>
              <w:szCs w:val="19"/>
            </w:rPr>
          </w:pPr>
          <w:r w:rsidRPr="006A1DCB">
            <w:rPr>
              <w:b/>
              <w:bCs/>
              <w:sz w:val="19"/>
              <w:szCs w:val="19"/>
            </w:rPr>
            <w:t>Short title:</w:t>
          </w:r>
          <w:r w:rsidRPr="006A1DCB">
            <w:rPr>
              <w:sz w:val="19"/>
              <w:szCs w:val="19"/>
            </w:rPr>
            <w:t xml:space="preserve"> Outpatient Management of SARS-CoV-2 for High</w:t>
          </w:r>
          <w:r>
            <w:rPr>
              <w:sz w:val="19"/>
              <w:szCs w:val="19"/>
            </w:rPr>
            <w:t>-</w:t>
          </w:r>
          <w:r w:rsidRPr="006A1DCB">
            <w:rPr>
              <w:sz w:val="19"/>
              <w:szCs w:val="19"/>
            </w:rPr>
            <w:t>Risk Adults in LMI</w:t>
          </w:r>
          <w:r>
            <w:rPr>
              <w:sz w:val="19"/>
              <w:szCs w:val="19"/>
            </w:rPr>
            <w:t>Cs</w:t>
          </w:r>
        </w:p>
      </w:tc>
    </w:tr>
  </w:tbl>
  <w:p w14:paraId="1E8CB3AC" w14:textId="77777777" w:rsidR="00B971A8" w:rsidRDefault="00B971A8">
    <w:pPr>
      <w:tabs>
        <w:tab w:val="center" w:pos="6660"/>
        <w:tab w:val="right" w:pos="13230"/>
      </w:tabs>
      <w:rPr>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DDFA3" w14:textId="77777777" w:rsidR="00B971A8" w:rsidRDefault="00B97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1E23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1FA2F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6AE02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94EC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ED67F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C2BE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FA49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57E679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F8CE2AE"/>
    <w:lvl w:ilvl="0">
      <w:start w:val="1"/>
      <w:numFmt w:val="decimal"/>
      <w:pStyle w:val="ListNumber"/>
      <w:lvlText w:val="%1."/>
      <w:lvlJc w:val="left"/>
      <w:pPr>
        <w:tabs>
          <w:tab w:val="num" w:pos="360"/>
        </w:tabs>
        <w:ind w:left="360" w:hanging="360"/>
      </w:pPr>
    </w:lvl>
  </w:abstractNum>
  <w:abstractNum w:abstractNumId="9" w15:restartNumberingAfterBreak="0">
    <w:nsid w:val="00B24F4A"/>
    <w:multiLevelType w:val="multilevel"/>
    <w:tmpl w:val="E49CC518"/>
    <w:lvl w:ilvl="0">
      <w:start w:val="1"/>
      <w:numFmt w:val="decimal"/>
      <w:lvlText w:val="%1."/>
      <w:lvlJc w:val="left"/>
      <w:pPr>
        <w:ind w:left="3338" w:hanging="360"/>
      </w:pPr>
      <w:rPr>
        <w:rFonts w:ascii="Times New Roman" w:hAnsi="Times New Roman" w:hint="default"/>
        <w:b/>
        <w:i w:val="0"/>
        <w:caps w:val="0"/>
        <w:strike w:val="0"/>
        <w:dstrike w:val="0"/>
        <w:snapToGrid w:val="0"/>
        <w:vanish w:val="0"/>
        <w:color w:val="auto"/>
        <w:spacing w:val="0"/>
        <w:w w:val="100"/>
        <w:kern w:val="0"/>
        <w:position w:val="0"/>
        <w:sz w:val="32"/>
        <w:u w:val="none"/>
        <w:vertAlign w:val="baseline"/>
      </w:rPr>
    </w:lvl>
    <w:lvl w:ilvl="1">
      <w:start w:val="1"/>
      <w:numFmt w:val="decimal"/>
      <w:lvlText w:val="%1.%2."/>
      <w:lvlJc w:val="left"/>
      <w:pPr>
        <w:tabs>
          <w:tab w:val="num" w:pos="720"/>
        </w:tabs>
        <w:ind w:left="720" w:hanging="720"/>
      </w:pPr>
      <w:rPr>
        <w:rFonts w:ascii="Arial" w:eastAsia="MS Gothic" w:hAnsi="Arial" w:cs="Times New Roman" w:hint="default"/>
        <w:b/>
        <w:i w:val="0"/>
        <w:caps w:val="0"/>
        <w:strike w:val="0"/>
        <w:dstrike w:val="0"/>
        <w:snapToGrid w:val="0"/>
        <w:vanish w:val="0"/>
        <w:color w:val="auto"/>
        <w:spacing w:val="0"/>
        <w:w w:val="100"/>
        <w:kern w:val="0"/>
        <w:position w:val="0"/>
        <w:sz w:val="24"/>
        <w:u w:val="none"/>
        <w:effect w:val="none"/>
        <w:vertAlign w:val="baseline"/>
      </w:rPr>
    </w:lvl>
    <w:lvl w:ilvl="2">
      <w:start w:val="1"/>
      <w:numFmt w:val="decimal"/>
      <w:lvlText w:val="%1.%2.%3."/>
      <w:lvlJc w:val="left"/>
      <w:pPr>
        <w:tabs>
          <w:tab w:val="num" w:pos="3738"/>
        </w:tabs>
        <w:ind w:left="3738" w:hanging="902"/>
      </w:pPr>
      <w:rPr>
        <w:rFonts w:ascii="Arial" w:eastAsia="MS Gothic" w:hAnsi="Arial" w:cs="Times New Roman" w:hint="default"/>
        <w:b/>
        <w:i/>
        <w:caps w:val="0"/>
        <w:strike w:val="0"/>
        <w:dstrike w:val="0"/>
        <w:snapToGrid w:val="0"/>
        <w:vanish w:val="0"/>
        <w:color w:val="auto"/>
        <w:spacing w:val="0"/>
        <w:w w:val="100"/>
        <w:kern w:val="0"/>
        <w:position w:val="0"/>
        <w:sz w:val="28"/>
        <w:u w:val="none"/>
        <w:vertAlign w:val="baseline"/>
      </w:rPr>
    </w:lvl>
    <w:lvl w:ilvl="3">
      <w:start w:val="1"/>
      <w:numFmt w:val="decimal"/>
      <w:lvlText w:val="%1.%2.%3.%4."/>
      <w:lvlJc w:val="left"/>
      <w:pPr>
        <w:tabs>
          <w:tab w:val="num" w:pos="1009"/>
        </w:tabs>
        <w:ind w:left="1009" w:hanging="1009"/>
      </w:pPr>
      <w:rPr>
        <w:rFonts w:ascii="Arial" w:eastAsia="MS Gothic" w:hAnsi="Arial" w:cs="Times New Roman" w:hint="default"/>
        <w:b/>
        <w:i w:val="0"/>
        <w:caps w:val="0"/>
        <w:strike w:val="0"/>
        <w:dstrike w:val="0"/>
        <w:snapToGrid w:val="0"/>
        <w:vanish w:val="0"/>
        <w:color w:val="auto"/>
        <w:spacing w:val="0"/>
        <w:w w:val="100"/>
        <w:kern w:val="0"/>
        <w:position w:val="0"/>
        <w:sz w:val="24"/>
        <w:u w:val="none"/>
        <w:vertAlign w:val="baseline"/>
      </w:rPr>
    </w:lvl>
    <w:lvl w:ilvl="4">
      <w:start w:val="1"/>
      <w:numFmt w:val="decimal"/>
      <w:lvlText w:val="%1.%2.%3.%4.%5."/>
      <w:lvlJc w:val="left"/>
      <w:pPr>
        <w:tabs>
          <w:tab w:val="num" w:pos="1168"/>
        </w:tabs>
        <w:ind w:left="1168" w:hanging="1168"/>
      </w:pPr>
      <w:rPr>
        <w:rFonts w:ascii="Arial" w:eastAsia="MS Gothic" w:hAnsi="Arial" w:cs="Times New Roman" w:hint="default"/>
        <w:b/>
        <w:i/>
        <w:caps w:val="0"/>
        <w:strike w:val="0"/>
        <w:dstrike w:val="0"/>
        <w:snapToGrid w:val="0"/>
        <w:vanish w:val="0"/>
        <w:color w:val="auto"/>
        <w:spacing w:val="0"/>
        <w:w w:val="100"/>
        <w:kern w:val="0"/>
        <w:position w:val="0"/>
        <w:sz w:val="24"/>
        <w:u w:val="none"/>
        <w:vertAlign w:val="baseline"/>
      </w:rPr>
    </w:lvl>
    <w:lvl w:ilvl="5">
      <w:start w:val="1"/>
      <w:numFmt w:val="decimal"/>
      <w:lvlText w:val="%1.%2.%3.%4.%5.%6."/>
      <w:lvlJc w:val="left"/>
      <w:pPr>
        <w:tabs>
          <w:tab w:val="num" w:pos="1355"/>
        </w:tabs>
        <w:ind w:left="1355" w:hanging="1355"/>
      </w:pPr>
      <w:rPr>
        <w:rFonts w:ascii="Arial" w:eastAsia="MS Gothic" w:hAnsi="Arial" w:cs="Times New Roman" w:hint="default"/>
        <w:b/>
        <w:i w:val="0"/>
        <w:caps w:val="0"/>
        <w:strike w:val="0"/>
        <w:dstrike w:val="0"/>
        <w:snapToGrid w:val="0"/>
        <w:vanish w:val="0"/>
        <w:color w:val="auto"/>
        <w:spacing w:val="0"/>
        <w:w w:val="100"/>
        <w:kern w:val="0"/>
        <w:position w:val="0"/>
        <w:sz w:val="22"/>
        <w:u w:val="none"/>
        <w:vertAlign w:val="baseline"/>
      </w:rPr>
    </w:lvl>
    <w:lvl w:ilvl="6">
      <w:start w:val="1"/>
      <w:numFmt w:val="decimal"/>
      <w:pStyle w:val="Heading7"/>
      <w:lvlText w:val="%1.%2.%3.%4.%5.%6.%7."/>
      <w:lvlJc w:val="left"/>
      <w:pPr>
        <w:tabs>
          <w:tab w:val="num" w:pos="1531"/>
        </w:tabs>
        <w:ind w:left="1531" w:hanging="1531"/>
      </w:pPr>
      <w:rPr>
        <w:rFonts w:ascii="Arial" w:eastAsia="MS Gothic" w:hAnsi="Arial" w:cs="Times New Roman" w:hint="default"/>
        <w:b/>
        <w:i/>
        <w:caps w:val="0"/>
        <w:strike w:val="0"/>
        <w:dstrike w:val="0"/>
        <w:snapToGrid w:val="0"/>
        <w:vanish w:val="0"/>
        <w:color w:val="auto"/>
        <w:spacing w:val="0"/>
        <w:w w:val="100"/>
        <w:kern w:val="0"/>
        <w:position w:val="0"/>
        <w:sz w:val="22"/>
        <w:u w:val="none"/>
        <w:vertAlign w:val="baseline"/>
      </w:rPr>
    </w:lvl>
    <w:lvl w:ilvl="7">
      <w:start w:val="1"/>
      <w:numFmt w:val="decimal"/>
      <w:pStyle w:val="Heading8"/>
      <w:lvlText w:val="%1.%2.%3.%4.%5.%6.%7.%8."/>
      <w:lvlJc w:val="left"/>
      <w:pPr>
        <w:tabs>
          <w:tab w:val="num" w:pos="1758"/>
        </w:tabs>
        <w:ind w:left="1758" w:hanging="1758"/>
      </w:pPr>
      <w:rPr>
        <w:rFonts w:ascii="Arial" w:eastAsia="MS Gothic" w:hAnsi="Arial" w:cs="Times New Roman" w:hint="default"/>
        <w:b/>
        <w:i w:val="0"/>
        <w:caps w:val="0"/>
        <w:strike w:val="0"/>
        <w:dstrike w:val="0"/>
        <w:snapToGrid w:val="0"/>
        <w:vanish w:val="0"/>
        <w:color w:val="auto"/>
        <w:spacing w:val="0"/>
        <w:w w:val="100"/>
        <w:kern w:val="0"/>
        <w:position w:val="0"/>
        <w:sz w:val="21"/>
        <w:u w:val="none"/>
        <w:vertAlign w:val="baseline"/>
      </w:rPr>
    </w:lvl>
    <w:lvl w:ilvl="8">
      <w:start w:val="1"/>
      <w:numFmt w:val="decimal"/>
      <w:pStyle w:val="Heading9"/>
      <w:lvlText w:val="%1.%2.%3.%4.%5.%6.%7.%8.%9."/>
      <w:lvlJc w:val="left"/>
      <w:pPr>
        <w:tabs>
          <w:tab w:val="num" w:pos="1985"/>
        </w:tabs>
        <w:ind w:left="1985" w:hanging="1985"/>
      </w:pPr>
      <w:rPr>
        <w:rFonts w:ascii="Arial" w:eastAsia="MS Gothic" w:hAnsi="Arial" w:cs="Times New Roman" w:hint="default"/>
        <w:b/>
        <w:i/>
        <w:caps w:val="0"/>
        <w:strike w:val="0"/>
        <w:dstrike w:val="0"/>
        <w:snapToGrid w:val="0"/>
        <w:vanish w:val="0"/>
        <w:color w:val="auto"/>
        <w:spacing w:val="0"/>
        <w:w w:val="100"/>
        <w:kern w:val="0"/>
        <w:position w:val="0"/>
        <w:sz w:val="21"/>
        <w:u w:val="none"/>
        <w:vertAlign w:val="baseline"/>
      </w:rPr>
    </w:lvl>
  </w:abstractNum>
  <w:abstractNum w:abstractNumId="10" w15:restartNumberingAfterBreak="0">
    <w:nsid w:val="065F093E"/>
    <w:multiLevelType w:val="hybridMultilevel"/>
    <w:tmpl w:val="FF4A6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452F91"/>
    <w:multiLevelType w:val="hybridMultilevel"/>
    <w:tmpl w:val="F4CA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CC0A5C"/>
    <w:multiLevelType w:val="hybridMultilevel"/>
    <w:tmpl w:val="21E6D5E8"/>
    <w:lvl w:ilvl="0" w:tplc="BC4AEF8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29031C"/>
    <w:multiLevelType w:val="hybridMultilevel"/>
    <w:tmpl w:val="E3026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514FC7"/>
    <w:multiLevelType w:val="singleLevel"/>
    <w:tmpl w:val="1A9414BA"/>
    <w:lvl w:ilvl="0">
      <w:start w:val="1"/>
      <w:numFmt w:val="lowerLetter"/>
      <w:pStyle w:val="listalpha"/>
      <w:lvlText w:val="%1."/>
      <w:lvlJc w:val="left"/>
      <w:pPr>
        <w:tabs>
          <w:tab w:val="num" w:pos="432"/>
        </w:tabs>
        <w:ind w:left="432" w:hanging="432"/>
      </w:pPr>
      <w:rPr>
        <w:rFonts w:ascii="Times New Roman" w:hAnsi="Times New Roman" w:cs="Times New Roman" w:hint="default"/>
      </w:rPr>
    </w:lvl>
  </w:abstractNum>
  <w:abstractNum w:abstractNumId="15" w15:restartNumberingAfterBreak="0">
    <w:nsid w:val="153A0E1D"/>
    <w:multiLevelType w:val="hybridMultilevel"/>
    <w:tmpl w:val="21E6D5E8"/>
    <w:lvl w:ilvl="0" w:tplc="BC4AEF8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CE4708"/>
    <w:multiLevelType w:val="hybridMultilevel"/>
    <w:tmpl w:val="7A5C78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0213C7"/>
    <w:multiLevelType w:val="hybridMultilevel"/>
    <w:tmpl w:val="C9BA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83F31"/>
    <w:multiLevelType w:val="hybridMultilevel"/>
    <w:tmpl w:val="A590F580"/>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962DF9"/>
    <w:multiLevelType w:val="hybridMultilevel"/>
    <w:tmpl w:val="E39ED7F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0" w15:restartNumberingAfterBreak="0">
    <w:nsid w:val="29C65853"/>
    <w:multiLevelType w:val="hybridMultilevel"/>
    <w:tmpl w:val="73200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8D7CF9"/>
    <w:multiLevelType w:val="hybridMultilevel"/>
    <w:tmpl w:val="867249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E79162A"/>
    <w:multiLevelType w:val="hybridMultilevel"/>
    <w:tmpl w:val="1ACA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411325"/>
    <w:multiLevelType w:val="hybridMultilevel"/>
    <w:tmpl w:val="2F4831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035190D"/>
    <w:multiLevelType w:val="singleLevel"/>
    <w:tmpl w:val="6EA66680"/>
    <w:lvl w:ilvl="0">
      <w:start w:val="1"/>
      <w:numFmt w:val="bullet"/>
      <w:pStyle w:val="listbull"/>
      <w:lvlText w:val=""/>
      <w:lvlJc w:val="left"/>
      <w:pPr>
        <w:tabs>
          <w:tab w:val="num" w:pos="432"/>
        </w:tabs>
        <w:ind w:left="432" w:hanging="432"/>
      </w:pPr>
      <w:rPr>
        <w:rFonts w:ascii="Symbol" w:hAnsi="Symbol" w:cs="Symbol" w:hint="default"/>
      </w:rPr>
    </w:lvl>
  </w:abstractNum>
  <w:abstractNum w:abstractNumId="25" w15:restartNumberingAfterBreak="0">
    <w:nsid w:val="319D14C6"/>
    <w:multiLevelType w:val="hybridMultilevel"/>
    <w:tmpl w:val="44B4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436F9D"/>
    <w:multiLevelType w:val="hybridMultilevel"/>
    <w:tmpl w:val="5CDCF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DC298A"/>
    <w:multiLevelType w:val="hybridMultilevel"/>
    <w:tmpl w:val="BC36D8CE"/>
    <w:lvl w:ilvl="0" w:tplc="E3E8E54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8" w15:restartNumberingAfterBreak="0">
    <w:nsid w:val="35A54175"/>
    <w:multiLevelType w:val="hybridMultilevel"/>
    <w:tmpl w:val="EBA0FD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6367896"/>
    <w:multiLevelType w:val="hybridMultilevel"/>
    <w:tmpl w:val="851C1F56"/>
    <w:lvl w:ilvl="0" w:tplc="04090001">
      <w:start w:val="1"/>
      <w:numFmt w:val="bullet"/>
      <w:lvlText w:val=""/>
      <w:lvlJc w:val="left"/>
      <w:pPr>
        <w:ind w:left="1080" w:hanging="360"/>
      </w:pPr>
      <w:rPr>
        <w:rFonts w:ascii="Symbol" w:hAnsi="Symbol" w:hint="default"/>
      </w:rPr>
    </w:lvl>
    <w:lvl w:ilvl="1" w:tplc="A7EC7920">
      <w:numFmt w:val="bullet"/>
      <w:lvlText w:val="•"/>
      <w:lvlJc w:val="left"/>
      <w:pPr>
        <w:ind w:left="2160" w:hanging="720"/>
      </w:pPr>
      <w:rPr>
        <w:rFonts w:ascii="Times New Roman" w:eastAsia="Calibr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A1D1A4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08745BC"/>
    <w:multiLevelType w:val="hybridMultilevel"/>
    <w:tmpl w:val="F6D03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12000A"/>
    <w:multiLevelType w:val="hybridMultilevel"/>
    <w:tmpl w:val="4D4256FA"/>
    <w:lvl w:ilvl="0" w:tplc="BC4AEF8E">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401EC0"/>
    <w:multiLevelType w:val="singleLevel"/>
    <w:tmpl w:val="2C62F932"/>
    <w:lvl w:ilvl="0">
      <w:start w:val="1"/>
      <w:numFmt w:val="bullet"/>
      <w:pStyle w:val="listindentbull"/>
      <w:lvlText w:val=""/>
      <w:lvlJc w:val="left"/>
      <w:pPr>
        <w:tabs>
          <w:tab w:val="num" w:pos="864"/>
        </w:tabs>
        <w:ind w:left="864" w:hanging="432"/>
      </w:pPr>
      <w:rPr>
        <w:rFonts w:ascii="Symbol" w:hAnsi="Symbol" w:cs="Symbol" w:hint="default"/>
        <w:color w:val="auto"/>
      </w:rPr>
    </w:lvl>
  </w:abstractNum>
  <w:abstractNum w:abstractNumId="34" w15:restartNumberingAfterBreak="0">
    <w:nsid w:val="4FB17FF6"/>
    <w:multiLevelType w:val="singleLevel"/>
    <w:tmpl w:val="B05686AA"/>
    <w:lvl w:ilvl="0">
      <w:start w:val="1"/>
      <w:numFmt w:val="decimal"/>
      <w:pStyle w:val="Title1"/>
      <w:lvlText w:val="%1."/>
      <w:legacy w:legacy="1" w:legacySpace="0" w:legacyIndent="283"/>
      <w:lvlJc w:val="left"/>
      <w:pPr>
        <w:ind w:left="283" w:hanging="283"/>
      </w:pPr>
    </w:lvl>
  </w:abstractNum>
  <w:abstractNum w:abstractNumId="35" w15:restartNumberingAfterBreak="0">
    <w:nsid w:val="50A107A4"/>
    <w:multiLevelType w:val="hybridMultilevel"/>
    <w:tmpl w:val="8016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AC7A1A"/>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54602ABD"/>
    <w:multiLevelType w:val="hybridMultilevel"/>
    <w:tmpl w:val="BE24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ED3DED"/>
    <w:multiLevelType w:val="hybridMultilevel"/>
    <w:tmpl w:val="9B9C2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69C68AC"/>
    <w:multiLevelType w:val="hybridMultilevel"/>
    <w:tmpl w:val="47D41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6126FD"/>
    <w:multiLevelType w:val="hybridMultilevel"/>
    <w:tmpl w:val="060E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642A2B"/>
    <w:multiLevelType w:val="hybridMultilevel"/>
    <w:tmpl w:val="21E6D5E8"/>
    <w:lvl w:ilvl="0" w:tplc="BC4AEF8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E633B6"/>
    <w:multiLevelType w:val="hybridMultilevel"/>
    <w:tmpl w:val="F930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6C3793"/>
    <w:multiLevelType w:val="multilevel"/>
    <w:tmpl w:val="7DC08B98"/>
    <w:lvl w:ilvl="0">
      <w:start w:val="1"/>
      <w:numFmt w:val="decimal"/>
      <w:pStyle w:val="Heading1"/>
      <w:lvlText w:val="%1."/>
      <w:lvlJc w:val="left"/>
      <w:pPr>
        <w:ind w:left="1080" w:hanging="108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ind w:left="1350" w:hanging="108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2640" w:hanging="108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1080"/>
        </w:tabs>
        <w:ind w:left="10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AF17F6D"/>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B7E17F7"/>
    <w:multiLevelType w:val="hybridMultilevel"/>
    <w:tmpl w:val="18E0AD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D273DC5"/>
    <w:multiLevelType w:val="hybridMultilevel"/>
    <w:tmpl w:val="0E2AA980"/>
    <w:lvl w:ilvl="0" w:tplc="02D02A38">
      <w:start w:val="1"/>
      <w:numFmt w:val="decimal"/>
      <w:lvlText w:val="%1."/>
      <w:lvlJc w:val="left"/>
      <w:pPr>
        <w:ind w:left="928" w:hanging="360"/>
      </w:pPr>
      <w:rPr>
        <w:rFonts w:hint="default"/>
        <w:color w:val="auto"/>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7" w15:restartNumberingAfterBreak="0">
    <w:nsid w:val="6F1F4EE0"/>
    <w:multiLevelType w:val="hybridMultilevel"/>
    <w:tmpl w:val="54C8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004667"/>
    <w:multiLevelType w:val="hybridMultilevel"/>
    <w:tmpl w:val="558C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12421B"/>
    <w:multiLevelType w:val="hybridMultilevel"/>
    <w:tmpl w:val="C95EA7EC"/>
    <w:lvl w:ilvl="0" w:tplc="AFDE5F4C">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FB76A9F"/>
    <w:multiLevelType w:val="hybridMultilevel"/>
    <w:tmpl w:val="400C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EE34B0"/>
    <w:multiLevelType w:val="hybridMultilevel"/>
    <w:tmpl w:val="FCAC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27"/>
  </w:num>
  <w:num w:numId="4">
    <w:abstractNumId w:val="38"/>
  </w:num>
  <w:num w:numId="5">
    <w:abstractNumId w:val="15"/>
  </w:num>
  <w:num w:numId="6">
    <w:abstractNumId w:val="46"/>
  </w:num>
  <w:num w:numId="7">
    <w:abstractNumId w:val="43"/>
  </w:num>
  <w:num w:numId="8">
    <w:abstractNumId w:val="40"/>
  </w:num>
  <w:num w:numId="9">
    <w:abstractNumId w:val="19"/>
  </w:num>
  <w:num w:numId="10">
    <w:abstractNumId w:val="34"/>
    <w:lvlOverride w:ilvl="0">
      <w:lvl w:ilvl="0">
        <w:start w:val="1"/>
        <w:numFmt w:val="decimal"/>
        <w:pStyle w:val="Title1"/>
        <w:lvlText w:val="%1."/>
        <w:legacy w:legacy="1" w:legacySpace="0" w:legacyIndent="283"/>
        <w:lvlJc w:val="left"/>
        <w:pPr>
          <w:ind w:left="5528" w:hanging="283"/>
        </w:pPr>
      </w:lvl>
    </w:lvlOverride>
  </w:num>
  <w:num w:numId="11">
    <w:abstractNumId w:val="37"/>
  </w:num>
  <w:num w:numId="12">
    <w:abstractNumId w:val="26"/>
  </w:num>
  <w:num w:numId="13">
    <w:abstractNumId w:val="39"/>
  </w:num>
  <w:num w:numId="14">
    <w:abstractNumId w:val="49"/>
  </w:num>
  <w:num w:numId="15">
    <w:abstractNumId w:val="30"/>
  </w:num>
  <w:num w:numId="16">
    <w:abstractNumId w:val="44"/>
  </w:num>
  <w:num w:numId="17">
    <w:abstractNumId w:val="36"/>
  </w:num>
  <w:num w:numId="18">
    <w:abstractNumId w:val="4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4"/>
  </w:num>
  <w:num w:numId="30">
    <w:abstractNumId w:val="24"/>
  </w:num>
  <w:num w:numId="31">
    <w:abstractNumId w:val="33"/>
  </w:num>
  <w:num w:numId="32">
    <w:abstractNumId w:val="45"/>
  </w:num>
  <w:num w:numId="33">
    <w:abstractNumId w:val="23"/>
  </w:num>
  <w:num w:numId="34">
    <w:abstractNumId w:val="28"/>
  </w:num>
  <w:num w:numId="35">
    <w:abstractNumId w:val="22"/>
  </w:num>
  <w:num w:numId="36">
    <w:abstractNumId w:val="50"/>
  </w:num>
  <w:num w:numId="37">
    <w:abstractNumId w:val="51"/>
  </w:num>
  <w:num w:numId="38">
    <w:abstractNumId w:val="31"/>
  </w:num>
  <w:num w:numId="39">
    <w:abstractNumId w:val="10"/>
  </w:num>
  <w:num w:numId="40">
    <w:abstractNumId w:val="47"/>
  </w:num>
  <w:num w:numId="41">
    <w:abstractNumId w:val="17"/>
  </w:num>
  <w:num w:numId="42">
    <w:abstractNumId w:val="25"/>
  </w:num>
  <w:num w:numId="43">
    <w:abstractNumId w:val="20"/>
  </w:num>
  <w:num w:numId="44">
    <w:abstractNumId w:val="13"/>
  </w:num>
  <w:num w:numId="45">
    <w:abstractNumId w:val="41"/>
  </w:num>
  <w:num w:numId="46">
    <w:abstractNumId w:val="12"/>
  </w:num>
  <w:num w:numId="47">
    <w:abstractNumId w:val="32"/>
  </w:num>
  <w:num w:numId="48">
    <w:abstractNumId w:val="21"/>
  </w:num>
  <w:num w:numId="49">
    <w:abstractNumId w:val="48"/>
  </w:num>
  <w:num w:numId="50">
    <w:abstractNumId w:val="11"/>
  </w:num>
  <w:num w:numId="51">
    <w:abstractNumId w:val="42"/>
  </w:num>
  <w:num w:numId="52">
    <w:abstractNumId w:val="35"/>
  </w:num>
  <w:num w:numId="53">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pl-PL" w:vendorID="64" w:dllVersion="4096" w:nlCheck="1" w:checkStyle="0"/>
  <w:activeWritingStyle w:appName="MSWord" w:lang="es-ES" w:vendorID="64" w:dllVersion="4096" w:nlCheck="1" w:checkStyle="0"/>
  <w:activeWritingStyle w:appName="MSWord" w:lang="it-IT" w:vendorID="64" w:dllVersion="4096" w:nlCheck="1" w:checkStyle="0"/>
  <w:activeWritingStyle w:appName="MSWord" w:lang="nl-NL" w:vendorID="64" w:dllVersion="6" w:nlCheck="1" w:checkStyle="0"/>
  <w:activeWritingStyle w:appName="MSWord" w:lang="de-DE" w:vendorID="64" w:dllVersion="6" w:nlCheck="1" w:checkStyle="0"/>
  <w:activeWritingStyle w:appName="MSWord" w:lang="it-IT" w:vendorID="64" w:dllVersion="6" w:nlCheck="1" w:checkStyle="0"/>
  <w:activeWritingStyle w:appName="MSWord" w:lang="en-CA" w:vendorID="64" w:dllVersion="4096" w:nlCheck="1" w:checkStyle="0"/>
  <w:activeWritingStyle w:appName="MSWord" w:lang="en-CA" w:vendorID="64" w:dllVersion="6" w:nlCheck="1" w:checkStyle="1"/>
  <w:activeWritingStyle w:appName="MSWord" w:lang="pt-BR" w:vendorID="64" w:dllVersion="4096" w:nlCheck="1" w:checkStyle="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en-ZA"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52xftpepftv2eepd2b5dps10se2pte52pps&quot;&gt;TOGETHER Trial&lt;record-ids&gt;&lt;item&gt;6&lt;/item&gt;&lt;item&gt;10&lt;/item&gt;&lt;item&gt;11&lt;/item&gt;&lt;item&gt;13&lt;/item&gt;&lt;item&gt;15&lt;/item&gt;&lt;item&gt;16&lt;/item&gt;&lt;item&gt;17&lt;/item&gt;&lt;item&gt;18&lt;/item&gt;&lt;item&gt;19&lt;/item&gt;&lt;item&gt;21&lt;/item&gt;&lt;item&gt;22&lt;/item&gt;&lt;item&gt;24&lt;/item&gt;&lt;item&gt;25&lt;/item&gt;&lt;item&gt;26&lt;/item&gt;&lt;item&gt;27&lt;/item&gt;&lt;item&gt;29&lt;/item&gt;&lt;item&gt;30&lt;/item&gt;&lt;item&gt;32&lt;/item&gt;&lt;item&gt;33&lt;/item&gt;&lt;item&gt;35&lt;/item&gt;&lt;item&gt;36&lt;/item&gt;&lt;item&gt;37&lt;/item&gt;&lt;item&gt;39&lt;/item&gt;&lt;item&gt;40&lt;/item&gt;&lt;item&gt;41&lt;/item&gt;&lt;item&gt;44&lt;/item&gt;&lt;item&gt;45&lt;/item&gt;&lt;item&gt;46&lt;/item&gt;&lt;item&gt;51&lt;/item&gt;&lt;item&gt;52&lt;/item&gt;&lt;item&gt;53&lt;/item&gt;&lt;/record-ids&gt;&lt;/item&gt;&lt;/Libraries&gt;"/>
    <w:docVar w:name="LibraryFilter" w:val="V2.1_CPT Library_Asthma Master.docx,V2.1_CPT_Library_Diabetes Master.docx|V2.1_CPT Library_Healthy Volunteer Master.docx,V2.1_CPT Library_Patient Master.docx|"/>
  </w:docVars>
  <w:rsids>
    <w:rsidRoot w:val="00433693"/>
    <w:rsid w:val="000006D8"/>
    <w:rsid w:val="00000742"/>
    <w:rsid w:val="00000749"/>
    <w:rsid w:val="000008AB"/>
    <w:rsid w:val="00000A78"/>
    <w:rsid w:val="00000E0A"/>
    <w:rsid w:val="0000119A"/>
    <w:rsid w:val="0000170B"/>
    <w:rsid w:val="0000193F"/>
    <w:rsid w:val="00001C91"/>
    <w:rsid w:val="00001DD2"/>
    <w:rsid w:val="00002B07"/>
    <w:rsid w:val="00002FFA"/>
    <w:rsid w:val="000036CA"/>
    <w:rsid w:val="00004415"/>
    <w:rsid w:val="000061B7"/>
    <w:rsid w:val="000067E4"/>
    <w:rsid w:val="00006AFB"/>
    <w:rsid w:val="00006F50"/>
    <w:rsid w:val="000079FD"/>
    <w:rsid w:val="00007DFA"/>
    <w:rsid w:val="000104A6"/>
    <w:rsid w:val="00010607"/>
    <w:rsid w:val="00010CC8"/>
    <w:rsid w:val="00010EE9"/>
    <w:rsid w:val="00011544"/>
    <w:rsid w:val="000116D1"/>
    <w:rsid w:val="00012007"/>
    <w:rsid w:val="000124F7"/>
    <w:rsid w:val="000125CB"/>
    <w:rsid w:val="000125D2"/>
    <w:rsid w:val="0001272E"/>
    <w:rsid w:val="000128CE"/>
    <w:rsid w:val="00012FE7"/>
    <w:rsid w:val="00013405"/>
    <w:rsid w:val="000137C8"/>
    <w:rsid w:val="000144AF"/>
    <w:rsid w:val="00014674"/>
    <w:rsid w:val="00014915"/>
    <w:rsid w:val="00014A11"/>
    <w:rsid w:val="00014AEC"/>
    <w:rsid w:val="00016318"/>
    <w:rsid w:val="000163B5"/>
    <w:rsid w:val="0001652C"/>
    <w:rsid w:val="00016D1E"/>
    <w:rsid w:val="00020C34"/>
    <w:rsid w:val="00020C45"/>
    <w:rsid w:val="00020CE8"/>
    <w:rsid w:val="000212F4"/>
    <w:rsid w:val="00021C30"/>
    <w:rsid w:val="00021D50"/>
    <w:rsid w:val="00022B67"/>
    <w:rsid w:val="00023DB9"/>
    <w:rsid w:val="0002402D"/>
    <w:rsid w:val="000243F6"/>
    <w:rsid w:val="00024993"/>
    <w:rsid w:val="00024C3C"/>
    <w:rsid w:val="00024FA7"/>
    <w:rsid w:val="000255AA"/>
    <w:rsid w:val="000259BE"/>
    <w:rsid w:val="00025A3A"/>
    <w:rsid w:val="00026A64"/>
    <w:rsid w:val="00027386"/>
    <w:rsid w:val="000303D1"/>
    <w:rsid w:val="000304DC"/>
    <w:rsid w:val="000305E4"/>
    <w:rsid w:val="0003061F"/>
    <w:rsid w:val="000316B6"/>
    <w:rsid w:val="00031796"/>
    <w:rsid w:val="000325E4"/>
    <w:rsid w:val="00032634"/>
    <w:rsid w:val="00033339"/>
    <w:rsid w:val="00033F2C"/>
    <w:rsid w:val="00034F51"/>
    <w:rsid w:val="00035052"/>
    <w:rsid w:val="00035468"/>
    <w:rsid w:val="000366A9"/>
    <w:rsid w:val="00036CB6"/>
    <w:rsid w:val="000378AE"/>
    <w:rsid w:val="0004034E"/>
    <w:rsid w:val="00040576"/>
    <w:rsid w:val="000405D4"/>
    <w:rsid w:val="00040E8A"/>
    <w:rsid w:val="00040F6B"/>
    <w:rsid w:val="000413B7"/>
    <w:rsid w:val="00041531"/>
    <w:rsid w:val="00041FA6"/>
    <w:rsid w:val="000432FC"/>
    <w:rsid w:val="000433CD"/>
    <w:rsid w:val="0004385F"/>
    <w:rsid w:val="00043A71"/>
    <w:rsid w:val="00044E35"/>
    <w:rsid w:val="000457C1"/>
    <w:rsid w:val="000458DF"/>
    <w:rsid w:val="00045A86"/>
    <w:rsid w:val="00045C0A"/>
    <w:rsid w:val="00045E7F"/>
    <w:rsid w:val="000466DA"/>
    <w:rsid w:val="000476FF"/>
    <w:rsid w:val="00047EA2"/>
    <w:rsid w:val="00050287"/>
    <w:rsid w:val="00050859"/>
    <w:rsid w:val="000524BE"/>
    <w:rsid w:val="0005263D"/>
    <w:rsid w:val="00052711"/>
    <w:rsid w:val="00052D53"/>
    <w:rsid w:val="0005308E"/>
    <w:rsid w:val="00053EC9"/>
    <w:rsid w:val="00054996"/>
    <w:rsid w:val="00054D78"/>
    <w:rsid w:val="00054E2E"/>
    <w:rsid w:val="00054E84"/>
    <w:rsid w:val="00055525"/>
    <w:rsid w:val="00055A89"/>
    <w:rsid w:val="00055D4A"/>
    <w:rsid w:val="00055DE2"/>
    <w:rsid w:val="0005610C"/>
    <w:rsid w:val="0005733F"/>
    <w:rsid w:val="0006081D"/>
    <w:rsid w:val="00060B18"/>
    <w:rsid w:val="00061053"/>
    <w:rsid w:val="000627DB"/>
    <w:rsid w:val="0006315D"/>
    <w:rsid w:val="0006369D"/>
    <w:rsid w:val="00063BAF"/>
    <w:rsid w:val="00064036"/>
    <w:rsid w:val="000659CE"/>
    <w:rsid w:val="000667AB"/>
    <w:rsid w:val="00066B94"/>
    <w:rsid w:val="00066F3F"/>
    <w:rsid w:val="00066F4E"/>
    <w:rsid w:val="00067F46"/>
    <w:rsid w:val="0007023C"/>
    <w:rsid w:val="00070825"/>
    <w:rsid w:val="00070A64"/>
    <w:rsid w:val="000720CD"/>
    <w:rsid w:val="000722F7"/>
    <w:rsid w:val="000725B6"/>
    <w:rsid w:val="00072643"/>
    <w:rsid w:val="000726CD"/>
    <w:rsid w:val="000730D6"/>
    <w:rsid w:val="00074115"/>
    <w:rsid w:val="000746A5"/>
    <w:rsid w:val="000746D3"/>
    <w:rsid w:val="00074CC2"/>
    <w:rsid w:val="00074E43"/>
    <w:rsid w:val="00074F45"/>
    <w:rsid w:val="000752EB"/>
    <w:rsid w:val="000756CC"/>
    <w:rsid w:val="00075906"/>
    <w:rsid w:val="00075EAC"/>
    <w:rsid w:val="00075F93"/>
    <w:rsid w:val="0007606A"/>
    <w:rsid w:val="000764A9"/>
    <w:rsid w:val="00076587"/>
    <w:rsid w:val="00076785"/>
    <w:rsid w:val="00076979"/>
    <w:rsid w:val="00076B96"/>
    <w:rsid w:val="00077003"/>
    <w:rsid w:val="00077267"/>
    <w:rsid w:val="00077518"/>
    <w:rsid w:val="0007759C"/>
    <w:rsid w:val="00077747"/>
    <w:rsid w:val="00077C72"/>
    <w:rsid w:val="000805F4"/>
    <w:rsid w:val="00080D90"/>
    <w:rsid w:val="00080F10"/>
    <w:rsid w:val="000817B6"/>
    <w:rsid w:val="00082965"/>
    <w:rsid w:val="00082DEC"/>
    <w:rsid w:val="00083C2A"/>
    <w:rsid w:val="00084156"/>
    <w:rsid w:val="00084623"/>
    <w:rsid w:val="000851EB"/>
    <w:rsid w:val="00085220"/>
    <w:rsid w:val="00085E99"/>
    <w:rsid w:val="000906DE"/>
    <w:rsid w:val="00090B86"/>
    <w:rsid w:val="00091BE8"/>
    <w:rsid w:val="00092139"/>
    <w:rsid w:val="0009283F"/>
    <w:rsid w:val="000928FA"/>
    <w:rsid w:val="0009316A"/>
    <w:rsid w:val="0009368F"/>
    <w:rsid w:val="00093B3F"/>
    <w:rsid w:val="0009409F"/>
    <w:rsid w:val="00094260"/>
    <w:rsid w:val="0009429D"/>
    <w:rsid w:val="00094403"/>
    <w:rsid w:val="00094695"/>
    <w:rsid w:val="00095F68"/>
    <w:rsid w:val="00095FB7"/>
    <w:rsid w:val="000976A7"/>
    <w:rsid w:val="00097AB5"/>
    <w:rsid w:val="00097C0A"/>
    <w:rsid w:val="000A03DE"/>
    <w:rsid w:val="000A06F1"/>
    <w:rsid w:val="000A09CA"/>
    <w:rsid w:val="000A0A85"/>
    <w:rsid w:val="000A1A1E"/>
    <w:rsid w:val="000A1C5C"/>
    <w:rsid w:val="000A22F0"/>
    <w:rsid w:val="000A28A3"/>
    <w:rsid w:val="000A2B29"/>
    <w:rsid w:val="000A325F"/>
    <w:rsid w:val="000A3397"/>
    <w:rsid w:val="000A3419"/>
    <w:rsid w:val="000A4B0B"/>
    <w:rsid w:val="000A58A5"/>
    <w:rsid w:val="000A6643"/>
    <w:rsid w:val="000A6B12"/>
    <w:rsid w:val="000A7235"/>
    <w:rsid w:val="000A73E7"/>
    <w:rsid w:val="000A791B"/>
    <w:rsid w:val="000A7C45"/>
    <w:rsid w:val="000A7F13"/>
    <w:rsid w:val="000B00E4"/>
    <w:rsid w:val="000B01B1"/>
    <w:rsid w:val="000B093F"/>
    <w:rsid w:val="000B13A3"/>
    <w:rsid w:val="000B1441"/>
    <w:rsid w:val="000B152A"/>
    <w:rsid w:val="000B1A76"/>
    <w:rsid w:val="000B20D7"/>
    <w:rsid w:val="000B2207"/>
    <w:rsid w:val="000B2617"/>
    <w:rsid w:val="000B49ED"/>
    <w:rsid w:val="000B561B"/>
    <w:rsid w:val="000B593F"/>
    <w:rsid w:val="000B5AD0"/>
    <w:rsid w:val="000B5E29"/>
    <w:rsid w:val="000B67E9"/>
    <w:rsid w:val="000B7159"/>
    <w:rsid w:val="000B7A79"/>
    <w:rsid w:val="000B7E76"/>
    <w:rsid w:val="000C31A8"/>
    <w:rsid w:val="000C325A"/>
    <w:rsid w:val="000C3F8D"/>
    <w:rsid w:val="000C46C6"/>
    <w:rsid w:val="000C4F03"/>
    <w:rsid w:val="000C50BB"/>
    <w:rsid w:val="000C50ED"/>
    <w:rsid w:val="000C53B5"/>
    <w:rsid w:val="000C5468"/>
    <w:rsid w:val="000C589A"/>
    <w:rsid w:val="000C5F57"/>
    <w:rsid w:val="000C5FD9"/>
    <w:rsid w:val="000C6702"/>
    <w:rsid w:val="000C6A38"/>
    <w:rsid w:val="000C6F47"/>
    <w:rsid w:val="000C71DC"/>
    <w:rsid w:val="000C730E"/>
    <w:rsid w:val="000C75B9"/>
    <w:rsid w:val="000D03ED"/>
    <w:rsid w:val="000D05FE"/>
    <w:rsid w:val="000D080F"/>
    <w:rsid w:val="000D08A2"/>
    <w:rsid w:val="000D0AAF"/>
    <w:rsid w:val="000D1A2C"/>
    <w:rsid w:val="000D26F9"/>
    <w:rsid w:val="000D2F23"/>
    <w:rsid w:val="000D37C9"/>
    <w:rsid w:val="000D3898"/>
    <w:rsid w:val="000D4280"/>
    <w:rsid w:val="000D48C1"/>
    <w:rsid w:val="000D5B36"/>
    <w:rsid w:val="000D67A0"/>
    <w:rsid w:val="000D6A70"/>
    <w:rsid w:val="000D6BEA"/>
    <w:rsid w:val="000D768E"/>
    <w:rsid w:val="000E07EA"/>
    <w:rsid w:val="000E09F8"/>
    <w:rsid w:val="000E0ECF"/>
    <w:rsid w:val="000E118E"/>
    <w:rsid w:val="000E18FA"/>
    <w:rsid w:val="000E1AB4"/>
    <w:rsid w:val="000E1DEB"/>
    <w:rsid w:val="000E20D1"/>
    <w:rsid w:val="000E224B"/>
    <w:rsid w:val="000E2303"/>
    <w:rsid w:val="000E231B"/>
    <w:rsid w:val="000E2F08"/>
    <w:rsid w:val="000E31C4"/>
    <w:rsid w:val="000E3E2F"/>
    <w:rsid w:val="000E3F17"/>
    <w:rsid w:val="000E46D7"/>
    <w:rsid w:val="000E48ED"/>
    <w:rsid w:val="000E4C3E"/>
    <w:rsid w:val="000E5662"/>
    <w:rsid w:val="000E5D86"/>
    <w:rsid w:val="000E5F0E"/>
    <w:rsid w:val="000E65C9"/>
    <w:rsid w:val="000E6B0C"/>
    <w:rsid w:val="000E6B1D"/>
    <w:rsid w:val="000E71BF"/>
    <w:rsid w:val="000E7D19"/>
    <w:rsid w:val="000E7D27"/>
    <w:rsid w:val="000F0189"/>
    <w:rsid w:val="000F0459"/>
    <w:rsid w:val="000F0C7D"/>
    <w:rsid w:val="000F0FCE"/>
    <w:rsid w:val="000F194D"/>
    <w:rsid w:val="000F1F68"/>
    <w:rsid w:val="000F41AE"/>
    <w:rsid w:val="000F5031"/>
    <w:rsid w:val="000F54F2"/>
    <w:rsid w:val="000F5A45"/>
    <w:rsid w:val="000F6C5D"/>
    <w:rsid w:val="000F6C7E"/>
    <w:rsid w:val="000F6D8D"/>
    <w:rsid w:val="000F731F"/>
    <w:rsid w:val="000F7329"/>
    <w:rsid w:val="000F7402"/>
    <w:rsid w:val="000F745D"/>
    <w:rsid w:val="000F7C29"/>
    <w:rsid w:val="000F7CBD"/>
    <w:rsid w:val="0010028C"/>
    <w:rsid w:val="00101023"/>
    <w:rsid w:val="00101229"/>
    <w:rsid w:val="0010145A"/>
    <w:rsid w:val="00101E9D"/>
    <w:rsid w:val="00102036"/>
    <w:rsid w:val="00103229"/>
    <w:rsid w:val="00103542"/>
    <w:rsid w:val="00103A3A"/>
    <w:rsid w:val="00103BC4"/>
    <w:rsid w:val="00104BB2"/>
    <w:rsid w:val="0010577A"/>
    <w:rsid w:val="001059F8"/>
    <w:rsid w:val="00106AA2"/>
    <w:rsid w:val="00107064"/>
    <w:rsid w:val="001070E8"/>
    <w:rsid w:val="0011024C"/>
    <w:rsid w:val="00110737"/>
    <w:rsid w:val="00110F84"/>
    <w:rsid w:val="00111A11"/>
    <w:rsid w:val="00112617"/>
    <w:rsid w:val="00114261"/>
    <w:rsid w:val="00114D0A"/>
    <w:rsid w:val="001157D0"/>
    <w:rsid w:val="00115964"/>
    <w:rsid w:val="001206D0"/>
    <w:rsid w:val="00120718"/>
    <w:rsid w:val="00120732"/>
    <w:rsid w:val="00120C7C"/>
    <w:rsid w:val="00121412"/>
    <w:rsid w:val="0012188A"/>
    <w:rsid w:val="00121C34"/>
    <w:rsid w:val="00121E43"/>
    <w:rsid w:val="001228C7"/>
    <w:rsid w:val="00122957"/>
    <w:rsid w:val="00122CC6"/>
    <w:rsid w:val="00122D9D"/>
    <w:rsid w:val="00123BF8"/>
    <w:rsid w:val="00124012"/>
    <w:rsid w:val="00124373"/>
    <w:rsid w:val="0012477D"/>
    <w:rsid w:val="00124891"/>
    <w:rsid w:val="00125B19"/>
    <w:rsid w:val="00125CEC"/>
    <w:rsid w:val="00126A7E"/>
    <w:rsid w:val="00126A97"/>
    <w:rsid w:val="00126B8A"/>
    <w:rsid w:val="00126CEA"/>
    <w:rsid w:val="0012707B"/>
    <w:rsid w:val="00127935"/>
    <w:rsid w:val="00130066"/>
    <w:rsid w:val="00130999"/>
    <w:rsid w:val="001309BC"/>
    <w:rsid w:val="00130ADF"/>
    <w:rsid w:val="00130AE9"/>
    <w:rsid w:val="00130F72"/>
    <w:rsid w:val="00133355"/>
    <w:rsid w:val="001334D2"/>
    <w:rsid w:val="0013352E"/>
    <w:rsid w:val="001346C1"/>
    <w:rsid w:val="001351C9"/>
    <w:rsid w:val="00135A9C"/>
    <w:rsid w:val="0013639F"/>
    <w:rsid w:val="00136995"/>
    <w:rsid w:val="001369D5"/>
    <w:rsid w:val="00136C95"/>
    <w:rsid w:val="001372D8"/>
    <w:rsid w:val="00137D66"/>
    <w:rsid w:val="00140964"/>
    <w:rsid w:val="00141073"/>
    <w:rsid w:val="0014125D"/>
    <w:rsid w:val="00141313"/>
    <w:rsid w:val="00141A16"/>
    <w:rsid w:val="00141C58"/>
    <w:rsid w:val="0014240F"/>
    <w:rsid w:val="001426F3"/>
    <w:rsid w:val="001427BE"/>
    <w:rsid w:val="0014280A"/>
    <w:rsid w:val="00143BA5"/>
    <w:rsid w:val="001445A8"/>
    <w:rsid w:val="00144622"/>
    <w:rsid w:val="00144F92"/>
    <w:rsid w:val="001450E9"/>
    <w:rsid w:val="00145B02"/>
    <w:rsid w:val="001461FC"/>
    <w:rsid w:val="001463DC"/>
    <w:rsid w:val="00146D6E"/>
    <w:rsid w:val="00146D9F"/>
    <w:rsid w:val="001472B3"/>
    <w:rsid w:val="00147A99"/>
    <w:rsid w:val="00147F1D"/>
    <w:rsid w:val="0015090A"/>
    <w:rsid w:val="00152197"/>
    <w:rsid w:val="00152C17"/>
    <w:rsid w:val="0015437A"/>
    <w:rsid w:val="0015464D"/>
    <w:rsid w:val="00154D9F"/>
    <w:rsid w:val="00155143"/>
    <w:rsid w:val="001552F5"/>
    <w:rsid w:val="00155F92"/>
    <w:rsid w:val="001563A2"/>
    <w:rsid w:val="00156C88"/>
    <w:rsid w:val="0015713E"/>
    <w:rsid w:val="001571DF"/>
    <w:rsid w:val="00157859"/>
    <w:rsid w:val="00157962"/>
    <w:rsid w:val="00160253"/>
    <w:rsid w:val="00160B4A"/>
    <w:rsid w:val="00160D99"/>
    <w:rsid w:val="001610D2"/>
    <w:rsid w:val="001615BB"/>
    <w:rsid w:val="001624AB"/>
    <w:rsid w:val="001624FC"/>
    <w:rsid w:val="00162AE0"/>
    <w:rsid w:val="00162B89"/>
    <w:rsid w:val="00163066"/>
    <w:rsid w:val="001638F5"/>
    <w:rsid w:val="001640C7"/>
    <w:rsid w:val="001640F0"/>
    <w:rsid w:val="00164873"/>
    <w:rsid w:val="00166048"/>
    <w:rsid w:val="00166194"/>
    <w:rsid w:val="001663F3"/>
    <w:rsid w:val="00166FC9"/>
    <w:rsid w:val="00167759"/>
    <w:rsid w:val="001703FB"/>
    <w:rsid w:val="0017071B"/>
    <w:rsid w:val="00170B37"/>
    <w:rsid w:val="00170DA3"/>
    <w:rsid w:val="00172564"/>
    <w:rsid w:val="00174505"/>
    <w:rsid w:val="001745B8"/>
    <w:rsid w:val="00174E12"/>
    <w:rsid w:val="001759C5"/>
    <w:rsid w:val="00175A15"/>
    <w:rsid w:val="00175C9F"/>
    <w:rsid w:val="0017629F"/>
    <w:rsid w:val="00176E3E"/>
    <w:rsid w:val="00177739"/>
    <w:rsid w:val="001779DC"/>
    <w:rsid w:val="00177F7B"/>
    <w:rsid w:val="001807D1"/>
    <w:rsid w:val="00180AE6"/>
    <w:rsid w:val="001810AD"/>
    <w:rsid w:val="001811A5"/>
    <w:rsid w:val="0018156E"/>
    <w:rsid w:val="00181A48"/>
    <w:rsid w:val="00182318"/>
    <w:rsid w:val="001831B3"/>
    <w:rsid w:val="001839A9"/>
    <w:rsid w:val="00183EC8"/>
    <w:rsid w:val="00185017"/>
    <w:rsid w:val="001850E1"/>
    <w:rsid w:val="001854F2"/>
    <w:rsid w:val="00185535"/>
    <w:rsid w:val="00186264"/>
    <w:rsid w:val="001868DE"/>
    <w:rsid w:val="00186D18"/>
    <w:rsid w:val="00187C99"/>
    <w:rsid w:val="00187D5D"/>
    <w:rsid w:val="00187F13"/>
    <w:rsid w:val="001908BD"/>
    <w:rsid w:val="00190A9E"/>
    <w:rsid w:val="00190F4D"/>
    <w:rsid w:val="0019134A"/>
    <w:rsid w:val="001916BF"/>
    <w:rsid w:val="00192237"/>
    <w:rsid w:val="00192B99"/>
    <w:rsid w:val="0019364D"/>
    <w:rsid w:val="0019469E"/>
    <w:rsid w:val="0019504C"/>
    <w:rsid w:val="00196AD7"/>
    <w:rsid w:val="001A03E0"/>
    <w:rsid w:val="001A068B"/>
    <w:rsid w:val="001A0E81"/>
    <w:rsid w:val="001A116D"/>
    <w:rsid w:val="001A241B"/>
    <w:rsid w:val="001A24DD"/>
    <w:rsid w:val="001A2C6B"/>
    <w:rsid w:val="001A316B"/>
    <w:rsid w:val="001A4525"/>
    <w:rsid w:val="001A48AF"/>
    <w:rsid w:val="001A4992"/>
    <w:rsid w:val="001A4CEF"/>
    <w:rsid w:val="001A52B1"/>
    <w:rsid w:val="001A5B8B"/>
    <w:rsid w:val="001A5F8E"/>
    <w:rsid w:val="001A603D"/>
    <w:rsid w:val="001A7431"/>
    <w:rsid w:val="001A763A"/>
    <w:rsid w:val="001A77ED"/>
    <w:rsid w:val="001B0094"/>
    <w:rsid w:val="001B0E72"/>
    <w:rsid w:val="001B1448"/>
    <w:rsid w:val="001B17AB"/>
    <w:rsid w:val="001B1D24"/>
    <w:rsid w:val="001B236B"/>
    <w:rsid w:val="001B2DB8"/>
    <w:rsid w:val="001B2F39"/>
    <w:rsid w:val="001B333F"/>
    <w:rsid w:val="001B4454"/>
    <w:rsid w:val="001B47C6"/>
    <w:rsid w:val="001B49F6"/>
    <w:rsid w:val="001B4C47"/>
    <w:rsid w:val="001B4F24"/>
    <w:rsid w:val="001B50C1"/>
    <w:rsid w:val="001B7398"/>
    <w:rsid w:val="001B7646"/>
    <w:rsid w:val="001B76B4"/>
    <w:rsid w:val="001B7DF0"/>
    <w:rsid w:val="001B7F38"/>
    <w:rsid w:val="001B7F5D"/>
    <w:rsid w:val="001C1610"/>
    <w:rsid w:val="001C1898"/>
    <w:rsid w:val="001C23BF"/>
    <w:rsid w:val="001C2611"/>
    <w:rsid w:val="001C2987"/>
    <w:rsid w:val="001C2FF2"/>
    <w:rsid w:val="001C4432"/>
    <w:rsid w:val="001C44C1"/>
    <w:rsid w:val="001C47F4"/>
    <w:rsid w:val="001C4FF7"/>
    <w:rsid w:val="001C610E"/>
    <w:rsid w:val="001C64C6"/>
    <w:rsid w:val="001C6584"/>
    <w:rsid w:val="001C6CE6"/>
    <w:rsid w:val="001C74FC"/>
    <w:rsid w:val="001C77A5"/>
    <w:rsid w:val="001D06FF"/>
    <w:rsid w:val="001D09F7"/>
    <w:rsid w:val="001D125F"/>
    <w:rsid w:val="001D1326"/>
    <w:rsid w:val="001D141B"/>
    <w:rsid w:val="001D1DA0"/>
    <w:rsid w:val="001D2056"/>
    <w:rsid w:val="001D221B"/>
    <w:rsid w:val="001D2436"/>
    <w:rsid w:val="001D2D12"/>
    <w:rsid w:val="001D2D4C"/>
    <w:rsid w:val="001D2FA6"/>
    <w:rsid w:val="001D3453"/>
    <w:rsid w:val="001D3685"/>
    <w:rsid w:val="001D38F1"/>
    <w:rsid w:val="001D3B0D"/>
    <w:rsid w:val="001D3DC3"/>
    <w:rsid w:val="001D43C8"/>
    <w:rsid w:val="001D4672"/>
    <w:rsid w:val="001D478D"/>
    <w:rsid w:val="001D4873"/>
    <w:rsid w:val="001D53E2"/>
    <w:rsid w:val="001D541C"/>
    <w:rsid w:val="001D5886"/>
    <w:rsid w:val="001D59F7"/>
    <w:rsid w:val="001D637B"/>
    <w:rsid w:val="001D648A"/>
    <w:rsid w:val="001D6809"/>
    <w:rsid w:val="001D6DB2"/>
    <w:rsid w:val="001D7A30"/>
    <w:rsid w:val="001D7E1B"/>
    <w:rsid w:val="001E02D6"/>
    <w:rsid w:val="001E199C"/>
    <w:rsid w:val="001E2134"/>
    <w:rsid w:val="001E23C8"/>
    <w:rsid w:val="001E2FD4"/>
    <w:rsid w:val="001E304C"/>
    <w:rsid w:val="001E3071"/>
    <w:rsid w:val="001E3091"/>
    <w:rsid w:val="001E3383"/>
    <w:rsid w:val="001E46BD"/>
    <w:rsid w:val="001E4B8B"/>
    <w:rsid w:val="001E4D2D"/>
    <w:rsid w:val="001E51ED"/>
    <w:rsid w:val="001E5C5D"/>
    <w:rsid w:val="001E6F46"/>
    <w:rsid w:val="001E7044"/>
    <w:rsid w:val="001E7D14"/>
    <w:rsid w:val="001F04BB"/>
    <w:rsid w:val="001F093F"/>
    <w:rsid w:val="001F0DBA"/>
    <w:rsid w:val="001F0FC1"/>
    <w:rsid w:val="001F1159"/>
    <w:rsid w:val="001F126A"/>
    <w:rsid w:val="001F154A"/>
    <w:rsid w:val="001F1B1E"/>
    <w:rsid w:val="001F1DE0"/>
    <w:rsid w:val="001F1E5E"/>
    <w:rsid w:val="001F2418"/>
    <w:rsid w:val="001F2BF3"/>
    <w:rsid w:val="001F3C33"/>
    <w:rsid w:val="001F3D93"/>
    <w:rsid w:val="001F45DF"/>
    <w:rsid w:val="001F4C3B"/>
    <w:rsid w:val="001F4D7C"/>
    <w:rsid w:val="001F4E6E"/>
    <w:rsid w:val="001F4FE4"/>
    <w:rsid w:val="001F5CAD"/>
    <w:rsid w:val="001F6359"/>
    <w:rsid w:val="001F6CD2"/>
    <w:rsid w:val="001F6CD8"/>
    <w:rsid w:val="001F7410"/>
    <w:rsid w:val="001F7A8C"/>
    <w:rsid w:val="001F7B89"/>
    <w:rsid w:val="0020032D"/>
    <w:rsid w:val="00200350"/>
    <w:rsid w:val="00200BD1"/>
    <w:rsid w:val="002027B5"/>
    <w:rsid w:val="00202991"/>
    <w:rsid w:val="00203021"/>
    <w:rsid w:val="002034FA"/>
    <w:rsid w:val="00203607"/>
    <w:rsid w:val="00204B35"/>
    <w:rsid w:val="0020538A"/>
    <w:rsid w:val="00205520"/>
    <w:rsid w:val="00205C04"/>
    <w:rsid w:val="00206908"/>
    <w:rsid w:val="00206B21"/>
    <w:rsid w:val="00206E60"/>
    <w:rsid w:val="002071AA"/>
    <w:rsid w:val="00207494"/>
    <w:rsid w:val="00210144"/>
    <w:rsid w:val="00210C95"/>
    <w:rsid w:val="00210CE4"/>
    <w:rsid w:val="00210D94"/>
    <w:rsid w:val="00212200"/>
    <w:rsid w:val="00212AA5"/>
    <w:rsid w:val="00212C01"/>
    <w:rsid w:val="00213459"/>
    <w:rsid w:val="002137C8"/>
    <w:rsid w:val="00213B2E"/>
    <w:rsid w:val="0021512A"/>
    <w:rsid w:val="002157BF"/>
    <w:rsid w:val="002157D0"/>
    <w:rsid w:val="00216349"/>
    <w:rsid w:val="00216CBE"/>
    <w:rsid w:val="00216F4B"/>
    <w:rsid w:val="002172A6"/>
    <w:rsid w:val="002178C2"/>
    <w:rsid w:val="00220063"/>
    <w:rsid w:val="002209A0"/>
    <w:rsid w:val="002211ED"/>
    <w:rsid w:val="00221298"/>
    <w:rsid w:val="00221A90"/>
    <w:rsid w:val="00222055"/>
    <w:rsid w:val="0022272F"/>
    <w:rsid w:val="00222EA6"/>
    <w:rsid w:val="0022307A"/>
    <w:rsid w:val="00223382"/>
    <w:rsid w:val="00223F28"/>
    <w:rsid w:val="002240CE"/>
    <w:rsid w:val="002246AA"/>
    <w:rsid w:val="00224984"/>
    <w:rsid w:val="0022499B"/>
    <w:rsid w:val="00224BCB"/>
    <w:rsid w:val="00225443"/>
    <w:rsid w:val="00225E77"/>
    <w:rsid w:val="00226402"/>
    <w:rsid w:val="00227330"/>
    <w:rsid w:val="00227543"/>
    <w:rsid w:val="00227C67"/>
    <w:rsid w:val="00230242"/>
    <w:rsid w:val="002319E5"/>
    <w:rsid w:val="00231FAB"/>
    <w:rsid w:val="00232733"/>
    <w:rsid w:val="00232A71"/>
    <w:rsid w:val="00233110"/>
    <w:rsid w:val="002337CF"/>
    <w:rsid w:val="00233860"/>
    <w:rsid w:val="0023388C"/>
    <w:rsid w:val="00233B86"/>
    <w:rsid w:val="002341FE"/>
    <w:rsid w:val="0023473C"/>
    <w:rsid w:val="00234B3A"/>
    <w:rsid w:val="00234D21"/>
    <w:rsid w:val="00234E68"/>
    <w:rsid w:val="0023541F"/>
    <w:rsid w:val="00235723"/>
    <w:rsid w:val="002358B1"/>
    <w:rsid w:val="002361A6"/>
    <w:rsid w:val="00236464"/>
    <w:rsid w:val="0023683F"/>
    <w:rsid w:val="0023761F"/>
    <w:rsid w:val="002377F9"/>
    <w:rsid w:val="002378AA"/>
    <w:rsid w:val="00240556"/>
    <w:rsid w:val="002407B9"/>
    <w:rsid w:val="002408B4"/>
    <w:rsid w:val="00241430"/>
    <w:rsid w:val="002416C7"/>
    <w:rsid w:val="00241964"/>
    <w:rsid w:val="00241EBA"/>
    <w:rsid w:val="0024222A"/>
    <w:rsid w:val="002425FA"/>
    <w:rsid w:val="00242727"/>
    <w:rsid w:val="00242E35"/>
    <w:rsid w:val="002435C1"/>
    <w:rsid w:val="002437C0"/>
    <w:rsid w:val="00243A46"/>
    <w:rsid w:val="00243D24"/>
    <w:rsid w:val="00244901"/>
    <w:rsid w:val="00244A0D"/>
    <w:rsid w:val="00245827"/>
    <w:rsid w:val="002458EC"/>
    <w:rsid w:val="00245F3E"/>
    <w:rsid w:val="00245F9B"/>
    <w:rsid w:val="002461E4"/>
    <w:rsid w:val="00247882"/>
    <w:rsid w:val="00250571"/>
    <w:rsid w:val="002505A8"/>
    <w:rsid w:val="002507C6"/>
    <w:rsid w:val="002511A3"/>
    <w:rsid w:val="00251200"/>
    <w:rsid w:val="002516A0"/>
    <w:rsid w:val="002519CA"/>
    <w:rsid w:val="00251B60"/>
    <w:rsid w:val="00252295"/>
    <w:rsid w:val="00252764"/>
    <w:rsid w:val="00252F23"/>
    <w:rsid w:val="0025372C"/>
    <w:rsid w:val="00254652"/>
    <w:rsid w:val="0025488C"/>
    <w:rsid w:val="00254BD6"/>
    <w:rsid w:val="00254D35"/>
    <w:rsid w:val="00255AA1"/>
    <w:rsid w:val="00256F4C"/>
    <w:rsid w:val="00260197"/>
    <w:rsid w:val="002603C8"/>
    <w:rsid w:val="0026047F"/>
    <w:rsid w:val="00260BC0"/>
    <w:rsid w:val="0026127F"/>
    <w:rsid w:val="0026160F"/>
    <w:rsid w:val="00261A1F"/>
    <w:rsid w:val="0026289C"/>
    <w:rsid w:val="00262B68"/>
    <w:rsid w:val="002634BA"/>
    <w:rsid w:val="00263E20"/>
    <w:rsid w:val="00263E3C"/>
    <w:rsid w:val="0026454A"/>
    <w:rsid w:val="0026491B"/>
    <w:rsid w:val="00264D19"/>
    <w:rsid w:val="00264FD3"/>
    <w:rsid w:val="0026580E"/>
    <w:rsid w:val="00265988"/>
    <w:rsid w:val="00265B20"/>
    <w:rsid w:val="00266067"/>
    <w:rsid w:val="00266A8E"/>
    <w:rsid w:val="00266F64"/>
    <w:rsid w:val="002674E2"/>
    <w:rsid w:val="00267AA7"/>
    <w:rsid w:val="00267D99"/>
    <w:rsid w:val="00267ECC"/>
    <w:rsid w:val="00270634"/>
    <w:rsid w:val="00270F98"/>
    <w:rsid w:val="002719DD"/>
    <w:rsid w:val="00272216"/>
    <w:rsid w:val="0027235D"/>
    <w:rsid w:val="002724C9"/>
    <w:rsid w:val="0027391E"/>
    <w:rsid w:val="0027402E"/>
    <w:rsid w:val="002740A6"/>
    <w:rsid w:val="00274454"/>
    <w:rsid w:val="00274D0A"/>
    <w:rsid w:val="002757E9"/>
    <w:rsid w:val="00275D07"/>
    <w:rsid w:val="00275E8B"/>
    <w:rsid w:val="00276012"/>
    <w:rsid w:val="00276533"/>
    <w:rsid w:val="002766F2"/>
    <w:rsid w:val="00276EAA"/>
    <w:rsid w:val="00277D05"/>
    <w:rsid w:val="00280994"/>
    <w:rsid w:val="00280ED6"/>
    <w:rsid w:val="002818D4"/>
    <w:rsid w:val="002823BF"/>
    <w:rsid w:val="00282592"/>
    <w:rsid w:val="00282AAA"/>
    <w:rsid w:val="00282D33"/>
    <w:rsid w:val="002832CB"/>
    <w:rsid w:val="00284750"/>
    <w:rsid w:val="00285520"/>
    <w:rsid w:val="00285F4C"/>
    <w:rsid w:val="00285F6F"/>
    <w:rsid w:val="00286204"/>
    <w:rsid w:val="002863B8"/>
    <w:rsid w:val="0028689E"/>
    <w:rsid w:val="002902A3"/>
    <w:rsid w:val="00290584"/>
    <w:rsid w:val="00290CC8"/>
    <w:rsid w:val="00291152"/>
    <w:rsid w:val="0029141B"/>
    <w:rsid w:val="00291546"/>
    <w:rsid w:val="00291601"/>
    <w:rsid w:val="00292053"/>
    <w:rsid w:val="002926CD"/>
    <w:rsid w:val="00292A09"/>
    <w:rsid w:val="002952AB"/>
    <w:rsid w:val="00295567"/>
    <w:rsid w:val="0029574F"/>
    <w:rsid w:val="00295DBE"/>
    <w:rsid w:val="002A00C8"/>
    <w:rsid w:val="002A031B"/>
    <w:rsid w:val="002A0F24"/>
    <w:rsid w:val="002A1830"/>
    <w:rsid w:val="002A25EF"/>
    <w:rsid w:val="002A28CE"/>
    <w:rsid w:val="002A2B25"/>
    <w:rsid w:val="002A34CB"/>
    <w:rsid w:val="002A3A4E"/>
    <w:rsid w:val="002A5C1B"/>
    <w:rsid w:val="002A6E6F"/>
    <w:rsid w:val="002A72AF"/>
    <w:rsid w:val="002B0EAF"/>
    <w:rsid w:val="002B1934"/>
    <w:rsid w:val="002B2722"/>
    <w:rsid w:val="002B2B0C"/>
    <w:rsid w:val="002B40DC"/>
    <w:rsid w:val="002B4D23"/>
    <w:rsid w:val="002B541D"/>
    <w:rsid w:val="002B581E"/>
    <w:rsid w:val="002B6221"/>
    <w:rsid w:val="002B7265"/>
    <w:rsid w:val="002C08CC"/>
    <w:rsid w:val="002C0B57"/>
    <w:rsid w:val="002C0E59"/>
    <w:rsid w:val="002C1507"/>
    <w:rsid w:val="002C1798"/>
    <w:rsid w:val="002C1BE0"/>
    <w:rsid w:val="002C2676"/>
    <w:rsid w:val="002C31DF"/>
    <w:rsid w:val="002C4DFF"/>
    <w:rsid w:val="002C5DF0"/>
    <w:rsid w:val="002C6AEB"/>
    <w:rsid w:val="002C785A"/>
    <w:rsid w:val="002D0764"/>
    <w:rsid w:val="002D0BBD"/>
    <w:rsid w:val="002D0C68"/>
    <w:rsid w:val="002D0E32"/>
    <w:rsid w:val="002D1528"/>
    <w:rsid w:val="002D19F3"/>
    <w:rsid w:val="002D1CDC"/>
    <w:rsid w:val="002D39D1"/>
    <w:rsid w:val="002D43C5"/>
    <w:rsid w:val="002D5B1D"/>
    <w:rsid w:val="002D5D7E"/>
    <w:rsid w:val="002D66D8"/>
    <w:rsid w:val="002D6A93"/>
    <w:rsid w:val="002D79EF"/>
    <w:rsid w:val="002E0B3E"/>
    <w:rsid w:val="002E0B93"/>
    <w:rsid w:val="002E12B9"/>
    <w:rsid w:val="002E14E0"/>
    <w:rsid w:val="002E155D"/>
    <w:rsid w:val="002E18EB"/>
    <w:rsid w:val="002E47E4"/>
    <w:rsid w:val="002E5B97"/>
    <w:rsid w:val="002E5CCF"/>
    <w:rsid w:val="002E60C5"/>
    <w:rsid w:val="002E67E3"/>
    <w:rsid w:val="002E7296"/>
    <w:rsid w:val="002E790D"/>
    <w:rsid w:val="002E7F6A"/>
    <w:rsid w:val="002F0D2B"/>
    <w:rsid w:val="002F0EC9"/>
    <w:rsid w:val="002F1CDF"/>
    <w:rsid w:val="002F2381"/>
    <w:rsid w:val="002F2B3F"/>
    <w:rsid w:val="002F31BE"/>
    <w:rsid w:val="002F5292"/>
    <w:rsid w:val="002F61F4"/>
    <w:rsid w:val="002F6730"/>
    <w:rsid w:val="002F68D2"/>
    <w:rsid w:val="002F76B4"/>
    <w:rsid w:val="002F7B0E"/>
    <w:rsid w:val="00300814"/>
    <w:rsid w:val="00300CA4"/>
    <w:rsid w:val="0030162B"/>
    <w:rsid w:val="0030199C"/>
    <w:rsid w:val="00301D6A"/>
    <w:rsid w:val="00301EB8"/>
    <w:rsid w:val="003025C9"/>
    <w:rsid w:val="00302773"/>
    <w:rsid w:val="00303B5B"/>
    <w:rsid w:val="00303C23"/>
    <w:rsid w:val="00304F6C"/>
    <w:rsid w:val="003053AB"/>
    <w:rsid w:val="0030640C"/>
    <w:rsid w:val="003066E2"/>
    <w:rsid w:val="003070FE"/>
    <w:rsid w:val="003071D8"/>
    <w:rsid w:val="003075F8"/>
    <w:rsid w:val="00307724"/>
    <w:rsid w:val="00307B79"/>
    <w:rsid w:val="00307E9B"/>
    <w:rsid w:val="003105B5"/>
    <w:rsid w:val="00310946"/>
    <w:rsid w:val="00310C42"/>
    <w:rsid w:val="00310EEC"/>
    <w:rsid w:val="003120CD"/>
    <w:rsid w:val="0031215C"/>
    <w:rsid w:val="00313D47"/>
    <w:rsid w:val="00314168"/>
    <w:rsid w:val="00314E35"/>
    <w:rsid w:val="00314F4F"/>
    <w:rsid w:val="003150AB"/>
    <w:rsid w:val="003155FA"/>
    <w:rsid w:val="00315E09"/>
    <w:rsid w:val="00315F09"/>
    <w:rsid w:val="00316408"/>
    <w:rsid w:val="00316875"/>
    <w:rsid w:val="00316F5C"/>
    <w:rsid w:val="00317006"/>
    <w:rsid w:val="00320420"/>
    <w:rsid w:val="00320538"/>
    <w:rsid w:val="003206C2"/>
    <w:rsid w:val="003208AB"/>
    <w:rsid w:val="00320D2D"/>
    <w:rsid w:val="00321286"/>
    <w:rsid w:val="00321552"/>
    <w:rsid w:val="00321C6F"/>
    <w:rsid w:val="00321E13"/>
    <w:rsid w:val="00322C10"/>
    <w:rsid w:val="00323ABC"/>
    <w:rsid w:val="00324898"/>
    <w:rsid w:val="00324BF7"/>
    <w:rsid w:val="00324E65"/>
    <w:rsid w:val="0032611A"/>
    <w:rsid w:val="003269F2"/>
    <w:rsid w:val="00326BBA"/>
    <w:rsid w:val="00326BC4"/>
    <w:rsid w:val="00326ECC"/>
    <w:rsid w:val="00326EF0"/>
    <w:rsid w:val="00330DE3"/>
    <w:rsid w:val="0033169D"/>
    <w:rsid w:val="00331730"/>
    <w:rsid w:val="00331DCF"/>
    <w:rsid w:val="00331EC6"/>
    <w:rsid w:val="00332013"/>
    <w:rsid w:val="00332135"/>
    <w:rsid w:val="00332318"/>
    <w:rsid w:val="0033252D"/>
    <w:rsid w:val="00333908"/>
    <w:rsid w:val="00333BB3"/>
    <w:rsid w:val="00333DA1"/>
    <w:rsid w:val="00333FEF"/>
    <w:rsid w:val="003340E0"/>
    <w:rsid w:val="0033436D"/>
    <w:rsid w:val="00334823"/>
    <w:rsid w:val="0033544F"/>
    <w:rsid w:val="00335830"/>
    <w:rsid w:val="003360EF"/>
    <w:rsid w:val="0033684E"/>
    <w:rsid w:val="00336DEC"/>
    <w:rsid w:val="00336EFD"/>
    <w:rsid w:val="00337705"/>
    <w:rsid w:val="00337912"/>
    <w:rsid w:val="00337EE5"/>
    <w:rsid w:val="00340688"/>
    <w:rsid w:val="00340820"/>
    <w:rsid w:val="00340D45"/>
    <w:rsid w:val="003410A2"/>
    <w:rsid w:val="00341328"/>
    <w:rsid w:val="0034136F"/>
    <w:rsid w:val="003415B2"/>
    <w:rsid w:val="0034191A"/>
    <w:rsid w:val="003431C2"/>
    <w:rsid w:val="003433D0"/>
    <w:rsid w:val="00343981"/>
    <w:rsid w:val="00343B1B"/>
    <w:rsid w:val="00343F90"/>
    <w:rsid w:val="00344276"/>
    <w:rsid w:val="003446E6"/>
    <w:rsid w:val="0034490D"/>
    <w:rsid w:val="00344FA9"/>
    <w:rsid w:val="0034543B"/>
    <w:rsid w:val="0034557D"/>
    <w:rsid w:val="003462BE"/>
    <w:rsid w:val="00346A7E"/>
    <w:rsid w:val="00346C8B"/>
    <w:rsid w:val="00347336"/>
    <w:rsid w:val="003473E7"/>
    <w:rsid w:val="00347CCC"/>
    <w:rsid w:val="00350243"/>
    <w:rsid w:val="003510B3"/>
    <w:rsid w:val="0035135B"/>
    <w:rsid w:val="00351752"/>
    <w:rsid w:val="00351A48"/>
    <w:rsid w:val="00352A1C"/>
    <w:rsid w:val="00352FF4"/>
    <w:rsid w:val="003531F7"/>
    <w:rsid w:val="00353E2B"/>
    <w:rsid w:val="003550AB"/>
    <w:rsid w:val="00355615"/>
    <w:rsid w:val="0035582C"/>
    <w:rsid w:val="0035643C"/>
    <w:rsid w:val="00356A68"/>
    <w:rsid w:val="00356E24"/>
    <w:rsid w:val="00357FB6"/>
    <w:rsid w:val="00357FC5"/>
    <w:rsid w:val="00360019"/>
    <w:rsid w:val="00360ABA"/>
    <w:rsid w:val="00360C83"/>
    <w:rsid w:val="0036113B"/>
    <w:rsid w:val="0036144C"/>
    <w:rsid w:val="00361681"/>
    <w:rsid w:val="003623D4"/>
    <w:rsid w:val="00362BB4"/>
    <w:rsid w:val="00362FBF"/>
    <w:rsid w:val="00363543"/>
    <w:rsid w:val="0036387A"/>
    <w:rsid w:val="00363D67"/>
    <w:rsid w:val="00363DD6"/>
    <w:rsid w:val="00364C89"/>
    <w:rsid w:val="00364E58"/>
    <w:rsid w:val="00365D59"/>
    <w:rsid w:val="00366873"/>
    <w:rsid w:val="00367A80"/>
    <w:rsid w:val="00371107"/>
    <w:rsid w:val="003713BC"/>
    <w:rsid w:val="00371AD6"/>
    <w:rsid w:val="00371DCB"/>
    <w:rsid w:val="0037269E"/>
    <w:rsid w:val="00372865"/>
    <w:rsid w:val="00372E81"/>
    <w:rsid w:val="00372FAB"/>
    <w:rsid w:val="00373815"/>
    <w:rsid w:val="00373EB0"/>
    <w:rsid w:val="003743CF"/>
    <w:rsid w:val="003744A4"/>
    <w:rsid w:val="00374F1F"/>
    <w:rsid w:val="0037583F"/>
    <w:rsid w:val="00375866"/>
    <w:rsid w:val="003760C8"/>
    <w:rsid w:val="00376F86"/>
    <w:rsid w:val="00377738"/>
    <w:rsid w:val="00380D45"/>
    <w:rsid w:val="003811BF"/>
    <w:rsid w:val="003814C4"/>
    <w:rsid w:val="003814DE"/>
    <w:rsid w:val="003817AD"/>
    <w:rsid w:val="00381D18"/>
    <w:rsid w:val="00381E19"/>
    <w:rsid w:val="0038208E"/>
    <w:rsid w:val="0038252C"/>
    <w:rsid w:val="00382966"/>
    <w:rsid w:val="00383BCC"/>
    <w:rsid w:val="00383CD3"/>
    <w:rsid w:val="00384372"/>
    <w:rsid w:val="00385391"/>
    <w:rsid w:val="00385594"/>
    <w:rsid w:val="0038599A"/>
    <w:rsid w:val="00385BFB"/>
    <w:rsid w:val="00385C8F"/>
    <w:rsid w:val="003864D5"/>
    <w:rsid w:val="00386510"/>
    <w:rsid w:val="00386B36"/>
    <w:rsid w:val="00387255"/>
    <w:rsid w:val="00387743"/>
    <w:rsid w:val="003879E9"/>
    <w:rsid w:val="00387FB2"/>
    <w:rsid w:val="003900A2"/>
    <w:rsid w:val="003900A6"/>
    <w:rsid w:val="00391109"/>
    <w:rsid w:val="0039128F"/>
    <w:rsid w:val="00391897"/>
    <w:rsid w:val="00392A68"/>
    <w:rsid w:val="00393059"/>
    <w:rsid w:val="003932B7"/>
    <w:rsid w:val="00393687"/>
    <w:rsid w:val="00394066"/>
    <w:rsid w:val="00395706"/>
    <w:rsid w:val="00395834"/>
    <w:rsid w:val="00395BA1"/>
    <w:rsid w:val="00396A34"/>
    <w:rsid w:val="0039707D"/>
    <w:rsid w:val="00397544"/>
    <w:rsid w:val="003977DB"/>
    <w:rsid w:val="00397DEF"/>
    <w:rsid w:val="003A05D1"/>
    <w:rsid w:val="003A0BCD"/>
    <w:rsid w:val="003A21AF"/>
    <w:rsid w:val="003A2474"/>
    <w:rsid w:val="003A2B4F"/>
    <w:rsid w:val="003A30CB"/>
    <w:rsid w:val="003A3B07"/>
    <w:rsid w:val="003A3B87"/>
    <w:rsid w:val="003A3DF7"/>
    <w:rsid w:val="003A429B"/>
    <w:rsid w:val="003A4630"/>
    <w:rsid w:val="003A55A4"/>
    <w:rsid w:val="003A5ADB"/>
    <w:rsid w:val="003A5B62"/>
    <w:rsid w:val="003A6976"/>
    <w:rsid w:val="003A6F73"/>
    <w:rsid w:val="003A7489"/>
    <w:rsid w:val="003A75F5"/>
    <w:rsid w:val="003B10F7"/>
    <w:rsid w:val="003B1842"/>
    <w:rsid w:val="003B20C7"/>
    <w:rsid w:val="003B3249"/>
    <w:rsid w:val="003B3842"/>
    <w:rsid w:val="003B3AFF"/>
    <w:rsid w:val="003B41F5"/>
    <w:rsid w:val="003B477C"/>
    <w:rsid w:val="003B4ABB"/>
    <w:rsid w:val="003B4ED1"/>
    <w:rsid w:val="003B5077"/>
    <w:rsid w:val="003B5DB1"/>
    <w:rsid w:val="003B6040"/>
    <w:rsid w:val="003B68E3"/>
    <w:rsid w:val="003B69AA"/>
    <w:rsid w:val="003B718C"/>
    <w:rsid w:val="003B7681"/>
    <w:rsid w:val="003B79B7"/>
    <w:rsid w:val="003B7E6D"/>
    <w:rsid w:val="003B7F5F"/>
    <w:rsid w:val="003C06B2"/>
    <w:rsid w:val="003C0E21"/>
    <w:rsid w:val="003C0E2E"/>
    <w:rsid w:val="003C0E81"/>
    <w:rsid w:val="003C113D"/>
    <w:rsid w:val="003C19FE"/>
    <w:rsid w:val="003C1ECE"/>
    <w:rsid w:val="003C280D"/>
    <w:rsid w:val="003C4840"/>
    <w:rsid w:val="003C4AB0"/>
    <w:rsid w:val="003C4B8A"/>
    <w:rsid w:val="003C4BD2"/>
    <w:rsid w:val="003C529C"/>
    <w:rsid w:val="003C5448"/>
    <w:rsid w:val="003C57FE"/>
    <w:rsid w:val="003C5BD6"/>
    <w:rsid w:val="003C5E16"/>
    <w:rsid w:val="003C6463"/>
    <w:rsid w:val="003C67C4"/>
    <w:rsid w:val="003C6C4A"/>
    <w:rsid w:val="003C6C7F"/>
    <w:rsid w:val="003C6E63"/>
    <w:rsid w:val="003C74B7"/>
    <w:rsid w:val="003C7881"/>
    <w:rsid w:val="003C7BDF"/>
    <w:rsid w:val="003C7D10"/>
    <w:rsid w:val="003D08B0"/>
    <w:rsid w:val="003D10AA"/>
    <w:rsid w:val="003D1626"/>
    <w:rsid w:val="003D242E"/>
    <w:rsid w:val="003D27DA"/>
    <w:rsid w:val="003D2C54"/>
    <w:rsid w:val="003D2CCC"/>
    <w:rsid w:val="003D2E45"/>
    <w:rsid w:val="003D2F45"/>
    <w:rsid w:val="003D390D"/>
    <w:rsid w:val="003D481A"/>
    <w:rsid w:val="003D4AA3"/>
    <w:rsid w:val="003D4D7A"/>
    <w:rsid w:val="003D5096"/>
    <w:rsid w:val="003D52FA"/>
    <w:rsid w:val="003D566F"/>
    <w:rsid w:val="003D604E"/>
    <w:rsid w:val="003D63D2"/>
    <w:rsid w:val="003D6617"/>
    <w:rsid w:val="003D7897"/>
    <w:rsid w:val="003D7A3D"/>
    <w:rsid w:val="003D7DFE"/>
    <w:rsid w:val="003E0441"/>
    <w:rsid w:val="003E2124"/>
    <w:rsid w:val="003E2F88"/>
    <w:rsid w:val="003E32C5"/>
    <w:rsid w:val="003E3785"/>
    <w:rsid w:val="003E37AD"/>
    <w:rsid w:val="003E39F3"/>
    <w:rsid w:val="003E3A59"/>
    <w:rsid w:val="003E4921"/>
    <w:rsid w:val="003E4F00"/>
    <w:rsid w:val="003E53A4"/>
    <w:rsid w:val="003E5754"/>
    <w:rsid w:val="003E58B1"/>
    <w:rsid w:val="003E5AA2"/>
    <w:rsid w:val="003E608D"/>
    <w:rsid w:val="003E713B"/>
    <w:rsid w:val="003E72AB"/>
    <w:rsid w:val="003E7515"/>
    <w:rsid w:val="003E7AD6"/>
    <w:rsid w:val="003F0242"/>
    <w:rsid w:val="003F076A"/>
    <w:rsid w:val="003F0815"/>
    <w:rsid w:val="003F0C67"/>
    <w:rsid w:val="003F0D1B"/>
    <w:rsid w:val="003F1936"/>
    <w:rsid w:val="003F2923"/>
    <w:rsid w:val="003F2EA6"/>
    <w:rsid w:val="003F31C9"/>
    <w:rsid w:val="003F3E05"/>
    <w:rsid w:val="003F3EED"/>
    <w:rsid w:val="003F45EF"/>
    <w:rsid w:val="003F53A1"/>
    <w:rsid w:val="003F5850"/>
    <w:rsid w:val="003F5F21"/>
    <w:rsid w:val="003F5FD8"/>
    <w:rsid w:val="003F6AA5"/>
    <w:rsid w:val="003F6C62"/>
    <w:rsid w:val="003F6D97"/>
    <w:rsid w:val="003F6F81"/>
    <w:rsid w:val="003F70E9"/>
    <w:rsid w:val="003F71B6"/>
    <w:rsid w:val="00400173"/>
    <w:rsid w:val="00400375"/>
    <w:rsid w:val="0040079A"/>
    <w:rsid w:val="00400CF1"/>
    <w:rsid w:val="00400F09"/>
    <w:rsid w:val="00401785"/>
    <w:rsid w:val="00401F0C"/>
    <w:rsid w:val="0040287A"/>
    <w:rsid w:val="00402E09"/>
    <w:rsid w:val="004030E2"/>
    <w:rsid w:val="004040CA"/>
    <w:rsid w:val="004041E0"/>
    <w:rsid w:val="004043FC"/>
    <w:rsid w:val="00404917"/>
    <w:rsid w:val="004057CD"/>
    <w:rsid w:val="00406560"/>
    <w:rsid w:val="0040778D"/>
    <w:rsid w:val="004078EE"/>
    <w:rsid w:val="00407C02"/>
    <w:rsid w:val="00407E17"/>
    <w:rsid w:val="00407F3A"/>
    <w:rsid w:val="00410F96"/>
    <w:rsid w:val="00411A37"/>
    <w:rsid w:val="0041337A"/>
    <w:rsid w:val="004137CA"/>
    <w:rsid w:val="00413B2B"/>
    <w:rsid w:val="00414B3B"/>
    <w:rsid w:val="00414BA3"/>
    <w:rsid w:val="00415001"/>
    <w:rsid w:val="00415469"/>
    <w:rsid w:val="004154DD"/>
    <w:rsid w:val="00415D25"/>
    <w:rsid w:val="0041720C"/>
    <w:rsid w:val="00417404"/>
    <w:rsid w:val="00417B6B"/>
    <w:rsid w:val="00417E8B"/>
    <w:rsid w:val="00420EE9"/>
    <w:rsid w:val="00421359"/>
    <w:rsid w:val="00421416"/>
    <w:rsid w:val="004214CB"/>
    <w:rsid w:val="00421838"/>
    <w:rsid w:val="00421862"/>
    <w:rsid w:val="0042197E"/>
    <w:rsid w:val="004227FB"/>
    <w:rsid w:val="00422E3E"/>
    <w:rsid w:val="00423503"/>
    <w:rsid w:val="004238BC"/>
    <w:rsid w:val="00423A5C"/>
    <w:rsid w:val="00425929"/>
    <w:rsid w:val="00425A61"/>
    <w:rsid w:val="00425B1C"/>
    <w:rsid w:val="00425BC4"/>
    <w:rsid w:val="004261EF"/>
    <w:rsid w:val="0042646B"/>
    <w:rsid w:val="0042687B"/>
    <w:rsid w:val="00426A03"/>
    <w:rsid w:val="00426C46"/>
    <w:rsid w:val="00427201"/>
    <w:rsid w:val="00427DE0"/>
    <w:rsid w:val="004305F7"/>
    <w:rsid w:val="00431450"/>
    <w:rsid w:val="00431707"/>
    <w:rsid w:val="00431735"/>
    <w:rsid w:val="00431780"/>
    <w:rsid w:val="00431811"/>
    <w:rsid w:val="00431A25"/>
    <w:rsid w:val="00431E11"/>
    <w:rsid w:val="00432860"/>
    <w:rsid w:val="00432883"/>
    <w:rsid w:val="00432D85"/>
    <w:rsid w:val="00433693"/>
    <w:rsid w:val="00434141"/>
    <w:rsid w:val="00436895"/>
    <w:rsid w:val="00436995"/>
    <w:rsid w:val="00437650"/>
    <w:rsid w:val="004378EC"/>
    <w:rsid w:val="00440F54"/>
    <w:rsid w:val="004414DD"/>
    <w:rsid w:val="00441B35"/>
    <w:rsid w:val="00441DB1"/>
    <w:rsid w:val="0044227B"/>
    <w:rsid w:val="0044234C"/>
    <w:rsid w:val="0044256B"/>
    <w:rsid w:val="00443EF3"/>
    <w:rsid w:val="00444CF7"/>
    <w:rsid w:val="0044512A"/>
    <w:rsid w:val="00445930"/>
    <w:rsid w:val="004465E0"/>
    <w:rsid w:val="00446B65"/>
    <w:rsid w:val="00447EB3"/>
    <w:rsid w:val="00447F24"/>
    <w:rsid w:val="00447F73"/>
    <w:rsid w:val="00447F9C"/>
    <w:rsid w:val="00447FED"/>
    <w:rsid w:val="00450490"/>
    <w:rsid w:val="0045081F"/>
    <w:rsid w:val="00450AC3"/>
    <w:rsid w:val="00450B13"/>
    <w:rsid w:val="004519E2"/>
    <w:rsid w:val="0045221C"/>
    <w:rsid w:val="004523A4"/>
    <w:rsid w:val="00452A0C"/>
    <w:rsid w:val="00452BFD"/>
    <w:rsid w:val="00452C45"/>
    <w:rsid w:val="00453147"/>
    <w:rsid w:val="00453C6F"/>
    <w:rsid w:val="00454154"/>
    <w:rsid w:val="00455073"/>
    <w:rsid w:val="00455DBC"/>
    <w:rsid w:val="0045635B"/>
    <w:rsid w:val="00456DE7"/>
    <w:rsid w:val="004572EE"/>
    <w:rsid w:val="00457A6F"/>
    <w:rsid w:val="00460880"/>
    <w:rsid w:val="00460FB5"/>
    <w:rsid w:val="00461EC9"/>
    <w:rsid w:val="004623B2"/>
    <w:rsid w:val="004631AC"/>
    <w:rsid w:val="0046349A"/>
    <w:rsid w:val="00463A80"/>
    <w:rsid w:val="004643A9"/>
    <w:rsid w:val="004648F2"/>
    <w:rsid w:val="00464E4B"/>
    <w:rsid w:val="00464F05"/>
    <w:rsid w:val="00465353"/>
    <w:rsid w:val="00465A06"/>
    <w:rsid w:val="004669DA"/>
    <w:rsid w:val="00467401"/>
    <w:rsid w:val="00467BD0"/>
    <w:rsid w:val="00467FE4"/>
    <w:rsid w:val="0047011A"/>
    <w:rsid w:val="0047058A"/>
    <w:rsid w:val="004708AF"/>
    <w:rsid w:val="00471195"/>
    <w:rsid w:val="00471AA1"/>
    <w:rsid w:val="00471D8A"/>
    <w:rsid w:val="00471F8D"/>
    <w:rsid w:val="00472220"/>
    <w:rsid w:val="004723DF"/>
    <w:rsid w:val="00473AA2"/>
    <w:rsid w:val="0047457D"/>
    <w:rsid w:val="00474985"/>
    <w:rsid w:val="00474E64"/>
    <w:rsid w:val="00474FE3"/>
    <w:rsid w:val="00475881"/>
    <w:rsid w:val="00475DFA"/>
    <w:rsid w:val="004774DD"/>
    <w:rsid w:val="00480007"/>
    <w:rsid w:val="0048060C"/>
    <w:rsid w:val="00481442"/>
    <w:rsid w:val="00481C83"/>
    <w:rsid w:val="00482189"/>
    <w:rsid w:val="00482318"/>
    <w:rsid w:val="004829F0"/>
    <w:rsid w:val="004829FD"/>
    <w:rsid w:val="00483205"/>
    <w:rsid w:val="0048327E"/>
    <w:rsid w:val="004840E5"/>
    <w:rsid w:val="00484103"/>
    <w:rsid w:val="0048458C"/>
    <w:rsid w:val="00484AB6"/>
    <w:rsid w:val="00485354"/>
    <w:rsid w:val="00485841"/>
    <w:rsid w:val="00485CC8"/>
    <w:rsid w:val="0048688D"/>
    <w:rsid w:val="00486C3E"/>
    <w:rsid w:val="00486C77"/>
    <w:rsid w:val="00487844"/>
    <w:rsid w:val="004902D9"/>
    <w:rsid w:val="004905FE"/>
    <w:rsid w:val="00490709"/>
    <w:rsid w:val="00490D3F"/>
    <w:rsid w:val="004914C8"/>
    <w:rsid w:val="004916B0"/>
    <w:rsid w:val="00491E66"/>
    <w:rsid w:val="00491FB4"/>
    <w:rsid w:val="0049279B"/>
    <w:rsid w:val="00493069"/>
    <w:rsid w:val="004948CF"/>
    <w:rsid w:val="004953F4"/>
    <w:rsid w:val="004954B6"/>
    <w:rsid w:val="004954D8"/>
    <w:rsid w:val="00495F87"/>
    <w:rsid w:val="00495FFC"/>
    <w:rsid w:val="00496245"/>
    <w:rsid w:val="004969D9"/>
    <w:rsid w:val="00496C3B"/>
    <w:rsid w:val="00496E9C"/>
    <w:rsid w:val="00497129"/>
    <w:rsid w:val="00497353"/>
    <w:rsid w:val="00497A7F"/>
    <w:rsid w:val="00497BEC"/>
    <w:rsid w:val="004A00AE"/>
    <w:rsid w:val="004A0AB6"/>
    <w:rsid w:val="004A0B00"/>
    <w:rsid w:val="004A0C69"/>
    <w:rsid w:val="004A128C"/>
    <w:rsid w:val="004A12AB"/>
    <w:rsid w:val="004A12F0"/>
    <w:rsid w:val="004A15DA"/>
    <w:rsid w:val="004A1731"/>
    <w:rsid w:val="004A25D1"/>
    <w:rsid w:val="004A2919"/>
    <w:rsid w:val="004A2AE6"/>
    <w:rsid w:val="004A3B57"/>
    <w:rsid w:val="004A3B8B"/>
    <w:rsid w:val="004A49F5"/>
    <w:rsid w:val="004A4A20"/>
    <w:rsid w:val="004A4C11"/>
    <w:rsid w:val="004A5444"/>
    <w:rsid w:val="004A5D43"/>
    <w:rsid w:val="004A6B5C"/>
    <w:rsid w:val="004A72C7"/>
    <w:rsid w:val="004A74B5"/>
    <w:rsid w:val="004A79C0"/>
    <w:rsid w:val="004A7F8B"/>
    <w:rsid w:val="004B06F9"/>
    <w:rsid w:val="004B0C32"/>
    <w:rsid w:val="004B10DB"/>
    <w:rsid w:val="004B2064"/>
    <w:rsid w:val="004B20E8"/>
    <w:rsid w:val="004B210E"/>
    <w:rsid w:val="004B240A"/>
    <w:rsid w:val="004B2534"/>
    <w:rsid w:val="004B29EC"/>
    <w:rsid w:val="004B2E98"/>
    <w:rsid w:val="004B34DE"/>
    <w:rsid w:val="004B3675"/>
    <w:rsid w:val="004B374B"/>
    <w:rsid w:val="004B3EAA"/>
    <w:rsid w:val="004B46BA"/>
    <w:rsid w:val="004B5033"/>
    <w:rsid w:val="004B568C"/>
    <w:rsid w:val="004B5D09"/>
    <w:rsid w:val="004B6343"/>
    <w:rsid w:val="004B69D1"/>
    <w:rsid w:val="004B6CFF"/>
    <w:rsid w:val="004B6F7A"/>
    <w:rsid w:val="004B7686"/>
    <w:rsid w:val="004B7A5C"/>
    <w:rsid w:val="004B7B45"/>
    <w:rsid w:val="004C02B0"/>
    <w:rsid w:val="004C0F86"/>
    <w:rsid w:val="004C0FE0"/>
    <w:rsid w:val="004C24C5"/>
    <w:rsid w:val="004C2AEE"/>
    <w:rsid w:val="004C2D93"/>
    <w:rsid w:val="004C3277"/>
    <w:rsid w:val="004C58BF"/>
    <w:rsid w:val="004C5BE6"/>
    <w:rsid w:val="004C6178"/>
    <w:rsid w:val="004C6CC2"/>
    <w:rsid w:val="004C6F01"/>
    <w:rsid w:val="004C7399"/>
    <w:rsid w:val="004C745B"/>
    <w:rsid w:val="004C77AB"/>
    <w:rsid w:val="004C7C13"/>
    <w:rsid w:val="004C7DED"/>
    <w:rsid w:val="004D0127"/>
    <w:rsid w:val="004D0439"/>
    <w:rsid w:val="004D169F"/>
    <w:rsid w:val="004D1E3C"/>
    <w:rsid w:val="004D2753"/>
    <w:rsid w:val="004D337B"/>
    <w:rsid w:val="004D33AD"/>
    <w:rsid w:val="004D386A"/>
    <w:rsid w:val="004D3DE1"/>
    <w:rsid w:val="004D3E7B"/>
    <w:rsid w:val="004D4297"/>
    <w:rsid w:val="004D43B8"/>
    <w:rsid w:val="004D49AC"/>
    <w:rsid w:val="004D55F6"/>
    <w:rsid w:val="004D5A78"/>
    <w:rsid w:val="004D69B6"/>
    <w:rsid w:val="004D7613"/>
    <w:rsid w:val="004E06D4"/>
    <w:rsid w:val="004E1414"/>
    <w:rsid w:val="004E1690"/>
    <w:rsid w:val="004E199C"/>
    <w:rsid w:val="004E1BE7"/>
    <w:rsid w:val="004E1C78"/>
    <w:rsid w:val="004E1EAA"/>
    <w:rsid w:val="004E2165"/>
    <w:rsid w:val="004E259A"/>
    <w:rsid w:val="004E2AC1"/>
    <w:rsid w:val="004E34A9"/>
    <w:rsid w:val="004E376C"/>
    <w:rsid w:val="004E3896"/>
    <w:rsid w:val="004E449B"/>
    <w:rsid w:val="004E47EF"/>
    <w:rsid w:val="004E512A"/>
    <w:rsid w:val="004E579C"/>
    <w:rsid w:val="004E5ADE"/>
    <w:rsid w:val="004E6577"/>
    <w:rsid w:val="004E6673"/>
    <w:rsid w:val="004E66D8"/>
    <w:rsid w:val="004E6FCE"/>
    <w:rsid w:val="004E7689"/>
    <w:rsid w:val="004E76F5"/>
    <w:rsid w:val="004E7AD9"/>
    <w:rsid w:val="004E7B36"/>
    <w:rsid w:val="004F0433"/>
    <w:rsid w:val="004F1FDF"/>
    <w:rsid w:val="004F2116"/>
    <w:rsid w:val="004F2AF0"/>
    <w:rsid w:val="004F3156"/>
    <w:rsid w:val="004F3600"/>
    <w:rsid w:val="004F371E"/>
    <w:rsid w:val="004F42B4"/>
    <w:rsid w:val="004F4834"/>
    <w:rsid w:val="004F4A60"/>
    <w:rsid w:val="004F4C8E"/>
    <w:rsid w:val="004F4D57"/>
    <w:rsid w:val="004F52B5"/>
    <w:rsid w:val="004F64AD"/>
    <w:rsid w:val="00501CC8"/>
    <w:rsid w:val="00501F2D"/>
    <w:rsid w:val="00502042"/>
    <w:rsid w:val="00503692"/>
    <w:rsid w:val="0050463C"/>
    <w:rsid w:val="005049A0"/>
    <w:rsid w:val="005049AD"/>
    <w:rsid w:val="00504F8E"/>
    <w:rsid w:val="0050557C"/>
    <w:rsid w:val="0050563C"/>
    <w:rsid w:val="005058FF"/>
    <w:rsid w:val="0050691C"/>
    <w:rsid w:val="00506B4D"/>
    <w:rsid w:val="00506FE0"/>
    <w:rsid w:val="0050740B"/>
    <w:rsid w:val="0050763F"/>
    <w:rsid w:val="005078BA"/>
    <w:rsid w:val="00510721"/>
    <w:rsid w:val="00511C3E"/>
    <w:rsid w:val="00512819"/>
    <w:rsid w:val="0051295A"/>
    <w:rsid w:val="00512F03"/>
    <w:rsid w:val="00512FDB"/>
    <w:rsid w:val="00513937"/>
    <w:rsid w:val="00513A54"/>
    <w:rsid w:val="005140EA"/>
    <w:rsid w:val="005149E6"/>
    <w:rsid w:val="00514A8C"/>
    <w:rsid w:val="00514B14"/>
    <w:rsid w:val="00516B65"/>
    <w:rsid w:val="00516E9F"/>
    <w:rsid w:val="005208FF"/>
    <w:rsid w:val="00520D38"/>
    <w:rsid w:val="00522573"/>
    <w:rsid w:val="005226FB"/>
    <w:rsid w:val="005228A3"/>
    <w:rsid w:val="00522A58"/>
    <w:rsid w:val="00523448"/>
    <w:rsid w:val="00523480"/>
    <w:rsid w:val="00523B98"/>
    <w:rsid w:val="00524050"/>
    <w:rsid w:val="0052450A"/>
    <w:rsid w:val="005249B1"/>
    <w:rsid w:val="00524BB9"/>
    <w:rsid w:val="00525519"/>
    <w:rsid w:val="005259A2"/>
    <w:rsid w:val="00525B7B"/>
    <w:rsid w:val="00525F66"/>
    <w:rsid w:val="00526C78"/>
    <w:rsid w:val="00526F03"/>
    <w:rsid w:val="00527829"/>
    <w:rsid w:val="00527C1D"/>
    <w:rsid w:val="00530253"/>
    <w:rsid w:val="00530B12"/>
    <w:rsid w:val="005310FB"/>
    <w:rsid w:val="00531448"/>
    <w:rsid w:val="0053149F"/>
    <w:rsid w:val="00531FD9"/>
    <w:rsid w:val="0053237E"/>
    <w:rsid w:val="005329BE"/>
    <w:rsid w:val="00532C94"/>
    <w:rsid w:val="0053377E"/>
    <w:rsid w:val="0053408C"/>
    <w:rsid w:val="0053495A"/>
    <w:rsid w:val="0053578C"/>
    <w:rsid w:val="0053582F"/>
    <w:rsid w:val="00535A9C"/>
    <w:rsid w:val="00536792"/>
    <w:rsid w:val="00536A99"/>
    <w:rsid w:val="0053706B"/>
    <w:rsid w:val="0053723C"/>
    <w:rsid w:val="00537246"/>
    <w:rsid w:val="00540110"/>
    <w:rsid w:val="005402CB"/>
    <w:rsid w:val="00540ACA"/>
    <w:rsid w:val="00540FD5"/>
    <w:rsid w:val="0054185E"/>
    <w:rsid w:val="00542120"/>
    <w:rsid w:val="00542AD5"/>
    <w:rsid w:val="00543072"/>
    <w:rsid w:val="00543236"/>
    <w:rsid w:val="00543FAA"/>
    <w:rsid w:val="00544003"/>
    <w:rsid w:val="00544756"/>
    <w:rsid w:val="005447B5"/>
    <w:rsid w:val="0054501B"/>
    <w:rsid w:val="0054556C"/>
    <w:rsid w:val="00545BD2"/>
    <w:rsid w:val="00545CDC"/>
    <w:rsid w:val="0054615A"/>
    <w:rsid w:val="00546323"/>
    <w:rsid w:val="00546433"/>
    <w:rsid w:val="00547168"/>
    <w:rsid w:val="0054789A"/>
    <w:rsid w:val="00547DC2"/>
    <w:rsid w:val="005503DB"/>
    <w:rsid w:val="00550A15"/>
    <w:rsid w:val="00551AB8"/>
    <w:rsid w:val="00551D07"/>
    <w:rsid w:val="00552376"/>
    <w:rsid w:val="00552891"/>
    <w:rsid w:val="005528E6"/>
    <w:rsid w:val="005529FA"/>
    <w:rsid w:val="00552FB9"/>
    <w:rsid w:val="005530A1"/>
    <w:rsid w:val="00553DBE"/>
    <w:rsid w:val="00554187"/>
    <w:rsid w:val="005542E0"/>
    <w:rsid w:val="0055587B"/>
    <w:rsid w:val="00555B62"/>
    <w:rsid w:val="00555DF7"/>
    <w:rsid w:val="00555F87"/>
    <w:rsid w:val="005560A0"/>
    <w:rsid w:val="00556DF7"/>
    <w:rsid w:val="00557016"/>
    <w:rsid w:val="0055748D"/>
    <w:rsid w:val="00560527"/>
    <w:rsid w:val="005609A2"/>
    <w:rsid w:val="00561320"/>
    <w:rsid w:val="00561F9D"/>
    <w:rsid w:val="00562026"/>
    <w:rsid w:val="00562F1F"/>
    <w:rsid w:val="00563C59"/>
    <w:rsid w:val="0056402C"/>
    <w:rsid w:val="0056418F"/>
    <w:rsid w:val="005645E6"/>
    <w:rsid w:val="00564DBC"/>
    <w:rsid w:val="00564E23"/>
    <w:rsid w:val="0056501A"/>
    <w:rsid w:val="00565514"/>
    <w:rsid w:val="0056552F"/>
    <w:rsid w:val="00565623"/>
    <w:rsid w:val="00565F1C"/>
    <w:rsid w:val="005660B7"/>
    <w:rsid w:val="005663BB"/>
    <w:rsid w:val="00566914"/>
    <w:rsid w:val="00566B10"/>
    <w:rsid w:val="00566CD4"/>
    <w:rsid w:val="00567166"/>
    <w:rsid w:val="00567D13"/>
    <w:rsid w:val="00567DB3"/>
    <w:rsid w:val="00570541"/>
    <w:rsid w:val="00572D6C"/>
    <w:rsid w:val="00573075"/>
    <w:rsid w:val="0057327D"/>
    <w:rsid w:val="00574DBA"/>
    <w:rsid w:val="00575129"/>
    <w:rsid w:val="00576E68"/>
    <w:rsid w:val="00577174"/>
    <w:rsid w:val="00577535"/>
    <w:rsid w:val="005775F6"/>
    <w:rsid w:val="00577C34"/>
    <w:rsid w:val="005800EE"/>
    <w:rsid w:val="00580BCE"/>
    <w:rsid w:val="005810B5"/>
    <w:rsid w:val="00581FD3"/>
    <w:rsid w:val="00582148"/>
    <w:rsid w:val="00582951"/>
    <w:rsid w:val="005831B5"/>
    <w:rsid w:val="00583982"/>
    <w:rsid w:val="005839E4"/>
    <w:rsid w:val="00583ABE"/>
    <w:rsid w:val="00583D47"/>
    <w:rsid w:val="0058418F"/>
    <w:rsid w:val="00584DB7"/>
    <w:rsid w:val="00584F93"/>
    <w:rsid w:val="0058516B"/>
    <w:rsid w:val="00585695"/>
    <w:rsid w:val="00586691"/>
    <w:rsid w:val="005875A1"/>
    <w:rsid w:val="005878AA"/>
    <w:rsid w:val="00587FFA"/>
    <w:rsid w:val="00590317"/>
    <w:rsid w:val="00590338"/>
    <w:rsid w:val="0059050A"/>
    <w:rsid w:val="00590AFB"/>
    <w:rsid w:val="00591180"/>
    <w:rsid w:val="005916BB"/>
    <w:rsid w:val="00591A48"/>
    <w:rsid w:val="00591C4B"/>
    <w:rsid w:val="00592666"/>
    <w:rsid w:val="0059294C"/>
    <w:rsid w:val="005933FD"/>
    <w:rsid w:val="0059408B"/>
    <w:rsid w:val="00594357"/>
    <w:rsid w:val="00594385"/>
    <w:rsid w:val="00594DA6"/>
    <w:rsid w:val="00594E1A"/>
    <w:rsid w:val="0059512F"/>
    <w:rsid w:val="005958C1"/>
    <w:rsid w:val="00595CBC"/>
    <w:rsid w:val="0059628E"/>
    <w:rsid w:val="00596374"/>
    <w:rsid w:val="0059689A"/>
    <w:rsid w:val="0059693F"/>
    <w:rsid w:val="00596EB9"/>
    <w:rsid w:val="00597F3B"/>
    <w:rsid w:val="005A0855"/>
    <w:rsid w:val="005A0FAE"/>
    <w:rsid w:val="005A1130"/>
    <w:rsid w:val="005A128C"/>
    <w:rsid w:val="005A1385"/>
    <w:rsid w:val="005A2562"/>
    <w:rsid w:val="005A37C6"/>
    <w:rsid w:val="005A3F1D"/>
    <w:rsid w:val="005A49D6"/>
    <w:rsid w:val="005A5117"/>
    <w:rsid w:val="005A5B27"/>
    <w:rsid w:val="005A66A6"/>
    <w:rsid w:val="005A7652"/>
    <w:rsid w:val="005A799B"/>
    <w:rsid w:val="005B0829"/>
    <w:rsid w:val="005B1390"/>
    <w:rsid w:val="005B1855"/>
    <w:rsid w:val="005B1E08"/>
    <w:rsid w:val="005B26AF"/>
    <w:rsid w:val="005B2924"/>
    <w:rsid w:val="005B2C3B"/>
    <w:rsid w:val="005B3295"/>
    <w:rsid w:val="005B3E6E"/>
    <w:rsid w:val="005B3FFD"/>
    <w:rsid w:val="005B4937"/>
    <w:rsid w:val="005B495B"/>
    <w:rsid w:val="005B4EBF"/>
    <w:rsid w:val="005B53A9"/>
    <w:rsid w:val="005B5522"/>
    <w:rsid w:val="005B6303"/>
    <w:rsid w:val="005B644F"/>
    <w:rsid w:val="005B65F3"/>
    <w:rsid w:val="005B6F8D"/>
    <w:rsid w:val="005B6FFB"/>
    <w:rsid w:val="005B7511"/>
    <w:rsid w:val="005B757A"/>
    <w:rsid w:val="005B7584"/>
    <w:rsid w:val="005C0B69"/>
    <w:rsid w:val="005C0D45"/>
    <w:rsid w:val="005C1F35"/>
    <w:rsid w:val="005C220C"/>
    <w:rsid w:val="005C280A"/>
    <w:rsid w:val="005C3661"/>
    <w:rsid w:val="005C4397"/>
    <w:rsid w:val="005C5711"/>
    <w:rsid w:val="005C584A"/>
    <w:rsid w:val="005C5884"/>
    <w:rsid w:val="005C68A3"/>
    <w:rsid w:val="005C6F49"/>
    <w:rsid w:val="005C707C"/>
    <w:rsid w:val="005D0856"/>
    <w:rsid w:val="005D0C9D"/>
    <w:rsid w:val="005D2169"/>
    <w:rsid w:val="005D30F8"/>
    <w:rsid w:val="005D34E8"/>
    <w:rsid w:val="005D359A"/>
    <w:rsid w:val="005D3877"/>
    <w:rsid w:val="005D3AFF"/>
    <w:rsid w:val="005D41FE"/>
    <w:rsid w:val="005D43EF"/>
    <w:rsid w:val="005D47F3"/>
    <w:rsid w:val="005D5864"/>
    <w:rsid w:val="005D58D3"/>
    <w:rsid w:val="005D5CA9"/>
    <w:rsid w:val="005D5E1B"/>
    <w:rsid w:val="005D5EBE"/>
    <w:rsid w:val="005D5F00"/>
    <w:rsid w:val="005D600C"/>
    <w:rsid w:val="005D6890"/>
    <w:rsid w:val="005D68D4"/>
    <w:rsid w:val="005E1282"/>
    <w:rsid w:val="005E19BE"/>
    <w:rsid w:val="005E23A8"/>
    <w:rsid w:val="005E2619"/>
    <w:rsid w:val="005E271A"/>
    <w:rsid w:val="005E271F"/>
    <w:rsid w:val="005E3319"/>
    <w:rsid w:val="005E3D9C"/>
    <w:rsid w:val="005E485A"/>
    <w:rsid w:val="005E4A64"/>
    <w:rsid w:val="005E5285"/>
    <w:rsid w:val="005E5C5B"/>
    <w:rsid w:val="005E5DFC"/>
    <w:rsid w:val="005E630C"/>
    <w:rsid w:val="005E632D"/>
    <w:rsid w:val="005E641B"/>
    <w:rsid w:val="005E68D0"/>
    <w:rsid w:val="005E6F6F"/>
    <w:rsid w:val="005E79AF"/>
    <w:rsid w:val="005E7BC1"/>
    <w:rsid w:val="005F0F05"/>
    <w:rsid w:val="005F15D0"/>
    <w:rsid w:val="005F2F80"/>
    <w:rsid w:val="005F3594"/>
    <w:rsid w:val="005F3D71"/>
    <w:rsid w:val="005F3E99"/>
    <w:rsid w:val="005F40F0"/>
    <w:rsid w:val="005F410A"/>
    <w:rsid w:val="005F48EE"/>
    <w:rsid w:val="005F655C"/>
    <w:rsid w:val="005F6BB4"/>
    <w:rsid w:val="005F7909"/>
    <w:rsid w:val="005F7B20"/>
    <w:rsid w:val="005F7DBA"/>
    <w:rsid w:val="005F7E92"/>
    <w:rsid w:val="0060085F"/>
    <w:rsid w:val="00600DA2"/>
    <w:rsid w:val="006010A9"/>
    <w:rsid w:val="0060147E"/>
    <w:rsid w:val="0060271D"/>
    <w:rsid w:val="00602B77"/>
    <w:rsid w:val="00603466"/>
    <w:rsid w:val="0060353D"/>
    <w:rsid w:val="00603FEA"/>
    <w:rsid w:val="00605142"/>
    <w:rsid w:val="00605980"/>
    <w:rsid w:val="00605B4A"/>
    <w:rsid w:val="00605DD4"/>
    <w:rsid w:val="0060728F"/>
    <w:rsid w:val="0060798A"/>
    <w:rsid w:val="00607D12"/>
    <w:rsid w:val="00607ED3"/>
    <w:rsid w:val="006101B8"/>
    <w:rsid w:val="006104A8"/>
    <w:rsid w:val="0061082E"/>
    <w:rsid w:val="00610834"/>
    <w:rsid w:val="00610907"/>
    <w:rsid w:val="00611049"/>
    <w:rsid w:val="0061123F"/>
    <w:rsid w:val="006113E4"/>
    <w:rsid w:val="00611B5E"/>
    <w:rsid w:val="00611C4C"/>
    <w:rsid w:val="006125BF"/>
    <w:rsid w:val="0061283D"/>
    <w:rsid w:val="00612B84"/>
    <w:rsid w:val="00612BDB"/>
    <w:rsid w:val="006138F0"/>
    <w:rsid w:val="00613962"/>
    <w:rsid w:val="00613D91"/>
    <w:rsid w:val="00613FDE"/>
    <w:rsid w:val="006141C6"/>
    <w:rsid w:val="006143BF"/>
    <w:rsid w:val="0061458D"/>
    <w:rsid w:val="00614658"/>
    <w:rsid w:val="00614C7D"/>
    <w:rsid w:val="00615590"/>
    <w:rsid w:val="006157B8"/>
    <w:rsid w:val="0061608E"/>
    <w:rsid w:val="006160BC"/>
    <w:rsid w:val="00616717"/>
    <w:rsid w:val="00616812"/>
    <w:rsid w:val="0061683F"/>
    <w:rsid w:val="006173D1"/>
    <w:rsid w:val="0061743D"/>
    <w:rsid w:val="006177B8"/>
    <w:rsid w:val="006178F9"/>
    <w:rsid w:val="00617FE9"/>
    <w:rsid w:val="006208C4"/>
    <w:rsid w:val="006210CF"/>
    <w:rsid w:val="006213C2"/>
    <w:rsid w:val="00622841"/>
    <w:rsid w:val="00623F27"/>
    <w:rsid w:val="006242CD"/>
    <w:rsid w:val="00624589"/>
    <w:rsid w:val="00624FA8"/>
    <w:rsid w:val="006250FF"/>
    <w:rsid w:val="006254C6"/>
    <w:rsid w:val="0062589E"/>
    <w:rsid w:val="00625B33"/>
    <w:rsid w:val="00626265"/>
    <w:rsid w:val="006262AD"/>
    <w:rsid w:val="00626AAE"/>
    <w:rsid w:val="00627330"/>
    <w:rsid w:val="0063000A"/>
    <w:rsid w:val="00630168"/>
    <w:rsid w:val="00630B0A"/>
    <w:rsid w:val="0063168D"/>
    <w:rsid w:val="00631826"/>
    <w:rsid w:val="00631DA4"/>
    <w:rsid w:val="0063215F"/>
    <w:rsid w:val="00632B5B"/>
    <w:rsid w:val="00632F11"/>
    <w:rsid w:val="00633907"/>
    <w:rsid w:val="00633B3E"/>
    <w:rsid w:val="00633CE8"/>
    <w:rsid w:val="00633DF1"/>
    <w:rsid w:val="00634DCF"/>
    <w:rsid w:val="0063534E"/>
    <w:rsid w:val="00635BC9"/>
    <w:rsid w:val="0063679F"/>
    <w:rsid w:val="006368C0"/>
    <w:rsid w:val="00636A49"/>
    <w:rsid w:val="00636FB0"/>
    <w:rsid w:val="00637421"/>
    <w:rsid w:val="00637722"/>
    <w:rsid w:val="00637D73"/>
    <w:rsid w:val="00637ED0"/>
    <w:rsid w:val="00637F3E"/>
    <w:rsid w:val="0064009F"/>
    <w:rsid w:val="006402C5"/>
    <w:rsid w:val="006409F3"/>
    <w:rsid w:val="00641185"/>
    <w:rsid w:val="00641204"/>
    <w:rsid w:val="006412E8"/>
    <w:rsid w:val="0064231B"/>
    <w:rsid w:val="0064373B"/>
    <w:rsid w:val="00643B86"/>
    <w:rsid w:val="00644532"/>
    <w:rsid w:val="00644908"/>
    <w:rsid w:val="00644E87"/>
    <w:rsid w:val="00646931"/>
    <w:rsid w:val="00646B65"/>
    <w:rsid w:val="00646FBB"/>
    <w:rsid w:val="006479F9"/>
    <w:rsid w:val="00647DFB"/>
    <w:rsid w:val="00650A4E"/>
    <w:rsid w:val="006515ED"/>
    <w:rsid w:val="00651602"/>
    <w:rsid w:val="00651D4A"/>
    <w:rsid w:val="0065217D"/>
    <w:rsid w:val="0065262B"/>
    <w:rsid w:val="00653B1F"/>
    <w:rsid w:val="00653DFC"/>
    <w:rsid w:val="00654310"/>
    <w:rsid w:val="006548F2"/>
    <w:rsid w:val="00654A02"/>
    <w:rsid w:val="00654ACE"/>
    <w:rsid w:val="00654E43"/>
    <w:rsid w:val="00655C66"/>
    <w:rsid w:val="00656378"/>
    <w:rsid w:val="006563A5"/>
    <w:rsid w:val="00657D27"/>
    <w:rsid w:val="00660329"/>
    <w:rsid w:val="006606C4"/>
    <w:rsid w:val="0066208D"/>
    <w:rsid w:val="00662427"/>
    <w:rsid w:val="006638F0"/>
    <w:rsid w:val="00663B0F"/>
    <w:rsid w:val="00664E6D"/>
    <w:rsid w:val="006655E9"/>
    <w:rsid w:val="00665A32"/>
    <w:rsid w:val="00665BC4"/>
    <w:rsid w:val="00665C4A"/>
    <w:rsid w:val="00665EFA"/>
    <w:rsid w:val="00666364"/>
    <w:rsid w:val="00667AEE"/>
    <w:rsid w:val="00667AFC"/>
    <w:rsid w:val="0067023C"/>
    <w:rsid w:val="00670569"/>
    <w:rsid w:val="00670DC4"/>
    <w:rsid w:val="006719D7"/>
    <w:rsid w:val="00671FF9"/>
    <w:rsid w:val="00672114"/>
    <w:rsid w:val="006724E3"/>
    <w:rsid w:val="0067373B"/>
    <w:rsid w:val="0067389D"/>
    <w:rsid w:val="00674064"/>
    <w:rsid w:val="00674274"/>
    <w:rsid w:val="00675281"/>
    <w:rsid w:val="006754C5"/>
    <w:rsid w:val="00675A36"/>
    <w:rsid w:val="00675F65"/>
    <w:rsid w:val="00676BAF"/>
    <w:rsid w:val="00676DF9"/>
    <w:rsid w:val="006776D4"/>
    <w:rsid w:val="006778BA"/>
    <w:rsid w:val="00677DC6"/>
    <w:rsid w:val="00680546"/>
    <w:rsid w:val="00680772"/>
    <w:rsid w:val="00683B66"/>
    <w:rsid w:val="0068579D"/>
    <w:rsid w:val="0068580D"/>
    <w:rsid w:val="00685DC9"/>
    <w:rsid w:val="0068647C"/>
    <w:rsid w:val="00686686"/>
    <w:rsid w:val="00687299"/>
    <w:rsid w:val="00687739"/>
    <w:rsid w:val="006879D2"/>
    <w:rsid w:val="00690512"/>
    <w:rsid w:val="00690869"/>
    <w:rsid w:val="00690F85"/>
    <w:rsid w:val="00691287"/>
    <w:rsid w:val="0069182E"/>
    <w:rsid w:val="00693976"/>
    <w:rsid w:val="00694862"/>
    <w:rsid w:val="00694B47"/>
    <w:rsid w:val="00695E63"/>
    <w:rsid w:val="00695EB6"/>
    <w:rsid w:val="006964FC"/>
    <w:rsid w:val="00697228"/>
    <w:rsid w:val="006978AC"/>
    <w:rsid w:val="00697C9F"/>
    <w:rsid w:val="006A1338"/>
    <w:rsid w:val="006A18C5"/>
    <w:rsid w:val="006A1DCB"/>
    <w:rsid w:val="006A213D"/>
    <w:rsid w:val="006A2913"/>
    <w:rsid w:val="006A2B94"/>
    <w:rsid w:val="006A3351"/>
    <w:rsid w:val="006A37B5"/>
    <w:rsid w:val="006A3874"/>
    <w:rsid w:val="006A3B27"/>
    <w:rsid w:val="006A3DC4"/>
    <w:rsid w:val="006A3EEC"/>
    <w:rsid w:val="006A42DB"/>
    <w:rsid w:val="006A4754"/>
    <w:rsid w:val="006A56C2"/>
    <w:rsid w:val="006A622A"/>
    <w:rsid w:val="006A697B"/>
    <w:rsid w:val="006A6FEA"/>
    <w:rsid w:val="006A70E5"/>
    <w:rsid w:val="006A787E"/>
    <w:rsid w:val="006A7E90"/>
    <w:rsid w:val="006A7F9E"/>
    <w:rsid w:val="006A7FA0"/>
    <w:rsid w:val="006B0068"/>
    <w:rsid w:val="006B0140"/>
    <w:rsid w:val="006B06B0"/>
    <w:rsid w:val="006B119D"/>
    <w:rsid w:val="006B156A"/>
    <w:rsid w:val="006B1F3E"/>
    <w:rsid w:val="006B21DC"/>
    <w:rsid w:val="006B3B77"/>
    <w:rsid w:val="006B3CED"/>
    <w:rsid w:val="006B42CA"/>
    <w:rsid w:val="006B4631"/>
    <w:rsid w:val="006B46EF"/>
    <w:rsid w:val="006B4C35"/>
    <w:rsid w:val="006B5744"/>
    <w:rsid w:val="006B58ED"/>
    <w:rsid w:val="006B5D2A"/>
    <w:rsid w:val="006B6295"/>
    <w:rsid w:val="006B688D"/>
    <w:rsid w:val="006B728E"/>
    <w:rsid w:val="006B78AF"/>
    <w:rsid w:val="006C00C2"/>
    <w:rsid w:val="006C0174"/>
    <w:rsid w:val="006C06A2"/>
    <w:rsid w:val="006C0990"/>
    <w:rsid w:val="006C10B8"/>
    <w:rsid w:val="006C1702"/>
    <w:rsid w:val="006C20D1"/>
    <w:rsid w:val="006C2737"/>
    <w:rsid w:val="006C2AA6"/>
    <w:rsid w:val="006C2C1E"/>
    <w:rsid w:val="006C3969"/>
    <w:rsid w:val="006C41AE"/>
    <w:rsid w:val="006C42BC"/>
    <w:rsid w:val="006C45E8"/>
    <w:rsid w:val="006C465A"/>
    <w:rsid w:val="006C4819"/>
    <w:rsid w:val="006C5633"/>
    <w:rsid w:val="006C73A0"/>
    <w:rsid w:val="006C7D6A"/>
    <w:rsid w:val="006D029C"/>
    <w:rsid w:val="006D0FBA"/>
    <w:rsid w:val="006D2D0F"/>
    <w:rsid w:val="006D30F9"/>
    <w:rsid w:val="006D3D0A"/>
    <w:rsid w:val="006D4355"/>
    <w:rsid w:val="006D4A8C"/>
    <w:rsid w:val="006D5236"/>
    <w:rsid w:val="006D6931"/>
    <w:rsid w:val="006D7094"/>
    <w:rsid w:val="006D763D"/>
    <w:rsid w:val="006D77C5"/>
    <w:rsid w:val="006E0B63"/>
    <w:rsid w:val="006E0C08"/>
    <w:rsid w:val="006E19AC"/>
    <w:rsid w:val="006E1E76"/>
    <w:rsid w:val="006E2DF9"/>
    <w:rsid w:val="006E2EE2"/>
    <w:rsid w:val="006E3137"/>
    <w:rsid w:val="006E3345"/>
    <w:rsid w:val="006E358A"/>
    <w:rsid w:val="006E38EB"/>
    <w:rsid w:val="006E3EB3"/>
    <w:rsid w:val="006E417B"/>
    <w:rsid w:val="006E4A46"/>
    <w:rsid w:val="006E4F8A"/>
    <w:rsid w:val="006E51BC"/>
    <w:rsid w:val="006E63F1"/>
    <w:rsid w:val="006E67DF"/>
    <w:rsid w:val="006E7557"/>
    <w:rsid w:val="006E7696"/>
    <w:rsid w:val="006E7F03"/>
    <w:rsid w:val="006E7F5B"/>
    <w:rsid w:val="006F061B"/>
    <w:rsid w:val="006F0D76"/>
    <w:rsid w:val="006F120A"/>
    <w:rsid w:val="006F14A2"/>
    <w:rsid w:val="006F200F"/>
    <w:rsid w:val="006F212F"/>
    <w:rsid w:val="006F2F04"/>
    <w:rsid w:val="006F3B85"/>
    <w:rsid w:val="006F4B48"/>
    <w:rsid w:val="006F5339"/>
    <w:rsid w:val="006F58CE"/>
    <w:rsid w:val="006F5FD2"/>
    <w:rsid w:val="006F638C"/>
    <w:rsid w:val="006F6596"/>
    <w:rsid w:val="006F6B84"/>
    <w:rsid w:val="006F7187"/>
    <w:rsid w:val="006F7A9C"/>
    <w:rsid w:val="006F7B53"/>
    <w:rsid w:val="006F7CF5"/>
    <w:rsid w:val="00700063"/>
    <w:rsid w:val="007000A3"/>
    <w:rsid w:val="00700164"/>
    <w:rsid w:val="007009CD"/>
    <w:rsid w:val="00700E41"/>
    <w:rsid w:val="007010EB"/>
    <w:rsid w:val="007013A4"/>
    <w:rsid w:val="007015F9"/>
    <w:rsid w:val="00701799"/>
    <w:rsid w:val="0070253C"/>
    <w:rsid w:val="00702628"/>
    <w:rsid w:val="007027DD"/>
    <w:rsid w:val="007037E9"/>
    <w:rsid w:val="00703EF8"/>
    <w:rsid w:val="00704A6C"/>
    <w:rsid w:val="00704CEF"/>
    <w:rsid w:val="00705413"/>
    <w:rsid w:val="00706134"/>
    <w:rsid w:val="007061B8"/>
    <w:rsid w:val="00706449"/>
    <w:rsid w:val="007066B7"/>
    <w:rsid w:val="007069FE"/>
    <w:rsid w:val="00706FDE"/>
    <w:rsid w:val="00707951"/>
    <w:rsid w:val="00707AEB"/>
    <w:rsid w:val="007101A7"/>
    <w:rsid w:val="0071083E"/>
    <w:rsid w:val="00710909"/>
    <w:rsid w:val="00710A21"/>
    <w:rsid w:val="00710D24"/>
    <w:rsid w:val="007112E2"/>
    <w:rsid w:val="00711A99"/>
    <w:rsid w:val="00711F4D"/>
    <w:rsid w:val="0071295D"/>
    <w:rsid w:val="00713647"/>
    <w:rsid w:val="007138DE"/>
    <w:rsid w:val="007138E8"/>
    <w:rsid w:val="007141F8"/>
    <w:rsid w:val="0071424E"/>
    <w:rsid w:val="0071449A"/>
    <w:rsid w:val="00714985"/>
    <w:rsid w:val="00714D08"/>
    <w:rsid w:val="00715018"/>
    <w:rsid w:val="007153A3"/>
    <w:rsid w:val="0071562E"/>
    <w:rsid w:val="007160D1"/>
    <w:rsid w:val="00716374"/>
    <w:rsid w:val="00716697"/>
    <w:rsid w:val="00716C98"/>
    <w:rsid w:val="007215F6"/>
    <w:rsid w:val="00721B0D"/>
    <w:rsid w:val="00722258"/>
    <w:rsid w:val="00722336"/>
    <w:rsid w:val="00722421"/>
    <w:rsid w:val="00722577"/>
    <w:rsid w:val="007227C4"/>
    <w:rsid w:val="007231C0"/>
    <w:rsid w:val="007232E0"/>
    <w:rsid w:val="00724A0A"/>
    <w:rsid w:val="00724BC8"/>
    <w:rsid w:val="00725310"/>
    <w:rsid w:val="00725544"/>
    <w:rsid w:val="007258D4"/>
    <w:rsid w:val="00725DCE"/>
    <w:rsid w:val="00725FD6"/>
    <w:rsid w:val="007262D8"/>
    <w:rsid w:val="007266FB"/>
    <w:rsid w:val="007277F1"/>
    <w:rsid w:val="00730054"/>
    <w:rsid w:val="007302E4"/>
    <w:rsid w:val="00730EB9"/>
    <w:rsid w:val="00731062"/>
    <w:rsid w:val="00731323"/>
    <w:rsid w:val="007313C3"/>
    <w:rsid w:val="00731C60"/>
    <w:rsid w:val="00732048"/>
    <w:rsid w:val="00732088"/>
    <w:rsid w:val="00732369"/>
    <w:rsid w:val="00733187"/>
    <w:rsid w:val="00733E9E"/>
    <w:rsid w:val="007343FF"/>
    <w:rsid w:val="00734536"/>
    <w:rsid w:val="007349F6"/>
    <w:rsid w:val="007359A6"/>
    <w:rsid w:val="007360B6"/>
    <w:rsid w:val="007361AB"/>
    <w:rsid w:val="007361F8"/>
    <w:rsid w:val="00736CA8"/>
    <w:rsid w:val="007371F9"/>
    <w:rsid w:val="0073757A"/>
    <w:rsid w:val="00737743"/>
    <w:rsid w:val="00737FFE"/>
    <w:rsid w:val="007403AF"/>
    <w:rsid w:val="00740950"/>
    <w:rsid w:val="0074158F"/>
    <w:rsid w:val="00741617"/>
    <w:rsid w:val="0074182A"/>
    <w:rsid w:val="007421BC"/>
    <w:rsid w:val="007424F1"/>
    <w:rsid w:val="00742AAF"/>
    <w:rsid w:val="00742D8D"/>
    <w:rsid w:val="007431F9"/>
    <w:rsid w:val="00743F20"/>
    <w:rsid w:val="00744BB3"/>
    <w:rsid w:val="00744C76"/>
    <w:rsid w:val="00744D09"/>
    <w:rsid w:val="007451E4"/>
    <w:rsid w:val="0074619E"/>
    <w:rsid w:val="00746AC8"/>
    <w:rsid w:val="00747B29"/>
    <w:rsid w:val="00750509"/>
    <w:rsid w:val="00750EF4"/>
    <w:rsid w:val="00751225"/>
    <w:rsid w:val="007514CD"/>
    <w:rsid w:val="0075197F"/>
    <w:rsid w:val="0075241C"/>
    <w:rsid w:val="00752447"/>
    <w:rsid w:val="00752617"/>
    <w:rsid w:val="0075282C"/>
    <w:rsid w:val="0075286B"/>
    <w:rsid w:val="00752D18"/>
    <w:rsid w:val="00753481"/>
    <w:rsid w:val="007535F1"/>
    <w:rsid w:val="00753A7B"/>
    <w:rsid w:val="00753B45"/>
    <w:rsid w:val="0075432F"/>
    <w:rsid w:val="00754BEF"/>
    <w:rsid w:val="00754D68"/>
    <w:rsid w:val="0075550B"/>
    <w:rsid w:val="00755578"/>
    <w:rsid w:val="0075611D"/>
    <w:rsid w:val="00756A16"/>
    <w:rsid w:val="0075769B"/>
    <w:rsid w:val="00757912"/>
    <w:rsid w:val="00757D06"/>
    <w:rsid w:val="00760512"/>
    <w:rsid w:val="00760C11"/>
    <w:rsid w:val="0076154E"/>
    <w:rsid w:val="00762092"/>
    <w:rsid w:val="00762375"/>
    <w:rsid w:val="00762782"/>
    <w:rsid w:val="00762B3C"/>
    <w:rsid w:val="00763088"/>
    <w:rsid w:val="007632D0"/>
    <w:rsid w:val="00763FF1"/>
    <w:rsid w:val="007648DF"/>
    <w:rsid w:val="00764DC4"/>
    <w:rsid w:val="0076522A"/>
    <w:rsid w:val="007656CC"/>
    <w:rsid w:val="00766364"/>
    <w:rsid w:val="007730FC"/>
    <w:rsid w:val="0077373E"/>
    <w:rsid w:val="00773DB1"/>
    <w:rsid w:val="00773F80"/>
    <w:rsid w:val="00774099"/>
    <w:rsid w:val="00774618"/>
    <w:rsid w:val="00774683"/>
    <w:rsid w:val="00774947"/>
    <w:rsid w:val="00774A01"/>
    <w:rsid w:val="00774D91"/>
    <w:rsid w:val="00775E44"/>
    <w:rsid w:val="00775E7D"/>
    <w:rsid w:val="007763C3"/>
    <w:rsid w:val="0077683C"/>
    <w:rsid w:val="0077684F"/>
    <w:rsid w:val="00777AD8"/>
    <w:rsid w:val="00780506"/>
    <w:rsid w:val="00780E3A"/>
    <w:rsid w:val="00782A11"/>
    <w:rsid w:val="00783128"/>
    <w:rsid w:val="00783F3C"/>
    <w:rsid w:val="007844A8"/>
    <w:rsid w:val="007860CB"/>
    <w:rsid w:val="00786193"/>
    <w:rsid w:val="00786441"/>
    <w:rsid w:val="00786454"/>
    <w:rsid w:val="00786C88"/>
    <w:rsid w:val="007906B6"/>
    <w:rsid w:val="00791144"/>
    <w:rsid w:val="007913AD"/>
    <w:rsid w:val="00791CB3"/>
    <w:rsid w:val="00792981"/>
    <w:rsid w:val="00793F12"/>
    <w:rsid w:val="00793F35"/>
    <w:rsid w:val="0079475E"/>
    <w:rsid w:val="00794DA5"/>
    <w:rsid w:val="00794DE5"/>
    <w:rsid w:val="00795113"/>
    <w:rsid w:val="00795357"/>
    <w:rsid w:val="0079542C"/>
    <w:rsid w:val="00795E16"/>
    <w:rsid w:val="007960C5"/>
    <w:rsid w:val="00796BD1"/>
    <w:rsid w:val="0079710F"/>
    <w:rsid w:val="007A0372"/>
    <w:rsid w:val="007A0B6A"/>
    <w:rsid w:val="007A0DCB"/>
    <w:rsid w:val="007A12B2"/>
    <w:rsid w:val="007A1663"/>
    <w:rsid w:val="007A1A5D"/>
    <w:rsid w:val="007A2144"/>
    <w:rsid w:val="007A24DC"/>
    <w:rsid w:val="007A2AD6"/>
    <w:rsid w:val="007A2B4F"/>
    <w:rsid w:val="007A3C2A"/>
    <w:rsid w:val="007A494B"/>
    <w:rsid w:val="007A4B27"/>
    <w:rsid w:val="007A4D66"/>
    <w:rsid w:val="007A5D91"/>
    <w:rsid w:val="007A6354"/>
    <w:rsid w:val="007A70D0"/>
    <w:rsid w:val="007A79A1"/>
    <w:rsid w:val="007A7A93"/>
    <w:rsid w:val="007A7AA9"/>
    <w:rsid w:val="007A7C87"/>
    <w:rsid w:val="007B01D9"/>
    <w:rsid w:val="007B079F"/>
    <w:rsid w:val="007B0D0B"/>
    <w:rsid w:val="007B1573"/>
    <w:rsid w:val="007B18DD"/>
    <w:rsid w:val="007B1D4A"/>
    <w:rsid w:val="007B20C1"/>
    <w:rsid w:val="007B2A4F"/>
    <w:rsid w:val="007B2E8E"/>
    <w:rsid w:val="007B309C"/>
    <w:rsid w:val="007B3100"/>
    <w:rsid w:val="007B3B0E"/>
    <w:rsid w:val="007B3C9D"/>
    <w:rsid w:val="007B3F01"/>
    <w:rsid w:val="007B4068"/>
    <w:rsid w:val="007B4478"/>
    <w:rsid w:val="007B48C6"/>
    <w:rsid w:val="007B499B"/>
    <w:rsid w:val="007B4B4D"/>
    <w:rsid w:val="007B5E31"/>
    <w:rsid w:val="007B61CF"/>
    <w:rsid w:val="007B6803"/>
    <w:rsid w:val="007B68CB"/>
    <w:rsid w:val="007B726F"/>
    <w:rsid w:val="007B763F"/>
    <w:rsid w:val="007C0170"/>
    <w:rsid w:val="007C01F4"/>
    <w:rsid w:val="007C09FB"/>
    <w:rsid w:val="007C0B10"/>
    <w:rsid w:val="007C1564"/>
    <w:rsid w:val="007C1901"/>
    <w:rsid w:val="007C1CC0"/>
    <w:rsid w:val="007C1E51"/>
    <w:rsid w:val="007C2C85"/>
    <w:rsid w:val="007C2FA6"/>
    <w:rsid w:val="007C313F"/>
    <w:rsid w:val="007C319F"/>
    <w:rsid w:val="007C339B"/>
    <w:rsid w:val="007C3463"/>
    <w:rsid w:val="007C3511"/>
    <w:rsid w:val="007C41BC"/>
    <w:rsid w:val="007C482F"/>
    <w:rsid w:val="007C57DD"/>
    <w:rsid w:val="007C5D65"/>
    <w:rsid w:val="007C630E"/>
    <w:rsid w:val="007C6611"/>
    <w:rsid w:val="007C6DC3"/>
    <w:rsid w:val="007C78C7"/>
    <w:rsid w:val="007C799B"/>
    <w:rsid w:val="007C7C41"/>
    <w:rsid w:val="007D14C2"/>
    <w:rsid w:val="007D14ED"/>
    <w:rsid w:val="007D2069"/>
    <w:rsid w:val="007D248F"/>
    <w:rsid w:val="007D27DE"/>
    <w:rsid w:val="007D2CFF"/>
    <w:rsid w:val="007D305A"/>
    <w:rsid w:val="007D311B"/>
    <w:rsid w:val="007D380B"/>
    <w:rsid w:val="007D4CD7"/>
    <w:rsid w:val="007D4D89"/>
    <w:rsid w:val="007D4E07"/>
    <w:rsid w:val="007D55D9"/>
    <w:rsid w:val="007D583B"/>
    <w:rsid w:val="007D5DF8"/>
    <w:rsid w:val="007D6FB4"/>
    <w:rsid w:val="007D7D99"/>
    <w:rsid w:val="007D7DFC"/>
    <w:rsid w:val="007E0FCF"/>
    <w:rsid w:val="007E16B9"/>
    <w:rsid w:val="007E16BF"/>
    <w:rsid w:val="007E1A6F"/>
    <w:rsid w:val="007E1BF5"/>
    <w:rsid w:val="007E28F1"/>
    <w:rsid w:val="007E3929"/>
    <w:rsid w:val="007E4482"/>
    <w:rsid w:val="007E474E"/>
    <w:rsid w:val="007E48F1"/>
    <w:rsid w:val="007E5632"/>
    <w:rsid w:val="007E57E2"/>
    <w:rsid w:val="007E5ABC"/>
    <w:rsid w:val="007E5BE5"/>
    <w:rsid w:val="007E5F26"/>
    <w:rsid w:val="007E62FA"/>
    <w:rsid w:val="007E64B7"/>
    <w:rsid w:val="007E7933"/>
    <w:rsid w:val="007E7A10"/>
    <w:rsid w:val="007F05C8"/>
    <w:rsid w:val="007F0E23"/>
    <w:rsid w:val="007F12A4"/>
    <w:rsid w:val="007F2078"/>
    <w:rsid w:val="007F225E"/>
    <w:rsid w:val="007F25F6"/>
    <w:rsid w:val="007F2788"/>
    <w:rsid w:val="007F2B48"/>
    <w:rsid w:val="007F335A"/>
    <w:rsid w:val="007F3766"/>
    <w:rsid w:val="007F39A0"/>
    <w:rsid w:val="007F3A36"/>
    <w:rsid w:val="007F3AA6"/>
    <w:rsid w:val="007F3B7F"/>
    <w:rsid w:val="007F3CB6"/>
    <w:rsid w:val="007F46F3"/>
    <w:rsid w:val="007F4CD3"/>
    <w:rsid w:val="007F56F0"/>
    <w:rsid w:val="007F57E2"/>
    <w:rsid w:val="007F597E"/>
    <w:rsid w:val="007F5DF5"/>
    <w:rsid w:val="007F6BE0"/>
    <w:rsid w:val="00800359"/>
    <w:rsid w:val="00800BD7"/>
    <w:rsid w:val="00800C10"/>
    <w:rsid w:val="00800DE1"/>
    <w:rsid w:val="00801725"/>
    <w:rsid w:val="00802675"/>
    <w:rsid w:val="00802786"/>
    <w:rsid w:val="00802DE4"/>
    <w:rsid w:val="00803307"/>
    <w:rsid w:val="00803426"/>
    <w:rsid w:val="008035FB"/>
    <w:rsid w:val="008047D3"/>
    <w:rsid w:val="008049FD"/>
    <w:rsid w:val="00804D47"/>
    <w:rsid w:val="0080558E"/>
    <w:rsid w:val="00805792"/>
    <w:rsid w:val="00806CE0"/>
    <w:rsid w:val="00806E11"/>
    <w:rsid w:val="0080746E"/>
    <w:rsid w:val="00810731"/>
    <w:rsid w:val="0081103D"/>
    <w:rsid w:val="0081127E"/>
    <w:rsid w:val="008120D1"/>
    <w:rsid w:val="00812222"/>
    <w:rsid w:val="0081322E"/>
    <w:rsid w:val="00813344"/>
    <w:rsid w:val="0081375F"/>
    <w:rsid w:val="00813B03"/>
    <w:rsid w:val="00813D82"/>
    <w:rsid w:val="00813FE4"/>
    <w:rsid w:val="00814449"/>
    <w:rsid w:val="00814B78"/>
    <w:rsid w:val="00814DC6"/>
    <w:rsid w:val="00815C65"/>
    <w:rsid w:val="00816491"/>
    <w:rsid w:val="008165A5"/>
    <w:rsid w:val="0081677F"/>
    <w:rsid w:val="008167C2"/>
    <w:rsid w:val="00817E7B"/>
    <w:rsid w:val="00817EC8"/>
    <w:rsid w:val="0082014B"/>
    <w:rsid w:val="008205BB"/>
    <w:rsid w:val="008205DE"/>
    <w:rsid w:val="008209D7"/>
    <w:rsid w:val="00820A7C"/>
    <w:rsid w:val="00821426"/>
    <w:rsid w:val="0082208E"/>
    <w:rsid w:val="0082292A"/>
    <w:rsid w:val="00822B86"/>
    <w:rsid w:val="00822BEA"/>
    <w:rsid w:val="00822F6E"/>
    <w:rsid w:val="00823586"/>
    <w:rsid w:val="008237AC"/>
    <w:rsid w:val="00823E92"/>
    <w:rsid w:val="00825107"/>
    <w:rsid w:val="0082580B"/>
    <w:rsid w:val="00826232"/>
    <w:rsid w:val="008277CB"/>
    <w:rsid w:val="00827839"/>
    <w:rsid w:val="00827A42"/>
    <w:rsid w:val="00827F2F"/>
    <w:rsid w:val="008305BB"/>
    <w:rsid w:val="0083062C"/>
    <w:rsid w:val="00830A24"/>
    <w:rsid w:val="00830BF8"/>
    <w:rsid w:val="00830C21"/>
    <w:rsid w:val="00830D4C"/>
    <w:rsid w:val="00831364"/>
    <w:rsid w:val="00831421"/>
    <w:rsid w:val="0083143E"/>
    <w:rsid w:val="008317B4"/>
    <w:rsid w:val="00831E48"/>
    <w:rsid w:val="0083223C"/>
    <w:rsid w:val="00832EEB"/>
    <w:rsid w:val="008335C8"/>
    <w:rsid w:val="00833AF4"/>
    <w:rsid w:val="00833F1B"/>
    <w:rsid w:val="00833F1E"/>
    <w:rsid w:val="0083412D"/>
    <w:rsid w:val="0083497D"/>
    <w:rsid w:val="00834A71"/>
    <w:rsid w:val="00834F55"/>
    <w:rsid w:val="00835B9E"/>
    <w:rsid w:val="0083610E"/>
    <w:rsid w:val="00836890"/>
    <w:rsid w:val="00836986"/>
    <w:rsid w:val="00836C79"/>
    <w:rsid w:val="00837F12"/>
    <w:rsid w:val="00840339"/>
    <w:rsid w:val="00840EC6"/>
    <w:rsid w:val="00841893"/>
    <w:rsid w:val="0084203D"/>
    <w:rsid w:val="00842111"/>
    <w:rsid w:val="008421E2"/>
    <w:rsid w:val="00842358"/>
    <w:rsid w:val="00842EF2"/>
    <w:rsid w:val="008432B4"/>
    <w:rsid w:val="00843639"/>
    <w:rsid w:val="00843D50"/>
    <w:rsid w:val="00843DA8"/>
    <w:rsid w:val="00844520"/>
    <w:rsid w:val="00844630"/>
    <w:rsid w:val="00844739"/>
    <w:rsid w:val="008449C4"/>
    <w:rsid w:val="008454F2"/>
    <w:rsid w:val="00845F10"/>
    <w:rsid w:val="008460F3"/>
    <w:rsid w:val="00846253"/>
    <w:rsid w:val="00846F64"/>
    <w:rsid w:val="00847711"/>
    <w:rsid w:val="00847F4F"/>
    <w:rsid w:val="0085003B"/>
    <w:rsid w:val="00850363"/>
    <w:rsid w:val="008504FB"/>
    <w:rsid w:val="00851111"/>
    <w:rsid w:val="00851BC4"/>
    <w:rsid w:val="008521DD"/>
    <w:rsid w:val="0085290F"/>
    <w:rsid w:val="00852D39"/>
    <w:rsid w:val="008535D3"/>
    <w:rsid w:val="008537E9"/>
    <w:rsid w:val="00854D19"/>
    <w:rsid w:val="00854DBF"/>
    <w:rsid w:val="00855604"/>
    <w:rsid w:val="00855AAC"/>
    <w:rsid w:val="00855C16"/>
    <w:rsid w:val="00855CE7"/>
    <w:rsid w:val="0085693C"/>
    <w:rsid w:val="00857131"/>
    <w:rsid w:val="00857496"/>
    <w:rsid w:val="0085763C"/>
    <w:rsid w:val="008578F9"/>
    <w:rsid w:val="00860AC1"/>
    <w:rsid w:val="00860BE4"/>
    <w:rsid w:val="0086116A"/>
    <w:rsid w:val="0086196B"/>
    <w:rsid w:val="00861C0D"/>
    <w:rsid w:val="00861EE8"/>
    <w:rsid w:val="00862AE6"/>
    <w:rsid w:val="00862B11"/>
    <w:rsid w:val="008636CE"/>
    <w:rsid w:val="00863BE0"/>
    <w:rsid w:val="00863E12"/>
    <w:rsid w:val="00863E6E"/>
    <w:rsid w:val="00864EA4"/>
    <w:rsid w:val="008656B3"/>
    <w:rsid w:val="00865F5B"/>
    <w:rsid w:val="008660DE"/>
    <w:rsid w:val="008661EB"/>
    <w:rsid w:val="00866FF0"/>
    <w:rsid w:val="0086706F"/>
    <w:rsid w:val="00867EE3"/>
    <w:rsid w:val="0087054D"/>
    <w:rsid w:val="0087090C"/>
    <w:rsid w:val="00870E3B"/>
    <w:rsid w:val="00870F73"/>
    <w:rsid w:val="00871635"/>
    <w:rsid w:val="008720E4"/>
    <w:rsid w:val="008725C1"/>
    <w:rsid w:val="008731BB"/>
    <w:rsid w:val="008732D9"/>
    <w:rsid w:val="00873708"/>
    <w:rsid w:val="008737C0"/>
    <w:rsid w:val="008738E6"/>
    <w:rsid w:val="00873B22"/>
    <w:rsid w:val="00873B2A"/>
    <w:rsid w:val="00873CF8"/>
    <w:rsid w:val="00873EF0"/>
    <w:rsid w:val="00874B88"/>
    <w:rsid w:val="00874BE6"/>
    <w:rsid w:val="00874C16"/>
    <w:rsid w:val="008750D3"/>
    <w:rsid w:val="008758A7"/>
    <w:rsid w:val="00875B6D"/>
    <w:rsid w:val="008763CB"/>
    <w:rsid w:val="008763D9"/>
    <w:rsid w:val="008767CB"/>
    <w:rsid w:val="00876E88"/>
    <w:rsid w:val="00877C75"/>
    <w:rsid w:val="00880888"/>
    <w:rsid w:val="00880A6A"/>
    <w:rsid w:val="00880F25"/>
    <w:rsid w:val="008816DF"/>
    <w:rsid w:val="00881BB0"/>
    <w:rsid w:val="008828A9"/>
    <w:rsid w:val="00883D58"/>
    <w:rsid w:val="00883E7F"/>
    <w:rsid w:val="00883EA9"/>
    <w:rsid w:val="008845D2"/>
    <w:rsid w:val="008847AF"/>
    <w:rsid w:val="008851B5"/>
    <w:rsid w:val="0088578D"/>
    <w:rsid w:val="00885B08"/>
    <w:rsid w:val="00885B94"/>
    <w:rsid w:val="00885C63"/>
    <w:rsid w:val="00885DA7"/>
    <w:rsid w:val="00886A6F"/>
    <w:rsid w:val="008879C9"/>
    <w:rsid w:val="00890377"/>
    <w:rsid w:val="0089046A"/>
    <w:rsid w:val="008913BE"/>
    <w:rsid w:val="00891C02"/>
    <w:rsid w:val="00891C1B"/>
    <w:rsid w:val="00892166"/>
    <w:rsid w:val="008927C1"/>
    <w:rsid w:val="0089297B"/>
    <w:rsid w:val="00892C11"/>
    <w:rsid w:val="008932D4"/>
    <w:rsid w:val="008933A5"/>
    <w:rsid w:val="0089423F"/>
    <w:rsid w:val="00894A0D"/>
    <w:rsid w:val="00894D26"/>
    <w:rsid w:val="008958C2"/>
    <w:rsid w:val="008961F8"/>
    <w:rsid w:val="00897F13"/>
    <w:rsid w:val="008A15E7"/>
    <w:rsid w:val="008A1A89"/>
    <w:rsid w:val="008A1D6F"/>
    <w:rsid w:val="008A23D0"/>
    <w:rsid w:val="008A2487"/>
    <w:rsid w:val="008A2A2D"/>
    <w:rsid w:val="008A2C6F"/>
    <w:rsid w:val="008A40BC"/>
    <w:rsid w:val="008A427F"/>
    <w:rsid w:val="008A4F72"/>
    <w:rsid w:val="008A4FE0"/>
    <w:rsid w:val="008A5236"/>
    <w:rsid w:val="008A52C7"/>
    <w:rsid w:val="008A570F"/>
    <w:rsid w:val="008A5B30"/>
    <w:rsid w:val="008A5DBC"/>
    <w:rsid w:val="008A6302"/>
    <w:rsid w:val="008A6FD7"/>
    <w:rsid w:val="008B07A0"/>
    <w:rsid w:val="008B1700"/>
    <w:rsid w:val="008B20D0"/>
    <w:rsid w:val="008B24F2"/>
    <w:rsid w:val="008B25CF"/>
    <w:rsid w:val="008B3167"/>
    <w:rsid w:val="008B3893"/>
    <w:rsid w:val="008B3B77"/>
    <w:rsid w:val="008B4343"/>
    <w:rsid w:val="008B44BD"/>
    <w:rsid w:val="008B4714"/>
    <w:rsid w:val="008B4BF2"/>
    <w:rsid w:val="008B4C2D"/>
    <w:rsid w:val="008B508A"/>
    <w:rsid w:val="008B5765"/>
    <w:rsid w:val="008B59B8"/>
    <w:rsid w:val="008B5DB5"/>
    <w:rsid w:val="008B6256"/>
    <w:rsid w:val="008B62CD"/>
    <w:rsid w:val="008B6766"/>
    <w:rsid w:val="008B6EEB"/>
    <w:rsid w:val="008B716C"/>
    <w:rsid w:val="008B78AE"/>
    <w:rsid w:val="008B7A7B"/>
    <w:rsid w:val="008B7B4B"/>
    <w:rsid w:val="008B7DE4"/>
    <w:rsid w:val="008B7E24"/>
    <w:rsid w:val="008C0294"/>
    <w:rsid w:val="008C03D1"/>
    <w:rsid w:val="008C09E5"/>
    <w:rsid w:val="008C0CCA"/>
    <w:rsid w:val="008C0D7D"/>
    <w:rsid w:val="008C1148"/>
    <w:rsid w:val="008C125F"/>
    <w:rsid w:val="008C15D6"/>
    <w:rsid w:val="008C1EE8"/>
    <w:rsid w:val="008C1F53"/>
    <w:rsid w:val="008C21A5"/>
    <w:rsid w:val="008C2942"/>
    <w:rsid w:val="008C2993"/>
    <w:rsid w:val="008C2B09"/>
    <w:rsid w:val="008C2BA6"/>
    <w:rsid w:val="008C2C66"/>
    <w:rsid w:val="008C2D5A"/>
    <w:rsid w:val="008C3A57"/>
    <w:rsid w:val="008C3A8C"/>
    <w:rsid w:val="008C4102"/>
    <w:rsid w:val="008C5273"/>
    <w:rsid w:val="008C55CF"/>
    <w:rsid w:val="008C6181"/>
    <w:rsid w:val="008C61BD"/>
    <w:rsid w:val="008C6278"/>
    <w:rsid w:val="008C6566"/>
    <w:rsid w:val="008C78DA"/>
    <w:rsid w:val="008C7990"/>
    <w:rsid w:val="008C7D2B"/>
    <w:rsid w:val="008D07EF"/>
    <w:rsid w:val="008D09D1"/>
    <w:rsid w:val="008D0C35"/>
    <w:rsid w:val="008D172A"/>
    <w:rsid w:val="008D1891"/>
    <w:rsid w:val="008D22D9"/>
    <w:rsid w:val="008D3BD3"/>
    <w:rsid w:val="008D4AA5"/>
    <w:rsid w:val="008D5A04"/>
    <w:rsid w:val="008D5A33"/>
    <w:rsid w:val="008D6B9C"/>
    <w:rsid w:val="008D7089"/>
    <w:rsid w:val="008D797D"/>
    <w:rsid w:val="008E0041"/>
    <w:rsid w:val="008E03C9"/>
    <w:rsid w:val="008E0D2F"/>
    <w:rsid w:val="008E18B3"/>
    <w:rsid w:val="008E19A0"/>
    <w:rsid w:val="008E1A26"/>
    <w:rsid w:val="008E1DEA"/>
    <w:rsid w:val="008E224A"/>
    <w:rsid w:val="008E292B"/>
    <w:rsid w:val="008E2F73"/>
    <w:rsid w:val="008E34B3"/>
    <w:rsid w:val="008E3B12"/>
    <w:rsid w:val="008E3DEE"/>
    <w:rsid w:val="008E428E"/>
    <w:rsid w:val="008E4BB1"/>
    <w:rsid w:val="008E54E1"/>
    <w:rsid w:val="008E687A"/>
    <w:rsid w:val="008E6A86"/>
    <w:rsid w:val="008E7FC2"/>
    <w:rsid w:val="008F0095"/>
    <w:rsid w:val="008F0F4B"/>
    <w:rsid w:val="008F1394"/>
    <w:rsid w:val="008F1623"/>
    <w:rsid w:val="008F1A35"/>
    <w:rsid w:val="008F1C10"/>
    <w:rsid w:val="008F20FB"/>
    <w:rsid w:val="008F2B21"/>
    <w:rsid w:val="008F48D8"/>
    <w:rsid w:val="008F4B4D"/>
    <w:rsid w:val="008F53B9"/>
    <w:rsid w:val="008F53CB"/>
    <w:rsid w:val="008F587D"/>
    <w:rsid w:val="008F622E"/>
    <w:rsid w:val="008F66CD"/>
    <w:rsid w:val="008F6990"/>
    <w:rsid w:val="008F7358"/>
    <w:rsid w:val="008F7391"/>
    <w:rsid w:val="008F73B0"/>
    <w:rsid w:val="008F7471"/>
    <w:rsid w:val="008F7CE6"/>
    <w:rsid w:val="008F7E0F"/>
    <w:rsid w:val="009005DC"/>
    <w:rsid w:val="00900F2D"/>
    <w:rsid w:val="0090146A"/>
    <w:rsid w:val="009020FF"/>
    <w:rsid w:val="009027EF"/>
    <w:rsid w:val="0090299D"/>
    <w:rsid w:val="00902B55"/>
    <w:rsid w:val="00903878"/>
    <w:rsid w:val="00903A82"/>
    <w:rsid w:val="00903DC1"/>
    <w:rsid w:val="00904189"/>
    <w:rsid w:val="00904A87"/>
    <w:rsid w:val="00905159"/>
    <w:rsid w:val="009072C8"/>
    <w:rsid w:val="009075BB"/>
    <w:rsid w:val="009075BC"/>
    <w:rsid w:val="009079DC"/>
    <w:rsid w:val="009110D2"/>
    <w:rsid w:val="009113C7"/>
    <w:rsid w:val="009130EF"/>
    <w:rsid w:val="00913377"/>
    <w:rsid w:val="00913488"/>
    <w:rsid w:val="0091392C"/>
    <w:rsid w:val="00913AF9"/>
    <w:rsid w:val="009141F3"/>
    <w:rsid w:val="009142F0"/>
    <w:rsid w:val="00914DE8"/>
    <w:rsid w:val="009156D9"/>
    <w:rsid w:val="00915717"/>
    <w:rsid w:val="009163A8"/>
    <w:rsid w:val="00916CED"/>
    <w:rsid w:val="00916F2E"/>
    <w:rsid w:val="009170E0"/>
    <w:rsid w:val="00917B03"/>
    <w:rsid w:val="00920142"/>
    <w:rsid w:val="009203AE"/>
    <w:rsid w:val="009212A6"/>
    <w:rsid w:val="00921754"/>
    <w:rsid w:val="009218AB"/>
    <w:rsid w:val="00922BCF"/>
    <w:rsid w:val="0092320F"/>
    <w:rsid w:val="00923BAA"/>
    <w:rsid w:val="00923C14"/>
    <w:rsid w:val="009247CB"/>
    <w:rsid w:val="00925430"/>
    <w:rsid w:val="0092553C"/>
    <w:rsid w:val="0092597F"/>
    <w:rsid w:val="009259D3"/>
    <w:rsid w:val="009260D1"/>
    <w:rsid w:val="0092627C"/>
    <w:rsid w:val="00926536"/>
    <w:rsid w:val="00926A9B"/>
    <w:rsid w:val="00926AA2"/>
    <w:rsid w:val="00926EA1"/>
    <w:rsid w:val="009271F2"/>
    <w:rsid w:val="00927215"/>
    <w:rsid w:val="0092721D"/>
    <w:rsid w:val="0092774E"/>
    <w:rsid w:val="00927C52"/>
    <w:rsid w:val="00930190"/>
    <w:rsid w:val="009301F2"/>
    <w:rsid w:val="00930272"/>
    <w:rsid w:val="00930E04"/>
    <w:rsid w:val="00931612"/>
    <w:rsid w:val="009317E5"/>
    <w:rsid w:val="00931844"/>
    <w:rsid w:val="00931D59"/>
    <w:rsid w:val="00932183"/>
    <w:rsid w:val="009322E5"/>
    <w:rsid w:val="00932B8D"/>
    <w:rsid w:val="00932D17"/>
    <w:rsid w:val="00933197"/>
    <w:rsid w:val="00934814"/>
    <w:rsid w:val="0093525C"/>
    <w:rsid w:val="00935D00"/>
    <w:rsid w:val="00937221"/>
    <w:rsid w:val="0093744D"/>
    <w:rsid w:val="00940229"/>
    <w:rsid w:val="00941F21"/>
    <w:rsid w:val="0094240F"/>
    <w:rsid w:val="009424DB"/>
    <w:rsid w:val="0094280A"/>
    <w:rsid w:val="00942D7A"/>
    <w:rsid w:val="0094330C"/>
    <w:rsid w:val="00944273"/>
    <w:rsid w:val="0094446F"/>
    <w:rsid w:val="00944580"/>
    <w:rsid w:val="00945D23"/>
    <w:rsid w:val="009461CB"/>
    <w:rsid w:val="00951654"/>
    <w:rsid w:val="0095167A"/>
    <w:rsid w:val="00952457"/>
    <w:rsid w:val="00952C4F"/>
    <w:rsid w:val="00953209"/>
    <w:rsid w:val="0095330D"/>
    <w:rsid w:val="0095384F"/>
    <w:rsid w:val="009538AE"/>
    <w:rsid w:val="00953D8E"/>
    <w:rsid w:val="0095426C"/>
    <w:rsid w:val="009543B7"/>
    <w:rsid w:val="00955470"/>
    <w:rsid w:val="00955CEC"/>
    <w:rsid w:val="009561AB"/>
    <w:rsid w:val="009561C2"/>
    <w:rsid w:val="00956BF4"/>
    <w:rsid w:val="00957163"/>
    <w:rsid w:val="00957349"/>
    <w:rsid w:val="0096068B"/>
    <w:rsid w:val="009614B4"/>
    <w:rsid w:val="00961C8D"/>
    <w:rsid w:val="00961FF3"/>
    <w:rsid w:val="0096225B"/>
    <w:rsid w:val="00962550"/>
    <w:rsid w:val="0096483B"/>
    <w:rsid w:val="00964A13"/>
    <w:rsid w:val="00964A95"/>
    <w:rsid w:val="00964FA5"/>
    <w:rsid w:val="0096507F"/>
    <w:rsid w:val="009654F0"/>
    <w:rsid w:val="009658D3"/>
    <w:rsid w:val="009668B8"/>
    <w:rsid w:val="0096712A"/>
    <w:rsid w:val="009705E7"/>
    <w:rsid w:val="009706B3"/>
    <w:rsid w:val="00970ADB"/>
    <w:rsid w:val="00970CA5"/>
    <w:rsid w:val="00970CBA"/>
    <w:rsid w:val="0097113A"/>
    <w:rsid w:val="0097167D"/>
    <w:rsid w:val="009725B3"/>
    <w:rsid w:val="00972D79"/>
    <w:rsid w:val="009731B6"/>
    <w:rsid w:val="0097324E"/>
    <w:rsid w:val="00974CA6"/>
    <w:rsid w:val="00975F04"/>
    <w:rsid w:val="009765B1"/>
    <w:rsid w:val="00977226"/>
    <w:rsid w:val="00977322"/>
    <w:rsid w:val="00980285"/>
    <w:rsid w:val="00980914"/>
    <w:rsid w:val="00980A2F"/>
    <w:rsid w:val="00980FD3"/>
    <w:rsid w:val="00981017"/>
    <w:rsid w:val="009824B2"/>
    <w:rsid w:val="00982641"/>
    <w:rsid w:val="00982849"/>
    <w:rsid w:val="00982961"/>
    <w:rsid w:val="00984147"/>
    <w:rsid w:val="00984E42"/>
    <w:rsid w:val="00985119"/>
    <w:rsid w:val="0098561C"/>
    <w:rsid w:val="00985A24"/>
    <w:rsid w:val="00985E0F"/>
    <w:rsid w:val="00985E1A"/>
    <w:rsid w:val="00985EBE"/>
    <w:rsid w:val="00986060"/>
    <w:rsid w:val="00986637"/>
    <w:rsid w:val="00986EA2"/>
    <w:rsid w:val="00986EC2"/>
    <w:rsid w:val="00987435"/>
    <w:rsid w:val="00987584"/>
    <w:rsid w:val="00987ADF"/>
    <w:rsid w:val="00990C52"/>
    <w:rsid w:val="00990FE1"/>
    <w:rsid w:val="0099174F"/>
    <w:rsid w:val="00992293"/>
    <w:rsid w:val="00992A56"/>
    <w:rsid w:val="00992E35"/>
    <w:rsid w:val="00992E39"/>
    <w:rsid w:val="00992EBE"/>
    <w:rsid w:val="00993E9A"/>
    <w:rsid w:val="009951B8"/>
    <w:rsid w:val="009951CB"/>
    <w:rsid w:val="00995309"/>
    <w:rsid w:val="0099544C"/>
    <w:rsid w:val="009962F0"/>
    <w:rsid w:val="0099635C"/>
    <w:rsid w:val="00996417"/>
    <w:rsid w:val="009969C3"/>
    <w:rsid w:val="00996E67"/>
    <w:rsid w:val="009972DB"/>
    <w:rsid w:val="0099767C"/>
    <w:rsid w:val="00997CAB"/>
    <w:rsid w:val="009A0409"/>
    <w:rsid w:val="009A0B78"/>
    <w:rsid w:val="009A0DA5"/>
    <w:rsid w:val="009A21DB"/>
    <w:rsid w:val="009A2550"/>
    <w:rsid w:val="009A2D13"/>
    <w:rsid w:val="009A3483"/>
    <w:rsid w:val="009A36D5"/>
    <w:rsid w:val="009A3921"/>
    <w:rsid w:val="009A3F79"/>
    <w:rsid w:val="009A4085"/>
    <w:rsid w:val="009A4167"/>
    <w:rsid w:val="009A455B"/>
    <w:rsid w:val="009A661A"/>
    <w:rsid w:val="009A670C"/>
    <w:rsid w:val="009A6C92"/>
    <w:rsid w:val="009A6EC8"/>
    <w:rsid w:val="009B005B"/>
    <w:rsid w:val="009B0129"/>
    <w:rsid w:val="009B04B7"/>
    <w:rsid w:val="009B0C48"/>
    <w:rsid w:val="009B0C56"/>
    <w:rsid w:val="009B0CD3"/>
    <w:rsid w:val="009B0E4F"/>
    <w:rsid w:val="009B1393"/>
    <w:rsid w:val="009B1AC5"/>
    <w:rsid w:val="009B1E3B"/>
    <w:rsid w:val="009B2164"/>
    <w:rsid w:val="009B2352"/>
    <w:rsid w:val="009B2C86"/>
    <w:rsid w:val="009B2F47"/>
    <w:rsid w:val="009B3705"/>
    <w:rsid w:val="009B3CEF"/>
    <w:rsid w:val="009B4580"/>
    <w:rsid w:val="009B4AD8"/>
    <w:rsid w:val="009B50DF"/>
    <w:rsid w:val="009B50F6"/>
    <w:rsid w:val="009B56C2"/>
    <w:rsid w:val="009B5995"/>
    <w:rsid w:val="009B6142"/>
    <w:rsid w:val="009B6307"/>
    <w:rsid w:val="009B7155"/>
    <w:rsid w:val="009B7A73"/>
    <w:rsid w:val="009B7B7F"/>
    <w:rsid w:val="009B7C9C"/>
    <w:rsid w:val="009C001F"/>
    <w:rsid w:val="009C00F1"/>
    <w:rsid w:val="009C01EE"/>
    <w:rsid w:val="009C09D6"/>
    <w:rsid w:val="009C0FD4"/>
    <w:rsid w:val="009C135D"/>
    <w:rsid w:val="009C1DC2"/>
    <w:rsid w:val="009C2620"/>
    <w:rsid w:val="009C3454"/>
    <w:rsid w:val="009C3C8F"/>
    <w:rsid w:val="009C43CC"/>
    <w:rsid w:val="009C47CE"/>
    <w:rsid w:val="009C497B"/>
    <w:rsid w:val="009C567D"/>
    <w:rsid w:val="009C573A"/>
    <w:rsid w:val="009C619A"/>
    <w:rsid w:val="009C78F8"/>
    <w:rsid w:val="009C7E91"/>
    <w:rsid w:val="009D02DB"/>
    <w:rsid w:val="009D048D"/>
    <w:rsid w:val="009D0707"/>
    <w:rsid w:val="009D1A72"/>
    <w:rsid w:val="009D1FDC"/>
    <w:rsid w:val="009D2235"/>
    <w:rsid w:val="009D28E0"/>
    <w:rsid w:val="009D2ABD"/>
    <w:rsid w:val="009D2B4D"/>
    <w:rsid w:val="009D2BB8"/>
    <w:rsid w:val="009D2F04"/>
    <w:rsid w:val="009D3998"/>
    <w:rsid w:val="009D41A3"/>
    <w:rsid w:val="009D4351"/>
    <w:rsid w:val="009D479D"/>
    <w:rsid w:val="009D4A3B"/>
    <w:rsid w:val="009D4B95"/>
    <w:rsid w:val="009D4BD3"/>
    <w:rsid w:val="009D4CFF"/>
    <w:rsid w:val="009D4FD8"/>
    <w:rsid w:val="009D590A"/>
    <w:rsid w:val="009D5D4B"/>
    <w:rsid w:val="009D5E7A"/>
    <w:rsid w:val="009D6011"/>
    <w:rsid w:val="009D612A"/>
    <w:rsid w:val="009D613A"/>
    <w:rsid w:val="009D6552"/>
    <w:rsid w:val="009D65A1"/>
    <w:rsid w:val="009D696A"/>
    <w:rsid w:val="009D6E3C"/>
    <w:rsid w:val="009D6FED"/>
    <w:rsid w:val="009D7237"/>
    <w:rsid w:val="009D7628"/>
    <w:rsid w:val="009D79E4"/>
    <w:rsid w:val="009D7A4B"/>
    <w:rsid w:val="009E00AD"/>
    <w:rsid w:val="009E0114"/>
    <w:rsid w:val="009E0182"/>
    <w:rsid w:val="009E066F"/>
    <w:rsid w:val="009E06AF"/>
    <w:rsid w:val="009E0BFB"/>
    <w:rsid w:val="009E0D47"/>
    <w:rsid w:val="009E0E84"/>
    <w:rsid w:val="009E14B2"/>
    <w:rsid w:val="009E180D"/>
    <w:rsid w:val="009E2001"/>
    <w:rsid w:val="009E2238"/>
    <w:rsid w:val="009E2563"/>
    <w:rsid w:val="009E2718"/>
    <w:rsid w:val="009E2756"/>
    <w:rsid w:val="009E2AD6"/>
    <w:rsid w:val="009E2DEE"/>
    <w:rsid w:val="009E2E59"/>
    <w:rsid w:val="009E2EF0"/>
    <w:rsid w:val="009E3D2C"/>
    <w:rsid w:val="009E3E13"/>
    <w:rsid w:val="009E5ABC"/>
    <w:rsid w:val="009E5B0A"/>
    <w:rsid w:val="009E6FB5"/>
    <w:rsid w:val="009E797C"/>
    <w:rsid w:val="009E7BCA"/>
    <w:rsid w:val="009F0558"/>
    <w:rsid w:val="009F08D9"/>
    <w:rsid w:val="009F0E98"/>
    <w:rsid w:val="009F1646"/>
    <w:rsid w:val="009F3661"/>
    <w:rsid w:val="009F3B78"/>
    <w:rsid w:val="009F3D9A"/>
    <w:rsid w:val="009F488F"/>
    <w:rsid w:val="009F4BE2"/>
    <w:rsid w:val="009F4C29"/>
    <w:rsid w:val="009F4D3B"/>
    <w:rsid w:val="009F57A8"/>
    <w:rsid w:val="009F58F5"/>
    <w:rsid w:val="009F5C7C"/>
    <w:rsid w:val="009F6367"/>
    <w:rsid w:val="009F6633"/>
    <w:rsid w:val="009F68CC"/>
    <w:rsid w:val="009F7EF5"/>
    <w:rsid w:val="00A00701"/>
    <w:rsid w:val="00A00A1F"/>
    <w:rsid w:val="00A00A75"/>
    <w:rsid w:val="00A00CDB"/>
    <w:rsid w:val="00A02594"/>
    <w:rsid w:val="00A02FB2"/>
    <w:rsid w:val="00A030A8"/>
    <w:rsid w:val="00A04890"/>
    <w:rsid w:val="00A05B34"/>
    <w:rsid w:val="00A06747"/>
    <w:rsid w:val="00A06C2C"/>
    <w:rsid w:val="00A06C97"/>
    <w:rsid w:val="00A07472"/>
    <w:rsid w:val="00A076A9"/>
    <w:rsid w:val="00A077A7"/>
    <w:rsid w:val="00A07D39"/>
    <w:rsid w:val="00A07D54"/>
    <w:rsid w:val="00A12D6C"/>
    <w:rsid w:val="00A13379"/>
    <w:rsid w:val="00A138FC"/>
    <w:rsid w:val="00A1454E"/>
    <w:rsid w:val="00A14CDE"/>
    <w:rsid w:val="00A1564E"/>
    <w:rsid w:val="00A15F55"/>
    <w:rsid w:val="00A15F74"/>
    <w:rsid w:val="00A167DA"/>
    <w:rsid w:val="00A177B8"/>
    <w:rsid w:val="00A17DB5"/>
    <w:rsid w:val="00A201A5"/>
    <w:rsid w:val="00A21267"/>
    <w:rsid w:val="00A21680"/>
    <w:rsid w:val="00A21C84"/>
    <w:rsid w:val="00A21CCC"/>
    <w:rsid w:val="00A22544"/>
    <w:rsid w:val="00A22EF0"/>
    <w:rsid w:val="00A236A4"/>
    <w:rsid w:val="00A23A9D"/>
    <w:rsid w:val="00A23C42"/>
    <w:rsid w:val="00A2412B"/>
    <w:rsid w:val="00A259F1"/>
    <w:rsid w:val="00A25F62"/>
    <w:rsid w:val="00A264DE"/>
    <w:rsid w:val="00A2656A"/>
    <w:rsid w:val="00A26AA8"/>
    <w:rsid w:val="00A27335"/>
    <w:rsid w:val="00A27BAB"/>
    <w:rsid w:val="00A3048F"/>
    <w:rsid w:val="00A30D62"/>
    <w:rsid w:val="00A312EB"/>
    <w:rsid w:val="00A317F4"/>
    <w:rsid w:val="00A31845"/>
    <w:rsid w:val="00A31C48"/>
    <w:rsid w:val="00A326F0"/>
    <w:rsid w:val="00A33683"/>
    <w:rsid w:val="00A33EFE"/>
    <w:rsid w:val="00A33F26"/>
    <w:rsid w:val="00A33F33"/>
    <w:rsid w:val="00A34232"/>
    <w:rsid w:val="00A34DE5"/>
    <w:rsid w:val="00A35FFF"/>
    <w:rsid w:val="00A364CC"/>
    <w:rsid w:val="00A3680F"/>
    <w:rsid w:val="00A37D58"/>
    <w:rsid w:val="00A40CC3"/>
    <w:rsid w:val="00A417D1"/>
    <w:rsid w:val="00A41EE4"/>
    <w:rsid w:val="00A42B08"/>
    <w:rsid w:val="00A42B11"/>
    <w:rsid w:val="00A42C9D"/>
    <w:rsid w:val="00A4304B"/>
    <w:rsid w:val="00A43F8B"/>
    <w:rsid w:val="00A44F02"/>
    <w:rsid w:val="00A459FF"/>
    <w:rsid w:val="00A45F20"/>
    <w:rsid w:val="00A462BE"/>
    <w:rsid w:val="00A463D4"/>
    <w:rsid w:val="00A465D2"/>
    <w:rsid w:val="00A46926"/>
    <w:rsid w:val="00A46C51"/>
    <w:rsid w:val="00A4772D"/>
    <w:rsid w:val="00A47DAB"/>
    <w:rsid w:val="00A47FA5"/>
    <w:rsid w:val="00A50A02"/>
    <w:rsid w:val="00A51834"/>
    <w:rsid w:val="00A519DC"/>
    <w:rsid w:val="00A52A17"/>
    <w:rsid w:val="00A53718"/>
    <w:rsid w:val="00A5390B"/>
    <w:rsid w:val="00A53BE0"/>
    <w:rsid w:val="00A544EC"/>
    <w:rsid w:val="00A54B98"/>
    <w:rsid w:val="00A54E16"/>
    <w:rsid w:val="00A54E8C"/>
    <w:rsid w:val="00A550F5"/>
    <w:rsid w:val="00A563B6"/>
    <w:rsid w:val="00A57752"/>
    <w:rsid w:val="00A57FA0"/>
    <w:rsid w:val="00A60908"/>
    <w:rsid w:val="00A61328"/>
    <w:rsid w:val="00A613AF"/>
    <w:rsid w:val="00A613EF"/>
    <w:rsid w:val="00A62385"/>
    <w:rsid w:val="00A62FA4"/>
    <w:rsid w:val="00A6347C"/>
    <w:rsid w:val="00A63CFA"/>
    <w:rsid w:val="00A63E0A"/>
    <w:rsid w:val="00A641A8"/>
    <w:rsid w:val="00A64E73"/>
    <w:rsid w:val="00A65E33"/>
    <w:rsid w:val="00A65E9C"/>
    <w:rsid w:val="00A65F4D"/>
    <w:rsid w:val="00A6642B"/>
    <w:rsid w:val="00A666A3"/>
    <w:rsid w:val="00A66BEC"/>
    <w:rsid w:val="00A67530"/>
    <w:rsid w:val="00A703B9"/>
    <w:rsid w:val="00A704F0"/>
    <w:rsid w:val="00A707BC"/>
    <w:rsid w:val="00A710D0"/>
    <w:rsid w:val="00A715DA"/>
    <w:rsid w:val="00A71C04"/>
    <w:rsid w:val="00A71C86"/>
    <w:rsid w:val="00A73651"/>
    <w:rsid w:val="00A737B4"/>
    <w:rsid w:val="00A73CBF"/>
    <w:rsid w:val="00A73D5B"/>
    <w:rsid w:val="00A73EC5"/>
    <w:rsid w:val="00A74861"/>
    <w:rsid w:val="00A751E9"/>
    <w:rsid w:val="00A75325"/>
    <w:rsid w:val="00A77061"/>
    <w:rsid w:val="00A77308"/>
    <w:rsid w:val="00A77E98"/>
    <w:rsid w:val="00A800F5"/>
    <w:rsid w:val="00A8012B"/>
    <w:rsid w:val="00A809BF"/>
    <w:rsid w:val="00A80AD7"/>
    <w:rsid w:val="00A80CDE"/>
    <w:rsid w:val="00A8100E"/>
    <w:rsid w:val="00A811FC"/>
    <w:rsid w:val="00A814C4"/>
    <w:rsid w:val="00A81DD0"/>
    <w:rsid w:val="00A81E89"/>
    <w:rsid w:val="00A82459"/>
    <w:rsid w:val="00A8298E"/>
    <w:rsid w:val="00A82D0E"/>
    <w:rsid w:val="00A82E0C"/>
    <w:rsid w:val="00A83B38"/>
    <w:rsid w:val="00A84193"/>
    <w:rsid w:val="00A84260"/>
    <w:rsid w:val="00A843A0"/>
    <w:rsid w:val="00A845ED"/>
    <w:rsid w:val="00A852AA"/>
    <w:rsid w:val="00A8558B"/>
    <w:rsid w:val="00A865CB"/>
    <w:rsid w:val="00A86C05"/>
    <w:rsid w:val="00A86D70"/>
    <w:rsid w:val="00A87401"/>
    <w:rsid w:val="00A879F6"/>
    <w:rsid w:val="00A900ED"/>
    <w:rsid w:val="00A90C2A"/>
    <w:rsid w:val="00A910FE"/>
    <w:rsid w:val="00A9221E"/>
    <w:rsid w:val="00A92B61"/>
    <w:rsid w:val="00A92DC4"/>
    <w:rsid w:val="00A92FB7"/>
    <w:rsid w:val="00A93799"/>
    <w:rsid w:val="00A93B72"/>
    <w:rsid w:val="00A953A4"/>
    <w:rsid w:val="00A955D6"/>
    <w:rsid w:val="00A96140"/>
    <w:rsid w:val="00A96B0E"/>
    <w:rsid w:val="00A97160"/>
    <w:rsid w:val="00A97F5D"/>
    <w:rsid w:val="00AA0D69"/>
    <w:rsid w:val="00AA32A3"/>
    <w:rsid w:val="00AA3A97"/>
    <w:rsid w:val="00AA402D"/>
    <w:rsid w:val="00AA40E0"/>
    <w:rsid w:val="00AA4498"/>
    <w:rsid w:val="00AA4AC3"/>
    <w:rsid w:val="00AA4E11"/>
    <w:rsid w:val="00AA4E9A"/>
    <w:rsid w:val="00AA5461"/>
    <w:rsid w:val="00AA5F1E"/>
    <w:rsid w:val="00AA5FAA"/>
    <w:rsid w:val="00AA6921"/>
    <w:rsid w:val="00AA6F43"/>
    <w:rsid w:val="00AA762C"/>
    <w:rsid w:val="00AA76A4"/>
    <w:rsid w:val="00AA7867"/>
    <w:rsid w:val="00AA792C"/>
    <w:rsid w:val="00AA7CE5"/>
    <w:rsid w:val="00AB0297"/>
    <w:rsid w:val="00AB06A7"/>
    <w:rsid w:val="00AB0AC3"/>
    <w:rsid w:val="00AB1934"/>
    <w:rsid w:val="00AB21DB"/>
    <w:rsid w:val="00AB244C"/>
    <w:rsid w:val="00AB2E7B"/>
    <w:rsid w:val="00AB3040"/>
    <w:rsid w:val="00AB357D"/>
    <w:rsid w:val="00AB3FC3"/>
    <w:rsid w:val="00AB5202"/>
    <w:rsid w:val="00AB57EC"/>
    <w:rsid w:val="00AB57F3"/>
    <w:rsid w:val="00AB6C9B"/>
    <w:rsid w:val="00AB7043"/>
    <w:rsid w:val="00AB79A6"/>
    <w:rsid w:val="00AB7CE1"/>
    <w:rsid w:val="00AC033B"/>
    <w:rsid w:val="00AC08E1"/>
    <w:rsid w:val="00AC0FF1"/>
    <w:rsid w:val="00AC193C"/>
    <w:rsid w:val="00AC1AF2"/>
    <w:rsid w:val="00AC1C25"/>
    <w:rsid w:val="00AC246A"/>
    <w:rsid w:val="00AC25B8"/>
    <w:rsid w:val="00AC2CB5"/>
    <w:rsid w:val="00AC439F"/>
    <w:rsid w:val="00AC46F6"/>
    <w:rsid w:val="00AC4741"/>
    <w:rsid w:val="00AC4BC7"/>
    <w:rsid w:val="00AC4C4C"/>
    <w:rsid w:val="00AC5A0C"/>
    <w:rsid w:val="00AC5A1E"/>
    <w:rsid w:val="00AC6DB8"/>
    <w:rsid w:val="00AC7687"/>
    <w:rsid w:val="00AD019F"/>
    <w:rsid w:val="00AD024B"/>
    <w:rsid w:val="00AD08FC"/>
    <w:rsid w:val="00AD1260"/>
    <w:rsid w:val="00AD14E3"/>
    <w:rsid w:val="00AD181F"/>
    <w:rsid w:val="00AD1FFA"/>
    <w:rsid w:val="00AD2414"/>
    <w:rsid w:val="00AD2EE6"/>
    <w:rsid w:val="00AD34A1"/>
    <w:rsid w:val="00AD3696"/>
    <w:rsid w:val="00AD3A91"/>
    <w:rsid w:val="00AD3ACB"/>
    <w:rsid w:val="00AD452C"/>
    <w:rsid w:val="00AD4552"/>
    <w:rsid w:val="00AD4BA1"/>
    <w:rsid w:val="00AD4BF1"/>
    <w:rsid w:val="00AD4C2B"/>
    <w:rsid w:val="00AD4D6C"/>
    <w:rsid w:val="00AD5422"/>
    <w:rsid w:val="00AD5794"/>
    <w:rsid w:val="00AD591D"/>
    <w:rsid w:val="00AD5A19"/>
    <w:rsid w:val="00AD6E30"/>
    <w:rsid w:val="00AE0D1B"/>
    <w:rsid w:val="00AE155A"/>
    <w:rsid w:val="00AE2040"/>
    <w:rsid w:val="00AE2051"/>
    <w:rsid w:val="00AE3606"/>
    <w:rsid w:val="00AE3877"/>
    <w:rsid w:val="00AE436D"/>
    <w:rsid w:val="00AE47C6"/>
    <w:rsid w:val="00AE47E4"/>
    <w:rsid w:val="00AE4A7A"/>
    <w:rsid w:val="00AE4CD3"/>
    <w:rsid w:val="00AE4D56"/>
    <w:rsid w:val="00AE4FC2"/>
    <w:rsid w:val="00AE5110"/>
    <w:rsid w:val="00AE54AC"/>
    <w:rsid w:val="00AE566F"/>
    <w:rsid w:val="00AE5822"/>
    <w:rsid w:val="00AE59B4"/>
    <w:rsid w:val="00AE65D7"/>
    <w:rsid w:val="00AE715C"/>
    <w:rsid w:val="00AE72C5"/>
    <w:rsid w:val="00AE7302"/>
    <w:rsid w:val="00AE7C76"/>
    <w:rsid w:val="00AE7E5B"/>
    <w:rsid w:val="00AF006C"/>
    <w:rsid w:val="00AF0977"/>
    <w:rsid w:val="00AF0B58"/>
    <w:rsid w:val="00AF0FA3"/>
    <w:rsid w:val="00AF10A5"/>
    <w:rsid w:val="00AF1702"/>
    <w:rsid w:val="00AF18F4"/>
    <w:rsid w:val="00AF1E93"/>
    <w:rsid w:val="00AF2223"/>
    <w:rsid w:val="00AF2771"/>
    <w:rsid w:val="00AF2BEB"/>
    <w:rsid w:val="00AF2E08"/>
    <w:rsid w:val="00AF2ED9"/>
    <w:rsid w:val="00AF337B"/>
    <w:rsid w:val="00AF3424"/>
    <w:rsid w:val="00AF38F6"/>
    <w:rsid w:val="00AF4100"/>
    <w:rsid w:val="00AF4405"/>
    <w:rsid w:val="00AF44BD"/>
    <w:rsid w:val="00AF4830"/>
    <w:rsid w:val="00AF4843"/>
    <w:rsid w:val="00AF4F19"/>
    <w:rsid w:val="00AF5043"/>
    <w:rsid w:val="00AF5185"/>
    <w:rsid w:val="00AF53FA"/>
    <w:rsid w:val="00AF5606"/>
    <w:rsid w:val="00AF65DB"/>
    <w:rsid w:val="00AF67BB"/>
    <w:rsid w:val="00AF6B5C"/>
    <w:rsid w:val="00AF70C7"/>
    <w:rsid w:val="00AF713F"/>
    <w:rsid w:val="00AF77CD"/>
    <w:rsid w:val="00B0089A"/>
    <w:rsid w:val="00B00AA8"/>
    <w:rsid w:val="00B01B5B"/>
    <w:rsid w:val="00B01C9B"/>
    <w:rsid w:val="00B01DFD"/>
    <w:rsid w:val="00B029EB"/>
    <w:rsid w:val="00B03579"/>
    <w:rsid w:val="00B03A39"/>
    <w:rsid w:val="00B03B00"/>
    <w:rsid w:val="00B04047"/>
    <w:rsid w:val="00B04D2B"/>
    <w:rsid w:val="00B04EE2"/>
    <w:rsid w:val="00B04F84"/>
    <w:rsid w:val="00B0561C"/>
    <w:rsid w:val="00B057E7"/>
    <w:rsid w:val="00B0678E"/>
    <w:rsid w:val="00B068A1"/>
    <w:rsid w:val="00B06E9E"/>
    <w:rsid w:val="00B10020"/>
    <w:rsid w:val="00B10282"/>
    <w:rsid w:val="00B104A6"/>
    <w:rsid w:val="00B11003"/>
    <w:rsid w:val="00B12265"/>
    <w:rsid w:val="00B13364"/>
    <w:rsid w:val="00B14CFC"/>
    <w:rsid w:val="00B15AB1"/>
    <w:rsid w:val="00B160E2"/>
    <w:rsid w:val="00B16397"/>
    <w:rsid w:val="00B16FD7"/>
    <w:rsid w:val="00B17BA1"/>
    <w:rsid w:val="00B2010D"/>
    <w:rsid w:val="00B20C8D"/>
    <w:rsid w:val="00B20CB1"/>
    <w:rsid w:val="00B20E11"/>
    <w:rsid w:val="00B217EF"/>
    <w:rsid w:val="00B21E71"/>
    <w:rsid w:val="00B22084"/>
    <w:rsid w:val="00B22E6E"/>
    <w:rsid w:val="00B2308F"/>
    <w:rsid w:val="00B23201"/>
    <w:rsid w:val="00B2420B"/>
    <w:rsid w:val="00B25971"/>
    <w:rsid w:val="00B259E7"/>
    <w:rsid w:val="00B26FEE"/>
    <w:rsid w:val="00B27610"/>
    <w:rsid w:val="00B27DEF"/>
    <w:rsid w:val="00B30004"/>
    <w:rsid w:val="00B3030C"/>
    <w:rsid w:val="00B30680"/>
    <w:rsid w:val="00B309ED"/>
    <w:rsid w:val="00B30E0F"/>
    <w:rsid w:val="00B30E4B"/>
    <w:rsid w:val="00B31A37"/>
    <w:rsid w:val="00B32152"/>
    <w:rsid w:val="00B329CE"/>
    <w:rsid w:val="00B330DF"/>
    <w:rsid w:val="00B33920"/>
    <w:rsid w:val="00B33AAA"/>
    <w:rsid w:val="00B34609"/>
    <w:rsid w:val="00B34810"/>
    <w:rsid w:val="00B35B0D"/>
    <w:rsid w:val="00B363AB"/>
    <w:rsid w:val="00B36630"/>
    <w:rsid w:val="00B36BAE"/>
    <w:rsid w:val="00B36C6F"/>
    <w:rsid w:val="00B37398"/>
    <w:rsid w:val="00B3754A"/>
    <w:rsid w:val="00B377AC"/>
    <w:rsid w:val="00B37D70"/>
    <w:rsid w:val="00B4007C"/>
    <w:rsid w:val="00B407CA"/>
    <w:rsid w:val="00B41AE5"/>
    <w:rsid w:val="00B41B5F"/>
    <w:rsid w:val="00B41DE9"/>
    <w:rsid w:val="00B42284"/>
    <w:rsid w:val="00B422AA"/>
    <w:rsid w:val="00B4289D"/>
    <w:rsid w:val="00B430DE"/>
    <w:rsid w:val="00B432BD"/>
    <w:rsid w:val="00B43673"/>
    <w:rsid w:val="00B43981"/>
    <w:rsid w:val="00B43B70"/>
    <w:rsid w:val="00B43E28"/>
    <w:rsid w:val="00B44037"/>
    <w:rsid w:val="00B444DC"/>
    <w:rsid w:val="00B44D30"/>
    <w:rsid w:val="00B45C51"/>
    <w:rsid w:val="00B465A9"/>
    <w:rsid w:val="00B46AC2"/>
    <w:rsid w:val="00B46D49"/>
    <w:rsid w:val="00B474F4"/>
    <w:rsid w:val="00B47DE0"/>
    <w:rsid w:val="00B50343"/>
    <w:rsid w:val="00B509BF"/>
    <w:rsid w:val="00B50F35"/>
    <w:rsid w:val="00B51547"/>
    <w:rsid w:val="00B51DCD"/>
    <w:rsid w:val="00B5221A"/>
    <w:rsid w:val="00B52666"/>
    <w:rsid w:val="00B52B74"/>
    <w:rsid w:val="00B52C76"/>
    <w:rsid w:val="00B52F09"/>
    <w:rsid w:val="00B531A2"/>
    <w:rsid w:val="00B531D3"/>
    <w:rsid w:val="00B53632"/>
    <w:rsid w:val="00B54131"/>
    <w:rsid w:val="00B54263"/>
    <w:rsid w:val="00B54B46"/>
    <w:rsid w:val="00B54D46"/>
    <w:rsid w:val="00B551EA"/>
    <w:rsid w:val="00B5530F"/>
    <w:rsid w:val="00B55948"/>
    <w:rsid w:val="00B5594F"/>
    <w:rsid w:val="00B5600E"/>
    <w:rsid w:val="00B56015"/>
    <w:rsid w:val="00B560FE"/>
    <w:rsid w:val="00B5657F"/>
    <w:rsid w:val="00B5717E"/>
    <w:rsid w:val="00B6030B"/>
    <w:rsid w:val="00B60923"/>
    <w:rsid w:val="00B609BB"/>
    <w:rsid w:val="00B60CAA"/>
    <w:rsid w:val="00B61113"/>
    <w:rsid w:val="00B61716"/>
    <w:rsid w:val="00B61C87"/>
    <w:rsid w:val="00B62147"/>
    <w:rsid w:val="00B62368"/>
    <w:rsid w:val="00B62EDF"/>
    <w:rsid w:val="00B6310E"/>
    <w:rsid w:val="00B63473"/>
    <w:rsid w:val="00B63640"/>
    <w:rsid w:val="00B639DA"/>
    <w:rsid w:val="00B64876"/>
    <w:rsid w:val="00B64D58"/>
    <w:rsid w:val="00B67721"/>
    <w:rsid w:val="00B67B6F"/>
    <w:rsid w:val="00B67DEC"/>
    <w:rsid w:val="00B70803"/>
    <w:rsid w:val="00B71278"/>
    <w:rsid w:val="00B71F31"/>
    <w:rsid w:val="00B71F43"/>
    <w:rsid w:val="00B72062"/>
    <w:rsid w:val="00B7276C"/>
    <w:rsid w:val="00B7341E"/>
    <w:rsid w:val="00B73424"/>
    <w:rsid w:val="00B7397B"/>
    <w:rsid w:val="00B739A0"/>
    <w:rsid w:val="00B73CBE"/>
    <w:rsid w:val="00B74075"/>
    <w:rsid w:val="00B741D2"/>
    <w:rsid w:val="00B7450D"/>
    <w:rsid w:val="00B74E5E"/>
    <w:rsid w:val="00B750A8"/>
    <w:rsid w:val="00B7555B"/>
    <w:rsid w:val="00B75669"/>
    <w:rsid w:val="00B75C6E"/>
    <w:rsid w:val="00B75CB9"/>
    <w:rsid w:val="00B76AF9"/>
    <w:rsid w:val="00B76BEF"/>
    <w:rsid w:val="00B7752D"/>
    <w:rsid w:val="00B77E72"/>
    <w:rsid w:val="00B77FCA"/>
    <w:rsid w:val="00B8026A"/>
    <w:rsid w:val="00B80683"/>
    <w:rsid w:val="00B80868"/>
    <w:rsid w:val="00B80BEB"/>
    <w:rsid w:val="00B81094"/>
    <w:rsid w:val="00B81178"/>
    <w:rsid w:val="00B8117C"/>
    <w:rsid w:val="00B81264"/>
    <w:rsid w:val="00B821B6"/>
    <w:rsid w:val="00B823D4"/>
    <w:rsid w:val="00B8362D"/>
    <w:rsid w:val="00B83A1E"/>
    <w:rsid w:val="00B83A54"/>
    <w:rsid w:val="00B83AA4"/>
    <w:rsid w:val="00B83B59"/>
    <w:rsid w:val="00B84033"/>
    <w:rsid w:val="00B84AAB"/>
    <w:rsid w:val="00B853EB"/>
    <w:rsid w:val="00B85762"/>
    <w:rsid w:val="00B86151"/>
    <w:rsid w:val="00B87424"/>
    <w:rsid w:val="00B8798D"/>
    <w:rsid w:val="00B87A83"/>
    <w:rsid w:val="00B87AB1"/>
    <w:rsid w:val="00B901DA"/>
    <w:rsid w:val="00B9027B"/>
    <w:rsid w:val="00B90880"/>
    <w:rsid w:val="00B917E0"/>
    <w:rsid w:val="00B9248E"/>
    <w:rsid w:val="00B924AD"/>
    <w:rsid w:val="00B92B4A"/>
    <w:rsid w:val="00B93322"/>
    <w:rsid w:val="00B93858"/>
    <w:rsid w:val="00B93DAC"/>
    <w:rsid w:val="00B93F3A"/>
    <w:rsid w:val="00B94358"/>
    <w:rsid w:val="00B94CBC"/>
    <w:rsid w:val="00B94CFE"/>
    <w:rsid w:val="00B94D24"/>
    <w:rsid w:val="00B971A8"/>
    <w:rsid w:val="00BA008F"/>
    <w:rsid w:val="00BA047E"/>
    <w:rsid w:val="00BA11AB"/>
    <w:rsid w:val="00BA12BA"/>
    <w:rsid w:val="00BA19BF"/>
    <w:rsid w:val="00BA20D4"/>
    <w:rsid w:val="00BA22D6"/>
    <w:rsid w:val="00BA2D8B"/>
    <w:rsid w:val="00BA2E32"/>
    <w:rsid w:val="00BA327B"/>
    <w:rsid w:val="00BA348E"/>
    <w:rsid w:val="00BA3A41"/>
    <w:rsid w:val="00BA3A4A"/>
    <w:rsid w:val="00BA3DFB"/>
    <w:rsid w:val="00BA455E"/>
    <w:rsid w:val="00BA4648"/>
    <w:rsid w:val="00BA5228"/>
    <w:rsid w:val="00BA6B5B"/>
    <w:rsid w:val="00BA6B91"/>
    <w:rsid w:val="00BA7C49"/>
    <w:rsid w:val="00BB111D"/>
    <w:rsid w:val="00BB12C2"/>
    <w:rsid w:val="00BB14B7"/>
    <w:rsid w:val="00BB1B48"/>
    <w:rsid w:val="00BB1ED5"/>
    <w:rsid w:val="00BB22CB"/>
    <w:rsid w:val="00BB2737"/>
    <w:rsid w:val="00BB367C"/>
    <w:rsid w:val="00BB378F"/>
    <w:rsid w:val="00BB3C4B"/>
    <w:rsid w:val="00BB4745"/>
    <w:rsid w:val="00BB49F1"/>
    <w:rsid w:val="00BB4C42"/>
    <w:rsid w:val="00BB5E71"/>
    <w:rsid w:val="00BB6159"/>
    <w:rsid w:val="00BB673D"/>
    <w:rsid w:val="00BB6A91"/>
    <w:rsid w:val="00BB78B2"/>
    <w:rsid w:val="00BC008F"/>
    <w:rsid w:val="00BC0A97"/>
    <w:rsid w:val="00BC11FC"/>
    <w:rsid w:val="00BC132B"/>
    <w:rsid w:val="00BC21E5"/>
    <w:rsid w:val="00BC2987"/>
    <w:rsid w:val="00BC2C0C"/>
    <w:rsid w:val="00BC314C"/>
    <w:rsid w:val="00BC3E32"/>
    <w:rsid w:val="00BC3F16"/>
    <w:rsid w:val="00BC4D81"/>
    <w:rsid w:val="00BC559C"/>
    <w:rsid w:val="00BC5BAF"/>
    <w:rsid w:val="00BC62BF"/>
    <w:rsid w:val="00BC660C"/>
    <w:rsid w:val="00BC7288"/>
    <w:rsid w:val="00BC728D"/>
    <w:rsid w:val="00BC76B4"/>
    <w:rsid w:val="00BD0653"/>
    <w:rsid w:val="00BD0C25"/>
    <w:rsid w:val="00BD0F42"/>
    <w:rsid w:val="00BD1D4D"/>
    <w:rsid w:val="00BD1EDB"/>
    <w:rsid w:val="00BD2078"/>
    <w:rsid w:val="00BD2C8E"/>
    <w:rsid w:val="00BD34A6"/>
    <w:rsid w:val="00BD5622"/>
    <w:rsid w:val="00BD5626"/>
    <w:rsid w:val="00BD5679"/>
    <w:rsid w:val="00BD5835"/>
    <w:rsid w:val="00BD5D3E"/>
    <w:rsid w:val="00BD60D8"/>
    <w:rsid w:val="00BD7068"/>
    <w:rsid w:val="00BD7255"/>
    <w:rsid w:val="00BD79AF"/>
    <w:rsid w:val="00BD7ABB"/>
    <w:rsid w:val="00BE04DF"/>
    <w:rsid w:val="00BE054E"/>
    <w:rsid w:val="00BE1518"/>
    <w:rsid w:val="00BE16F7"/>
    <w:rsid w:val="00BE18D9"/>
    <w:rsid w:val="00BE2A93"/>
    <w:rsid w:val="00BE35F0"/>
    <w:rsid w:val="00BE3BBA"/>
    <w:rsid w:val="00BE433F"/>
    <w:rsid w:val="00BE4344"/>
    <w:rsid w:val="00BE43DF"/>
    <w:rsid w:val="00BE43E8"/>
    <w:rsid w:val="00BE51F1"/>
    <w:rsid w:val="00BE52C8"/>
    <w:rsid w:val="00BE53EA"/>
    <w:rsid w:val="00BE55A9"/>
    <w:rsid w:val="00BE56A5"/>
    <w:rsid w:val="00BE6297"/>
    <w:rsid w:val="00BE63AF"/>
    <w:rsid w:val="00BE6542"/>
    <w:rsid w:val="00BE6623"/>
    <w:rsid w:val="00BE6A46"/>
    <w:rsid w:val="00BE6D95"/>
    <w:rsid w:val="00BE719A"/>
    <w:rsid w:val="00BE73E1"/>
    <w:rsid w:val="00BE7CA8"/>
    <w:rsid w:val="00BF093F"/>
    <w:rsid w:val="00BF09EB"/>
    <w:rsid w:val="00BF10FD"/>
    <w:rsid w:val="00BF1535"/>
    <w:rsid w:val="00BF2135"/>
    <w:rsid w:val="00BF29E2"/>
    <w:rsid w:val="00BF2B47"/>
    <w:rsid w:val="00BF3628"/>
    <w:rsid w:val="00BF3A9B"/>
    <w:rsid w:val="00BF49B6"/>
    <w:rsid w:val="00BF4C75"/>
    <w:rsid w:val="00BF4F83"/>
    <w:rsid w:val="00BF570A"/>
    <w:rsid w:val="00BF5793"/>
    <w:rsid w:val="00BF61D5"/>
    <w:rsid w:val="00BF62FB"/>
    <w:rsid w:val="00BF6E35"/>
    <w:rsid w:val="00BF7101"/>
    <w:rsid w:val="00BF7AEE"/>
    <w:rsid w:val="00BF7EDC"/>
    <w:rsid w:val="00C000B6"/>
    <w:rsid w:val="00C002DF"/>
    <w:rsid w:val="00C0170D"/>
    <w:rsid w:val="00C0275E"/>
    <w:rsid w:val="00C02765"/>
    <w:rsid w:val="00C03791"/>
    <w:rsid w:val="00C037A8"/>
    <w:rsid w:val="00C043DD"/>
    <w:rsid w:val="00C04FF2"/>
    <w:rsid w:val="00C05D6D"/>
    <w:rsid w:val="00C05E1B"/>
    <w:rsid w:val="00C06175"/>
    <w:rsid w:val="00C06AFD"/>
    <w:rsid w:val="00C075FB"/>
    <w:rsid w:val="00C07E09"/>
    <w:rsid w:val="00C10D43"/>
    <w:rsid w:val="00C10DC7"/>
    <w:rsid w:val="00C11813"/>
    <w:rsid w:val="00C11963"/>
    <w:rsid w:val="00C11BED"/>
    <w:rsid w:val="00C11CAC"/>
    <w:rsid w:val="00C13678"/>
    <w:rsid w:val="00C145AA"/>
    <w:rsid w:val="00C14653"/>
    <w:rsid w:val="00C14CF7"/>
    <w:rsid w:val="00C15036"/>
    <w:rsid w:val="00C1507D"/>
    <w:rsid w:val="00C15903"/>
    <w:rsid w:val="00C16363"/>
    <w:rsid w:val="00C16CCC"/>
    <w:rsid w:val="00C17CB9"/>
    <w:rsid w:val="00C201BD"/>
    <w:rsid w:val="00C21504"/>
    <w:rsid w:val="00C21507"/>
    <w:rsid w:val="00C21D30"/>
    <w:rsid w:val="00C21DDD"/>
    <w:rsid w:val="00C21E2D"/>
    <w:rsid w:val="00C2278E"/>
    <w:rsid w:val="00C24785"/>
    <w:rsid w:val="00C2534D"/>
    <w:rsid w:val="00C255B7"/>
    <w:rsid w:val="00C258C2"/>
    <w:rsid w:val="00C26015"/>
    <w:rsid w:val="00C261DD"/>
    <w:rsid w:val="00C2621E"/>
    <w:rsid w:val="00C2631E"/>
    <w:rsid w:val="00C26911"/>
    <w:rsid w:val="00C27760"/>
    <w:rsid w:val="00C30757"/>
    <w:rsid w:val="00C30B21"/>
    <w:rsid w:val="00C31008"/>
    <w:rsid w:val="00C3117D"/>
    <w:rsid w:val="00C314AE"/>
    <w:rsid w:val="00C322E1"/>
    <w:rsid w:val="00C32DCD"/>
    <w:rsid w:val="00C33305"/>
    <w:rsid w:val="00C33482"/>
    <w:rsid w:val="00C33B3D"/>
    <w:rsid w:val="00C3436D"/>
    <w:rsid w:val="00C349F2"/>
    <w:rsid w:val="00C34B1F"/>
    <w:rsid w:val="00C34DAD"/>
    <w:rsid w:val="00C35073"/>
    <w:rsid w:val="00C358F6"/>
    <w:rsid w:val="00C35AAC"/>
    <w:rsid w:val="00C35F3E"/>
    <w:rsid w:val="00C3657F"/>
    <w:rsid w:val="00C36C27"/>
    <w:rsid w:val="00C37FD9"/>
    <w:rsid w:val="00C40573"/>
    <w:rsid w:val="00C40C9A"/>
    <w:rsid w:val="00C410E9"/>
    <w:rsid w:val="00C417FA"/>
    <w:rsid w:val="00C41D52"/>
    <w:rsid w:val="00C42B0F"/>
    <w:rsid w:val="00C42D3C"/>
    <w:rsid w:val="00C43D15"/>
    <w:rsid w:val="00C453AE"/>
    <w:rsid w:val="00C46DB5"/>
    <w:rsid w:val="00C47324"/>
    <w:rsid w:val="00C47BB9"/>
    <w:rsid w:val="00C47F8F"/>
    <w:rsid w:val="00C50041"/>
    <w:rsid w:val="00C5041E"/>
    <w:rsid w:val="00C50A4B"/>
    <w:rsid w:val="00C50EAD"/>
    <w:rsid w:val="00C521C6"/>
    <w:rsid w:val="00C527A5"/>
    <w:rsid w:val="00C52989"/>
    <w:rsid w:val="00C52A25"/>
    <w:rsid w:val="00C52D33"/>
    <w:rsid w:val="00C53606"/>
    <w:rsid w:val="00C53695"/>
    <w:rsid w:val="00C53A3B"/>
    <w:rsid w:val="00C541C5"/>
    <w:rsid w:val="00C54B94"/>
    <w:rsid w:val="00C54F98"/>
    <w:rsid w:val="00C55089"/>
    <w:rsid w:val="00C55699"/>
    <w:rsid w:val="00C55832"/>
    <w:rsid w:val="00C55CC7"/>
    <w:rsid w:val="00C55D2B"/>
    <w:rsid w:val="00C55DE4"/>
    <w:rsid w:val="00C5644E"/>
    <w:rsid w:val="00C5660F"/>
    <w:rsid w:val="00C567B3"/>
    <w:rsid w:val="00C56F26"/>
    <w:rsid w:val="00C575AA"/>
    <w:rsid w:val="00C57928"/>
    <w:rsid w:val="00C57FDF"/>
    <w:rsid w:val="00C602D9"/>
    <w:rsid w:val="00C60FA0"/>
    <w:rsid w:val="00C61A04"/>
    <w:rsid w:val="00C61A5D"/>
    <w:rsid w:val="00C61C44"/>
    <w:rsid w:val="00C62296"/>
    <w:rsid w:val="00C6422B"/>
    <w:rsid w:val="00C65129"/>
    <w:rsid w:val="00C65222"/>
    <w:rsid w:val="00C65309"/>
    <w:rsid w:val="00C65506"/>
    <w:rsid w:val="00C65953"/>
    <w:rsid w:val="00C6646C"/>
    <w:rsid w:val="00C66BD6"/>
    <w:rsid w:val="00C67480"/>
    <w:rsid w:val="00C67BA5"/>
    <w:rsid w:val="00C67DE5"/>
    <w:rsid w:val="00C67E56"/>
    <w:rsid w:val="00C70098"/>
    <w:rsid w:val="00C704DE"/>
    <w:rsid w:val="00C707D8"/>
    <w:rsid w:val="00C71940"/>
    <w:rsid w:val="00C71C7D"/>
    <w:rsid w:val="00C72824"/>
    <w:rsid w:val="00C72BE5"/>
    <w:rsid w:val="00C72D64"/>
    <w:rsid w:val="00C735C3"/>
    <w:rsid w:val="00C73623"/>
    <w:rsid w:val="00C737E1"/>
    <w:rsid w:val="00C7415E"/>
    <w:rsid w:val="00C7437C"/>
    <w:rsid w:val="00C74512"/>
    <w:rsid w:val="00C74BC4"/>
    <w:rsid w:val="00C74C97"/>
    <w:rsid w:val="00C74FAE"/>
    <w:rsid w:val="00C7661A"/>
    <w:rsid w:val="00C76979"/>
    <w:rsid w:val="00C77204"/>
    <w:rsid w:val="00C7735C"/>
    <w:rsid w:val="00C775D6"/>
    <w:rsid w:val="00C8034A"/>
    <w:rsid w:val="00C8256D"/>
    <w:rsid w:val="00C825FC"/>
    <w:rsid w:val="00C82A16"/>
    <w:rsid w:val="00C843BB"/>
    <w:rsid w:val="00C84695"/>
    <w:rsid w:val="00C84E8F"/>
    <w:rsid w:val="00C85327"/>
    <w:rsid w:val="00C857E2"/>
    <w:rsid w:val="00C85BDF"/>
    <w:rsid w:val="00C862C7"/>
    <w:rsid w:val="00C865F3"/>
    <w:rsid w:val="00C8729F"/>
    <w:rsid w:val="00C91144"/>
    <w:rsid w:val="00C9181F"/>
    <w:rsid w:val="00C91B03"/>
    <w:rsid w:val="00C9264A"/>
    <w:rsid w:val="00C93114"/>
    <w:rsid w:val="00C93B51"/>
    <w:rsid w:val="00C945D6"/>
    <w:rsid w:val="00C94A26"/>
    <w:rsid w:val="00C94A82"/>
    <w:rsid w:val="00C94ADC"/>
    <w:rsid w:val="00C94C85"/>
    <w:rsid w:val="00C96AD1"/>
    <w:rsid w:val="00C96CBD"/>
    <w:rsid w:val="00C96D2B"/>
    <w:rsid w:val="00C97062"/>
    <w:rsid w:val="00C97714"/>
    <w:rsid w:val="00C97AA9"/>
    <w:rsid w:val="00C97B8C"/>
    <w:rsid w:val="00C97D31"/>
    <w:rsid w:val="00CA06EF"/>
    <w:rsid w:val="00CA0A7F"/>
    <w:rsid w:val="00CA0BFE"/>
    <w:rsid w:val="00CA0DEB"/>
    <w:rsid w:val="00CA19A3"/>
    <w:rsid w:val="00CA19CC"/>
    <w:rsid w:val="00CA23D0"/>
    <w:rsid w:val="00CA2C2E"/>
    <w:rsid w:val="00CA2CAF"/>
    <w:rsid w:val="00CA405E"/>
    <w:rsid w:val="00CA48B5"/>
    <w:rsid w:val="00CA4E09"/>
    <w:rsid w:val="00CA5006"/>
    <w:rsid w:val="00CA52E2"/>
    <w:rsid w:val="00CA53A3"/>
    <w:rsid w:val="00CA58CC"/>
    <w:rsid w:val="00CA5D98"/>
    <w:rsid w:val="00CA669D"/>
    <w:rsid w:val="00CA6B3A"/>
    <w:rsid w:val="00CA6F15"/>
    <w:rsid w:val="00CA7A35"/>
    <w:rsid w:val="00CA7B52"/>
    <w:rsid w:val="00CB0007"/>
    <w:rsid w:val="00CB03ED"/>
    <w:rsid w:val="00CB1A00"/>
    <w:rsid w:val="00CB2472"/>
    <w:rsid w:val="00CB27A9"/>
    <w:rsid w:val="00CB3320"/>
    <w:rsid w:val="00CB4EA6"/>
    <w:rsid w:val="00CB5D1C"/>
    <w:rsid w:val="00CB5D5F"/>
    <w:rsid w:val="00CB6111"/>
    <w:rsid w:val="00CB6192"/>
    <w:rsid w:val="00CB6353"/>
    <w:rsid w:val="00CB6BAB"/>
    <w:rsid w:val="00CB70DB"/>
    <w:rsid w:val="00CB7607"/>
    <w:rsid w:val="00CB7C0B"/>
    <w:rsid w:val="00CB7C2D"/>
    <w:rsid w:val="00CC09AF"/>
    <w:rsid w:val="00CC0D4C"/>
    <w:rsid w:val="00CC1B13"/>
    <w:rsid w:val="00CC20EE"/>
    <w:rsid w:val="00CC2555"/>
    <w:rsid w:val="00CC2984"/>
    <w:rsid w:val="00CC2C0D"/>
    <w:rsid w:val="00CC3457"/>
    <w:rsid w:val="00CC3907"/>
    <w:rsid w:val="00CC390B"/>
    <w:rsid w:val="00CC3946"/>
    <w:rsid w:val="00CC394D"/>
    <w:rsid w:val="00CC3BEF"/>
    <w:rsid w:val="00CC3FDC"/>
    <w:rsid w:val="00CC4270"/>
    <w:rsid w:val="00CC4367"/>
    <w:rsid w:val="00CC47C6"/>
    <w:rsid w:val="00CC4A13"/>
    <w:rsid w:val="00CC4E31"/>
    <w:rsid w:val="00CC5FAD"/>
    <w:rsid w:val="00CC6090"/>
    <w:rsid w:val="00CC61BB"/>
    <w:rsid w:val="00CC637A"/>
    <w:rsid w:val="00CC6385"/>
    <w:rsid w:val="00CC63E8"/>
    <w:rsid w:val="00CC6959"/>
    <w:rsid w:val="00CC70A9"/>
    <w:rsid w:val="00CC73A0"/>
    <w:rsid w:val="00CC7BAA"/>
    <w:rsid w:val="00CD0F54"/>
    <w:rsid w:val="00CD29D9"/>
    <w:rsid w:val="00CD3073"/>
    <w:rsid w:val="00CD30E1"/>
    <w:rsid w:val="00CD3CE3"/>
    <w:rsid w:val="00CD4D9D"/>
    <w:rsid w:val="00CD524C"/>
    <w:rsid w:val="00CD5337"/>
    <w:rsid w:val="00CD54C4"/>
    <w:rsid w:val="00CD5663"/>
    <w:rsid w:val="00CD5C2D"/>
    <w:rsid w:val="00CD6390"/>
    <w:rsid w:val="00CD7920"/>
    <w:rsid w:val="00CD7B1E"/>
    <w:rsid w:val="00CD7BD1"/>
    <w:rsid w:val="00CE05C0"/>
    <w:rsid w:val="00CE0D2D"/>
    <w:rsid w:val="00CE1C39"/>
    <w:rsid w:val="00CE2499"/>
    <w:rsid w:val="00CE28E1"/>
    <w:rsid w:val="00CE40C7"/>
    <w:rsid w:val="00CE431C"/>
    <w:rsid w:val="00CE4D06"/>
    <w:rsid w:val="00CE4EBB"/>
    <w:rsid w:val="00CE5D28"/>
    <w:rsid w:val="00CE5E27"/>
    <w:rsid w:val="00CE5E63"/>
    <w:rsid w:val="00CE5ECD"/>
    <w:rsid w:val="00CE5F04"/>
    <w:rsid w:val="00CE6F02"/>
    <w:rsid w:val="00CF0030"/>
    <w:rsid w:val="00CF01A4"/>
    <w:rsid w:val="00CF05D3"/>
    <w:rsid w:val="00CF0BF0"/>
    <w:rsid w:val="00CF1BD3"/>
    <w:rsid w:val="00CF28C0"/>
    <w:rsid w:val="00CF2EE1"/>
    <w:rsid w:val="00CF3392"/>
    <w:rsid w:val="00CF4D8E"/>
    <w:rsid w:val="00CF4EBE"/>
    <w:rsid w:val="00CF5382"/>
    <w:rsid w:val="00CF5D22"/>
    <w:rsid w:val="00CF5FE7"/>
    <w:rsid w:val="00CF6373"/>
    <w:rsid w:val="00CF6950"/>
    <w:rsid w:val="00CF6C0F"/>
    <w:rsid w:val="00CF701B"/>
    <w:rsid w:val="00CF7216"/>
    <w:rsid w:val="00CF7A04"/>
    <w:rsid w:val="00CF7B54"/>
    <w:rsid w:val="00CF7D8D"/>
    <w:rsid w:val="00CF7E12"/>
    <w:rsid w:val="00D00277"/>
    <w:rsid w:val="00D00B0B"/>
    <w:rsid w:val="00D0157B"/>
    <w:rsid w:val="00D0158D"/>
    <w:rsid w:val="00D01E9E"/>
    <w:rsid w:val="00D028DA"/>
    <w:rsid w:val="00D02F4F"/>
    <w:rsid w:val="00D03447"/>
    <w:rsid w:val="00D03458"/>
    <w:rsid w:val="00D04128"/>
    <w:rsid w:val="00D04BF7"/>
    <w:rsid w:val="00D04FF2"/>
    <w:rsid w:val="00D05BD1"/>
    <w:rsid w:val="00D05F43"/>
    <w:rsid w:val="00D06298"/>
    <w:rsid w:val="00D062FD"/>
    <w:rsid w:val="00D063D3"/>
    <w:rsid w:val="00D07CF4"/>
    <w:rsid w:val="00D07D2E"/>
    <w:rsid w:val="00D101D7"/>
    <w:rsid w:val="00D10660"/>
    <w:rsid w:val="00D11176"/>
    <w:rsid w:val="00D111C7"/>
    <w:rsid w:val="00D11BAF"/>
    <w:rsid w:val="00D127EA"/>
    <w:rsid w:val="00D128A1"/>
    <w:rsid w:val="00D13F70"/>
    <w:rsid w:val="00D14C40"/>
    <w:rsid w:val="00D14E56"/>
    <w:rsid w:val="00D156A4"/>
    <w:rsid w:val="00D15968"/>
    <w:rsid w:val="00D16017"/>
    <w:rsid w:val="00D16332"/>
    <w:rsid w:val="00D16338"/>
    <w:rsid w:val="00D166CF"/>
    <w:rsid w:val="00D17569"/>
    <w:rsid w:val="00D17C71"/>
    <w:rsid w:val="00D2101E"/>
    <w:rsid w:val="00D21187"/>
    <w:rsid w:val="00D22010"/>
    <w:rsid w:val="00D221B1"/>
    <w:rsid w:val="00D223B9"/>
    <w:rsid w:val="00D22B78"/>
    <w:rsid w:val="00D22F48"/>
    <w:rsid w:val="00D23192"/>
    <w:rsid w:val="00D2353A"/>
    <w:rsid w:val="00D2398A"/>
    <w:rsid w:val="00D23FEB"/>
    <w:rsid w:val="00D24252"/>
    <w:rsid w:val="00D24847"/>
    <w:rsid w:val="00D24F1E"/>
    <w:rsid w:val="00D2533A"/>
    <w:rsid w:val="00D256FC"/>
    <w:rsid w:val="00D261D1"/>
    <w:rsid w:val="00D268BD"/>
    <w:rsid w:val="00D27355"/>
    <w:rsid w:val="00D27464"/>
    <w:rsid w:val="00D30282"/>
    <w:rsid w:val="00D307D1"/>
    <w:rsid w:val="00D31CD3"/>
    <w:rsid w:val="00D32669"/>
    <w:rsid w:val="00D329C1"/>
    <w:rsid w:val="00D32CE7"/>
    <w:rsid w:val="00D33E97"/>
    <w:rsid w:val="00D34976"/>
    <w:rsid w:val="00D354E4"/>
    <w:rsid w:val="00D357D9"/>
    <w:rsid w:val="00D35CCB"/>
    <w:rsid w:val="00D3627E"/>
    <w:rsid w:val="00D3640C"/>
    <w:rsid w:val="00D365C5"/>
    <w:rsid w:val="00D3671B"/>
    <w:rsid w:val="00D3687F"/>
    <w:rsid w:val="00D368EE"/>
    <w:rsid w:val="00D36B33"/>
    <w:rsid w:val="00D370F3"/>
    <w:rsid w:val="00D37DAD"/>
    <w:rsid w:val="00D40587"/>
    <w:rsid w:val="00D40BEA"/>
    <w:rsid w:val="00D40F90"/>
    <w:rsid w:val="00D411B7"/>
    <w:rsid w:val="00D420CC"/>
    <w:rsid w:val="00D423DD"/>
    <w:rsid w:val="00D426E1"/>
    <w:rsid w:val="00D43189"/>
    <w:rsid w:val="00D434B4"/>
    <w:rsid w:val="00D439CE"/>
    <w:rsid w:val="00D43DE4"/>
    <w:rsid w:val="00D43FB2"/>
    <w:rsid w:val="00D445B2"/>
    <w:rsid w:val="00D44A19"/>
    <w:rsid w:val="00D45130"/>
    <w:rsid w:val="00D46D0E"/>
    <w:rsid w:val="00D46D96"/>
    <w:rsid w:val="00D46E07"/>
    <w:rsid w:val="00D472DB"/>
    <w:rsid w:val="00D47327"/>
    <w:rsid w:val="00D47A4E"/>
    <w:rsid w:val="00D47A6C"/>
    <w:rsid w:val="00D47C49"/>
    <w:rsid w:val="00D47DDB"/>
    <w:rsid w:val="00D47F40"/>
    <w:rsid w:val="00D50105"/>
    <w:rsid w:val="00D50835"/>
    <w:rsid w:val="00D510DC"/>
    <w:rsid w:val="00D51334"/>
    <w:rsid w:val="00D513F6"/>
    <w:rsid w:val="00D51457"/>
    <w:rsid w:val="00D51789"/>
    <w:rsid w:val="00D51D01"/>
    <w:rsid w:val="00D5279F"/>
    <w:rsid w:val="00D5322D"/>
    <w:rsid w:val="00D54342"/>
    <w:rsid w:val="00D54D73"/>
    <w:rsid w:val="00D55416"/>
    <w:rsid w:val="00D557EF"/>
    <w:rsid w:val="00D5605A"/>
    <w:rsid w:val="00D5669E"/>
    <w:rsid w:val="00D57271"/>
    <w:rsid w:val="00D57286"/>
    <w:rsid w:val="00D57607"/>
    <w:rsid w:val="00D579CE"/>
    <w:rsid w:val="00D57B33"/>
    <w:rsid w:val="00D57BB3"/>
    <w:rsid w:val="00D605BF"/>
    <w:rsid w:val="00D6090D"/>
    <w:rsid w:val="00D613B7"/>
    <w:rsid w:val="00D616C2"/>
    <w:rsid w:val="00D61891"/>
    <w:rsid w:val="00D6278E"/>
    <w:rsid w:val="00D62B07"/>
    <w:rsid w:val="00D62F20"/>
    <w:rsid w:val="00D62F5B"/>
    <w:rsid w:val="00D634F8"/>
    <w:rsid w:val="00D63691"/>
    <w:rsid w:val="00D648EA"/>
    <w:rsid w:val="00D6589D"/>
    <w:rsid w:val="00D658B5"/>
    <w:rsid w:val="00D65A57"/>
    <w:rsid w:val="00D65E96"/>
    <w:rsid w:val="00D675F5"/>
    <w:rsid w:val="00D67853"/>
    <w:rsid w:val="00D678B2"/>
    <w:rsid w:val="00D678B6"/>
    <w:rsid w:val="00D67AA7"/>
    <w:rsid w:val="00D67D8F"/>
    <w:rsid w:val="00D67DAB"/>
    <w:rsid w:val="00D7012D"/>
    <w:rsid w:val="00D70335"/>
    <w:rsid w:val="00D708BD"/>
    <w:rsid w:val="00D70916"/>
    <w:rsid w:val="00D70AA3"/>
    <w:rsid w:val="00D71437"/>
    <w:rsid w:val="00D729AE"/>
    <w:rsid w:val="00D73457"/>
    <w:rsid w:val="00D73988"/>
    <w:rsid w:val="00D73F77"/>
    <w:rsid w:val="00D74699"/>
    <w:rsid w:val="00D753B1"/>
    <w:rsid w:val="00D75481"/>
    <w:rsid w:val="00D75D93"/>
    <w:rsid w:val="00D76300"/>
    <w:rsid w:val="00D7683C"/>
    <w:rsid w:val="00D76F21"/>
    <w:rsid w:val="00D77239"/>
    <w:rsid w:val="00D774E5"/>
    <w:rsid w:val="00D77C80"/>
    <w:rsid w:val="00D800E2"/>
    <w:rsid w:val="00D800F5"/>
    <w:rsid w:val="00D8051A"/>
    <w:rsid w:val="00D80570"/>
    <w:rsid w:val="00D80627"/>
    <w:rsid w:val="00D806DF"/>
    <w:rsid w:val="00D80797"/>
    <w:rsid w:val="00D80A07"/>
    <w:rsid w:val="00D811F2"/>
    <w:rsid w:val="00D81A85"/>
    <w:rsid w:val="00D81F53"/>
    <w:rsid w:val="00D820AF"/>
    <w:rsid w:val="00D8274D"/>
    <w:rsid w:val="00D83637"/>
    <w:rsid w:val="00D836F1"/>
    <w:rsid w:val="00D83F1A"/>
    <w:rsid w:val="00D84276"/>
    <w:rsid w:val="00D84BAA"/>
    <w:rsid w:val="00D84C64"/>
    <w:rsid w:val="00D855E6"/>
    <w:rsid w:val="00D858C9"/>
    <w:rsid w:val="00D85B0B"/>
    <w:rsid w:val="00D861E2"/>
    <w:rsid w:val="00D866AC"/>
    <w:rsid w:val="00D8674D"/>
    <w:rsid w:val="00D867CC"/>
    <w:rsid w:val="00D86D68"/>
    <w:rsid w:val="00D8788D"/>
    <w:rsid w:val="00D87898"/>
    <w:rsid w:val="00D878BF"/>
    <w:rsid w:val="00D90239"/>
    <w:rsid w:val="00D902F0"/>
    <w:rsid w:val="00D91A04"/>
    <w:rsid w:val="00D922DC"/>
    <w:rsid w:val="00D937F9"/>
    <w:rsid w:val="00D93C5E"/>
    <w:rsid w:val="00D947B4"/>
    <w:rsid w:val="00D958A5"/>
    <w:rsid w:val="00D95B02"/>
    <w:rsid w:val="00D95D50"/>
    <w:rsid w:val="00D95E15"/>
    <w:rsid w:val="00D95F50"/>
    <w:rsid w:val="00D96EEC"/>
    <w:rsid w:val="00D970AE"/>
    <w:rsid w:val="00D97ED6"/>
    <w:rsid w:val="00DA0ACE"/>
    <w:rsid w:val="00DA1F19"/>
    <w:rsid w:val="00DA211F"/>
    <w:rsid w:val="00DA2CD4"/>
    <w:rsid w:val="00DA362B"/>
    <w:rsid w:val="00DA368B"/>
    <w:rsid w:val="00DA39CA"/>
    <w:rsid w:val="00DA46A5"/>
    <w:rsid w:val="00DA4761"/>
    <w:rsid w:val="00DA4857"/>
    <w:rsid w:val="00DA4AE0"/>
    <w:rsid w:val="00DA4FC8"/>
    <w:rsid w:val="00DA5EC3"/>
    <w:rsid w:val="00DA61A7"/>
    <w:rsid w:val="00DA61DA"/>
    <w:rsid w:val="00DA671D"/>
    <w:rsid w:val="00DA6F26"/>
    <w:rsid w:val="00DA71AC"/>
    <w:rsid w:val="00DA7321"/>
    <w:rsid w:val="00DA73E4"/>
    <w:rsid w:val="00DA74F6"/>
    <w:rsid w:val="00DA7E4E"/>
    <w:rsid w:val="00DB0247"/>
    <w:rsid w:val="00DB02D7"/>
    <w:rsid w:val="00DB058E"/>
    <w:rsid w:val="00DB0679"/>
    <w:rsid w:val="00DB0BBE"/>
    <w:rsid w:val="00DB0C0D"/>
    <w:rsid w:val="00DB133C"/>
    <w:rsid w:val="00DB14BB"/>
    <w:rsid w:val="00DB15EA"/>
    <w:rsid w:val="00DB17A3"/>
    <w:rsid w:val="00DB1B4C"/>
    <w:rsid w:val="00DB1E41"/>
    <w:rsid w:val="00DB1E44"/>
    <w:rsid w:val="00DB2641"/>
    <w:rsid w:val="00DB29AC"/>
    <w:rsid w:val="00DB322F"/>
    <w:rsid w:val="00DB34A9"/>
    <w:rsid w:val="00DB3BF7"/>
    <w:rsid w:val="00DB425D"/>
    <w:rsid w:val="00DB51E2"/>
    <w:rsid w:val="00DB54FA"/>
    <w:rsid w:val="00DB5A4C"/>
    <w:rsid w:val="00DB60FE"/>
    <w:rsid w:val="00DB6106"/>
    <w:rsid w:val="00DB6139"/>
    <w:rsid w:val="00DB666F"/>
    <w:rsid w:val="00DB6947"/>
    <w:rsid w:val="00DB7011"/>
    <w:rsid w:val="00DB7C49"/>
    <w:rsid w:val="00DB7CE8"/>
    <w:rsid w:val="00DC072A"/>
    <w:rsid w:val="00DC083F"/>
    <w:rsid w:val="00DC10B4"/>
    <w:rsid w:val="00DC11BB"/>
    <w:rsid w:val="00DC1D79"/>
    <w:rsid w:val="00DC2661"/>
    <w:rsid w:val="00DC26C3"/>
    <w:rsid w:val="00DC3830"/>
    <w:rsid w:val="00DC3BBB"/>
    <w:rsid w:val="00DC3DD7"/>
    <w:rsid w:val="00DC4215"/>
    <w:rsid w:val="00DC42B5"/>
    <w:rsid w:val="00DC4825"/>
    <w:rsid w:val="00DC4E0C"/>
    <w:rsid w:val="00DC5450"/>
    <w:rsid w:val="00DC5BE4"/>
    <w:rsid w:val="00DC6297"/>
    <w:rsid w:val="00DC6408"/>
    <w:rsid w:val="00DC6658"/>
    <w:rsid w:val="00DC6728"/>
    <w:rsid w:val="00DD002F"/>
    <w:rsid w:val="00DD0763"/>
    <w:rsid w:val="00DD0EAE"/>
    <w:rsid w:val="00DD11F5"/>
    <w:rsid w:val="00DD1975"/>
    <w:rsid w:val="00DD1A15"/>
    <w:rsid w:val="00DD1A7C"/>
    <w:rsid w:val="00DD1E0F"/>
    <w:rsid w:val="00DD2A17"/>
    <w:rsid w:val="00DD3EE9"/>
    <w:rsid w:val="00DD420B"/>
    <w:rsid w:val="00DD4472"/>
    <w:rsid w:val="00DD4F46"/>
    <w:rsid w:val="00DD512B"/>
    <w:rsid w:val="00DD530E"/>
    <w:rsid w:val="00DD56B4"/>
    <w:rsid w:val="00DD5B98"/>
    <w:rsid w:val="00DD5F87"/>
    <w:rsid w:val="00DD61F3"/>
    <w:rsid w:val="00DD6DD4"/>
    <w:rsid w:val="00DD7308"/>
    <w:rsid w:val="00DD7601"/>
    <w:rsid w:val="00DD7AED"/>
    <w:rsid w:val="00DE06EA"/>
    <w:rsid w:val="00DE0960"/>
    <w:rsid w:val="00DE0E03"/>
    <w:rsid w:val="00DE10E7"/>
    <w:rsid w:val="00DE20D8"/>
    <w:rsid w:val="00DE3790"/>
    <w:rsid w:val="00DE3EDD"/>
    <w:rsid w:val="00DE40A6"/>
    <w:rsid w:val="00DE447C"/>
    <w:rsid w:val="00DE525E"/>
    <w:rsid w:val="00DE5A1B"/>
    <w:rsid w:val="00DE664D"/>
    <w:rsid w:val="00DE7CBD"/>
    <w:rsid w:val="00DE7F02"/>
    <w:rsid w:val="00DF1EAA"/>
    <w:rsid w:val="00DF26E3"/>
    <w:rsid w:val="00DF2A72"/>
    <w:rsid w:val="00DF2E77"/>
    <w:rsid w:val="00DF3386"/>
    <w:rsid w:val="00DF3A3A"/>
    <w:rsid w:val="00DF41CC"/>
    <w:rsid w:val="00DF497B"/>
    <w:rsid w:val="00DF4B59"/>
    <w:rsid w:val="00DF4F9D"/>
    <w:rsid w:val="00DF5033"/>
    <w:rsid w:val="00DF5673"/>
    <w:rsid w:val="00DF5F55"/>
    <w:rsid w:val="00DF61B7"/>
    <w:rsid w:val="00DF6276"/>
    <w:rsid w:val="00DF63D1"/>
    <w:rsid w:val="00DF661F"/>
    <w:rsid w:val="00DF6673"/>
    <w:rsid w:val="00DF6C2F"/>
    <w:rsid w:val="00DF6FE0"/>
    <w:rsid w:val="00DF7283"/>
    <w:rsid w:val="00E0024F"/>
    <w:rsid w:val="00E00700"/>
    <w:rsid w:val="00E00C6B"/>
    <w:rsid w:val="00E011DB"/>
    <w:rsid w:val="00E017BD"/>
    <w:rsid w:val="00E017CD"/>
    <w:rsid w:val="00E01A81"/>
    <w:rsid w:val="00E01CD3"/>
    <w:rsid w:val="00E01D4F"/>
    <w:rsid w:val="00E02B7E"/>
    <w:rsid w:val="00E03343"/>
    <w:rsid w:val="00E03425"/>
    <w:rsid w:val="00E04632"/>
    <w:rsid w:val="00E04F68"/>
    <w:rsid w:val="00E0608B"/>
    <w:rsid w:val="00E06314"/>
    <w:rsid w:val="00E0709F"/>
    <w:rsid w:val="00E07235"/>
    <w:rsid w:val="00E0764A"/>
    <w:rsid w:val="00E07BAB"/>
    <w:rsid w:val="00E07DDC"/>
    <w:rsid w:val="00E1030C"/>
    <w:rsid w:val="00E10602"/>
    <w:rsid w:val="00E107BB"/>
    <w:rsid w:val="00E10EB4"/>
    <w:rsid w:val="00E1170A"/>
    <w:rsid w:val="00E11F59"/>
    <w:rsid w:val="00E1280D"/>
    <w:rsid w:val="00E12F45"/>
    <w:rsid w:val="00E13247"/>
    <w:rsid w:val="00E15F6F"/>
    <w:rsid w:val="00E16297"/>
    <w:rsid w:val="00E164D3"/>
    <w:rsid w:val="00E16DF0"/>
    <w:rsid w:val="00E171D8"/>
    <w:rsid w:val="00E17A0D"/>
    <w:rsid w:val="00E2087C"/>
    <w:rsid w:val="00E20B07"/>
    <w:rsid w:val="00E20D1B"/>
    <w:rsid w:val="00E21213"/>
    <w:rsid w:val="00E21344"/>
    <w:rsid w:val="00E21495"/>
    <w:rsid w:val="00E2149D"/>
    <w:rsid w:val="00E21D26"/>
    <w:rsid w:val="00E21EF4"/>
    <w:rsid w:val="00E22569"/>
    <w:rsid w:val="00E22D08"/>
    <w:rsid w:val="00E22F35"/>
    <w:rsid w:val="00E23A21"/>
    <w:rsid w:val="00E24A9A"/>
    <w:rsid w:val="00E260E0"/>
    <w:rsid w:val="00E2767A"/>
    <w:rsid w:val="00E27723"/>
    <w:rsid w:val="00E27AD8"/>
    <w:rsid w:val="00E27BEE"/>
    <w:rsid w:val="00E3044B"/>
    <w:rsid w:val="00E30886"/>
    <w:rsid w:val="00E30D9B"/>
    <w:rsid w:val="00E31430"/>
    <w:rsid w:val="00E3147A"/>
    <w:rsid w:val="00E31B72"/>
    <w:rsid w:val="00E31C4F"/>
    <w:rsid w:val="00E31E55"/>
    <w:rsid w:val="00E31EE6"/>
    <w:rsid w:val="00E32305"/>
    <w:rsid w:val="00E325AE"/>
    <w:rsid w:val="00E3299C"/>
    <w:rsid w:val="00E33498"/>
    <w:rsid w:val="00E336DC"/>
    <w:rsid w:val="00E33779"/>
    <w:rsid w:val="00E3412B"/>
    <w:rsid w:val="00E34A70"/>
    <w:rsid w:val="00E357D8"/>
    <w:rsid w:val="00E35AF2"/>
    <w:rsid w:val="00E35CF0"/>
    <w:rsid w:val="00E367C9"/>
    <w:rsid w:val="00E36C58"/>
    <w:rsid w:val="00E370DF"/>
    <w:rsid w:val="00E3719C"/>
    <w:rsid w:val="00E3783B"/>
    <w:rsid w:val="00E37B4C"/>
    <w:rsid w:val="00E37BBE"/>
    <w:rsid w:val="00E40442"/>
    <w:rsid w:val="00E404C4"/>
    <w:rsid w:val="00E40A52"/>
    <w:rsid w:val="00E41399"/>
    <w:rsid w:val="00E4178E"/>
    <w:rsid w:val="00E41AF3"/>
    <w:rsid w:val="00E42276"/>
    <w:rsid w:val="00E42340"/>
    <w:rsid w:val="00E4250D"/>
    <w:rsid w:val="00E43738"/>
    <w:rsid w:val="00E43910"/>
    <w:rsid w:val="00E43D04"/>
    <w:rsid w:val="00E4403D"/>
    <w:rsid w:val="00E445EF"/>
    <w:rsid w:val="00E44A04"/>
    <w:rsid w:val="00E4508C"/>
    <w:rsid w:val="00E45273"/>
    <w:rsid w:val="00E45ABC"/>
    <w:rsid w:val="00E461D9"/>
    <w:rsid w:val="00E46438"/>
    <w:rsid w:val="00E46442"/>
    <w:rsid w:val="00E46C90"/>
    <w:rsid w:val="00E47010"/>
    <w:rsid w:val="00E508E2"/>
    <w:rsid w:val="00E50A4E"/>
    <w:rsid w:val="00E50FB4"/>
    <w:rsid w:val="00E51BAE"/>
    <w:rsid w:val="00E520C6"/>
    <w:rsid w:val="00E52711"/>
    <w:rsid w:val="00E52B97"/>
    <w:rsid w:val="00E52FAD"/>
    <w:rsid w:val="00E531E4"/>
    <w:rsid w:val="00E53F43"/>
    <w:rsid w:val="00E54903"/>
    <w:rsid w:val="00E54B78"/>
    <w:rsid w:val="00E54E24"/>
    <w:rsid w:val="00E54FF6"/>
    <w:rsid w:val="00E5564A"/>
    <w:rsid w:val="00E557CD"/>
    <w:rsid w:val="00E557F7"/>
    <w:rsid w:val="00E55896"/>
    <w:rsid w:val="00E559B8"/>
    <w:rsid w:val="00E55E32"/>
    <w:rsid w:val="00E5609C"/>
    <w:rsid w:val="00E560DD"/>
    <w:rsid w:val="00E56506"/>
    <w:rsid w:val="00E56685"/>
    <w:rsid w:val="00E56E75"/>
    <w:rsid w:val="00E60D66"/>
    <w:rsid w:val="00E61595"/>
    <w:rsid w:val="00E6181B"/>
    <w:rsid w:val="00E6196B"/>
    <w:rsid w:val="00E621B2"/>
    <w:rsid w:val="00E62327"/>
    <w:rsid w:val="00E6346E"/>
    <w:rsid w:val="00E639C4"/>
    <w:rsid w:val="00E63C6E"/>
    <w:rsid w:val="00E64070"/>
    <w:rsid w:val="00E6415A"/>
    <w:rsid w:val="00E64D2C"/>
    <w:rsid w:val="00E65545"/>
    <w:rsid w:val="00E6563E"/>
    <w:rsid w:val="00E65FC9"/>
    <w:rsid w:val="00E6685A"/>
    <w:rsid w:val="00E66ABC"/>
    <w:rsid w:val="00E66B78"/>
    <w:rsid w:val="00E66D47"/>
    <w:rsid w:val="00E66E4A"/>
    <w:rsid w:val="00E66FBB"/>
    <w:rsid w:val="00E67B86"/>
    <w:rsid w:val="00E7002A"/>
    <w:rsid w:val="00E703BA"/>
    <w:rsid w:val="00E703EB"/>
    <w:rsid w:val="00E70614"/>
    <w:rsid w:val="00E70841"/>
    <w:rsid w:val="00E7090B"/>
    <w:rsid w:val="00E70FFD"/>
    <w:rsid w:val="00E7107B"/>
    <w:rsid w:val="00E718CC"/>
    <w:rsid w:val="00E722F8"/>
    <w:rsid w:val="00E72ADB"/>
    <w:rsid w:val="00E737FE"/>
    <w:rsid w:val="00E73D46"/>
    <w:rsid w:val="00E74704"/>
    <w:rsid w:val="00E74870"/>
    <w:rsid w:val="00E74997"/>
    <w:rsid w:val="00E74B51"/>
    <w:rsid w:val="00E74C4E"/>
    <w:rsid w:val="00E7505D"/>
    <w:rsid w:val="00E75254"/>
    <w:rsid w:val="00E75C71"/>
    <w:rsid w:val="00E75E54"/>
    <w:rsid w:val="00E76A86"/>
    <w:rsid w:val="00E76C17"/>
    <w:rsid w:val="00E7773B"/>
    <w:rsid w:val="00E77D84"/>
    <w:rsid w:val="00E80784"/>
    <w:rsid w:val="00E80D07"/>
    <w:rsid w:val="00E80E9C"/>
    <w:rsid w:val="00E812C0"/>
    <w:rsid w:val="00E81627"/>
    <w:rsid w:val="00E829E3"/>
    <w:rsid w:val="00E82C08"/>
    <w:rsid w:val="00E8313D"/>
    <w:rsid w:val="00E839B8"/>
    <w:rsid w:val="00E83BBD"/>
    <w:rsid w:val="00E84302"/>
    <w:rsid w:val="00E849CE"/>
    <w:rsid w:val="00E84A2A"/>
    <w:rsid w:val="00E84C1C"/>
    <w:rsid w:val="00E85CD2"/>
    <w:rsid w:val="00E86886"/>
    <w:rsid w:val="00E87A9F"/>
    <w:rsid w:val="00E87D93"/>
    <w:rsid w:val="00E90899"/>
    <w:rsid w:val="00E90F09"/>
    <w:rsid w:val="00E9113B"/>
    <w:rsid w:val="00E911F5"/>
    <w:rsid w:val="00E9188A"/>
    <w:rsid w:val="00E92424"/>
    <w:rsid w:val="00E92556"/>
    <w:rsid w:val="00E92A54"/>
    <w:rsid w:val="00E942BA"/>
    <w:rsid w:val="00E943BF"/>
    <w:rsid w:val="00E94D62"/>
    <w:rsid w:val="00E95111"/>
    <w:rsid w:val="00E95BAA"/>
    <w:rsid w:val="00E965C7"/>
    <w:rsid w:val="00E96E62"/>
    <w:rsid w:val="00E96EEB"/>
    <w:rsid w:val="00E979E4"/>
    <w:rsid w:val="00E97C56"/>
    <w:rsid w:val="00EA002C"/>
    <w:rsid w:val="00EA043D"/>
    <w:rsid w:val="00EA09E6"/>
    <w:rsid w:val="00EA1139"/>
    <w:rsid w:val="00EA1181"/>
    <w:rsid w:val="00EA1472"/>
    <w:rsid w:val="00EA24BB"/>
    <w:rsid w:val="00EA290C"/>
    <w:rsid w:val="00EA2B46"/>
    <w:rsid w:val="00EA34BE"/>
    <w:rsid w:val="00EA3815"/>
    <w:rsid w:val="00EA3DDA"/>
    <w:rsid w:val="00EA4560"/>
    <w:rsid w:val="00EA473D"/>
    <w:rsid w:val="00EA52B4"/>
    <w:rsid w:val="00EA5B52"/>
    <w:rsid w:val="00EA5CB4"/>
    <w:rsid w:val="00EA77C8"/>
    <w:rsid w:val="00EA78B1"/>
    <w:rsid w:val="00EB0EEE"/>
    <w:rsid w:val="00EB10BA"/>
    <w:rsid w:val="00EB13BF"/>
    <w:rsid w:val="00EB1CE9"/>
    <w:rsid w:val="00EB2145"/>
    <w:rsid w:val="00EB272B"/>
    <w:rsid w:val="00EB2933"/>
    <w:rsid w:val="00EB2E8E"/>
    <w:rsid w:val="00EB3078"/>
    <w:rsid w:val="00EB3DBB"/>
    <w:rsid w:val="00EB4163"/>
    <w:rsid w:val="00EB65B7"/>
    <w:rsid w:val="00EB6DD5"/>
    <w:rsid w:val="00EB6F7C"/>
    <w:rsid w:val="00EB7340"/>
    <w:rsid w:val="00EC09B4"/>
    <w:rsid w:val="00EC0AEF"/>
    <w:rsid w:val="00EC1182"/>
    <w:rsid w:val="00EC2015"/>
    <w:rsid w:val="00EC23C0"/>
    <w:rsid w:val="00EC247E"/>
    <w:rsid w:val="00EC257F"/>
    <w:rsid w:val="00EC2F02"/>
    <w:rsid w:val="00EC311B"/>
    <w:rsid w:val="00EC34E2"/>
    <w:rsid w:val="00EC3DD3"/>
    <w:rsid w:val="00EC49A7"/>
    <w:rsid w:val="00EC49F0"/>
    <w:rsid w:val="00EC5063"/>
    <w:rsid w:val="00EC51CF"/>
    <w:rsid w:val="00EC554D"/>
    <w:rsid w:val="00EC56E0"/>
    <w:rsid w:val="00EC5C2E"/>
    <w:rsid w:val="00EC5CE5"/>
    <w:rsid w:val="00EC5EE0"/>
    <w:rsid w:val="00EC6F9C"/>
    <w:rsid w:val="00EC739A"/>
    <w:rsid w:val="00EC7BAC"/>
    <w:rsid w:val="00ED093F"/>
    <w:rsid w:val="00ED15FF"/>
    <w:rsid w:val="00ED196E"/>
    <w:rsid w:val="00ED3387"/>
    <w:rsid w:val="00ED3FA3"/>
    <w:rsid w:val="00ED534A"/>
    <w:rsid w:val="00ED5D91"/>
    <w:rsid w:val="00ED673C"/>
    <w:rsid w:val="00ED748A"/>
    <w:rsid w:val="00ED78F2"/>
    <w:rsid w:val="00ED7D6D"/>
    <w:rsid w:val="00EE02CF"/>
    <w:rsid w:val="00EE0624"/>
    <w:rsid w:val="00EE0811"/>
    <w:rsid w:val="00EE11B4"/>
    <w:rsid w:val="00EE16EA"/>
    <w:rsid w:val="00EE1E1C"/>
    <w:rsid w:val="00EE253A"/>
    <w:rsid w:val="00EE2DBC"/>
    <w:rsid w:val="00EE3549"/>
    <w:rsid w:val="00EE354B"/>
    <w:rsid w:val="00EE413B"/>
    <w:rsid w:val="00EE4B1B"/>
    <w:rsid w:val="00EE5175"/>
    <w:rsid w:val="00EE5245"/>
    <w:rsid w:val="00EE5D92"/>
    <w:rsid w:val="00EE5DAA"/>
    <w:rsid w:val="00EE5E0D"/>
    <w:rsid w:val="00EE5F17"/>
    <w:rsid w:val="00EE641D"/>
    <w:rsid w:val="00EE7002"/>
    <w:rsid w:val="00EE7022"/>
    <w:rsid w:val="00EE7782"/>
    <w:rsid w:val="00EE7F7B"/>
    <w:rsid w:val="00EF0005"/>
    <w:rsid w:val="00EF0A61"/>
    <w:rsid w:val="00EF15E8"/>
    <w:rsid w:val="00EF161E"/>
    <w:rsid w:val="00EF17A4"/>
    <w:rsid w:val="00EF1F7F"/>
    <w:rsid w:val="00EF26B6"/>
    <w:rsid w:val="00EF2B33"/>
    <w:rsid w:val="00EF2F74"/>
    <w:rsid w:val="00EF5739"/>
    <w:rsid w:val="00EF58B9"/>
    <w:rsid w:val="00EF5A20"/>
    <w:rsid w:val="00EF6159"/>
    <w:rsid w:val="00EF6BCC"/>
    <w:rsid w:val="00EF6F95"/>
    <w:rsid w:val="00EF75E2"/>
    <w:rsid w:val="00EF7C62"/>
    <w:rsid w:val="00F00E3F"/>
    <w:rsid w:val="00F01195"/>
    <w:rsid w:val="00F0271D"/>
    <w:rsid w:val="00F031FE"/>
    <w:rsid w:val="00F03AA2"/>
    <w:rsid w:val="00F03CC3"/>
    <w:rsid w:val="00F046C3"/>
    <w:rsid w:val="00F05266"/>
    <w:rsid w:val="00F055A9"/>
    <w:rsid w:val="00F06028"/>
    <w:rsid w:val="00F062D9"/>
    <w:rsid w:val="00F07421"/>
    <w:rsid w:val="00F07A34"/>
    <w:rsid w:val="00F10875"/>
    <w:rsid w:val="00F1097C"/>
    <w:rsid w:val="00F10B08"/>
    <w:rsid w:val="00F11542"/>
    <w:rsid w:val="00F115AC"/>
    <w:rsid w:val="00F11BD0"/>
    <w:rsid w:val="00F11CB0"/>
    <w:rsid w:val="00F126EB"/>
    <w:rsid w:val="00F1284E"/>
    <w:rsid w:val="00F12D8E"/>
    <w:rsid w:val="00F1308B"/>
    <w:rsid w:val="00F14829"/>
    <w:rsid w:val="00F14989"/>
    <w:rsid w:val="00F14F75"/>
    <w:rsid w:val="00F1500B"/>
    <w:rsid w:val="00F15F62"/>
    <w:rsid w:val="00F160CE"/>
    <w:rsid w:val="00F16FCA"/>
    <w:rsid w:val="00F17053"/>
    <w:rsid w:val="00F17814"/>
    <w:rsid w:val="00F17EA6"/>
    <w:rsid w:val="00F20440"/>
    <w:rsid w:val="00F210EA"/>
    <w:rsid w:val="00F213F2"/>
    <w:rsid w:val="00F21781"/>
    <w:rsid w:val="00F23341"/>
    <w:rsid w:val="00F23C77"/>
    <w:rsid w:val="00F249CF"/>
    <w:rsid w:val="00F253B1"/>
    <w:rsid w:val="00F25705"/>
    <w:rsid w:val="00F25EC1"/>
    <w:rsid w:val="00F261E2"/>
    <w:rsid w:val="00F2636B"/>
    <w:rsid w:val="00F26428"/>
    <w:rsid w:val="00F26D00"/>
    <w:rsid w:val="00F26DEF"/>
    <w:rsid w:val="00F26E65"/>
    <w:rsid w:val="00F30DB9"/>
    <w:rsid w:val="00F31143"/>
    <w:rsid w:val="00F31964"/>
    <w:rsid w:val="00F31BBE"/>
    <w:rsid w:val="00F31CBA"/>
    <w:rsid w:val="00F31DBA"/>
    <w:rsid w:val="00F31E42"/>
    <w:rsid w:val="00F32353"/>
    <w:rsid w:val="00F3250E"/>
    <w:rsid w:val="00F33B59"/>
    <w:rsid w:val="00F344E0"/>
    <w:rsid w:val="00F34D6A"/>
    <w:rsid w:val="00F35872"/>
    <w:rsid w:val="00F35A74"/>
    <w:rsid w:val="00F35AA5"/>
    <w:rsid w:val="00F36369"/>
    <w:rsid w:val="00F364AE"/>
    <w:rsid w:val="00F36BE1"/>
    <w:rsid w:val="00F36E3C"/>
    <w:rsid w:val="00F36EE3"/>
    <w:rsid w:val="00F4000D"/>
    <w:rsid w:val="00F40182"/>
    <w:rsid w:val="00F40B13"/>
    <w:rsid w:val="00F40B4D"/>
    <w:rsid w:val="00F40FD3"/>
    <w:rsid w:val="00F4105E"/>
    <w:rsid w:val="00F41369"/>
    <w:rsid w:val="00F4245C"/>
    <w:rsid w:val="00F42678"/>
    <w:rsid w:val="00F42E8B"/>
    <w:rsid w:val="00F43B89"/>
    <w:rsid w:val="00F44DD1"/>
    <w:rsid w:val="00F4534A"/>
    <w:rsid w:val="00F45CDD"/>
    <w:rsid w:val="00F4721D"/>
    <w:rsid w:val="00F47267"/>
    <w:rsid w:val="00F47CF7"/>
    <w:rsid w:val="00F50419"/>
    <w:rsid w:val="00F51D5D"/>
    <w:rsid w:val="00F53388"/>
    <w:rsid w:val="00F544E8"/>
    <w:rsid w:val="00F54779"/>
    <w:rsid w:val="00F551CF"/>
    <w:rsid w:val="00F55359"/>
    <w:rsid w:val="00F554D1"/>
    <w:rsid w:val="00F555E5"/>
    <w:rsid w:val="00F560A5"/>
    <w:rsid w:val="00F567B0"/>
    <w:rsid w:val="00F56EFA"/>
    <w:rsid w:val="00F56F38"/>
    <w:rsid w:val="00F5768E"/>
    <w:rsid w:val="00F600B5"/>
    <w:rsid w:val="00F604C1"/>
    <w:rsid w:val="00F60DD9"/>
    <w:rsid w:val="00F6131B"/>
    <w:rsid w:val="00F6147A"/>
    <w:rsid w:val="00F61FB8"/>
    <w:rsid w:val="00F62450"/>
    <w:rsid w:val="00F64B18"/>
    <w:rsid w:val="00F650F8"/>
    <w:rsid w:val="00F65F02"/>
    <w:rsid w:val="00F665A5"/>
    <w:rsid w:val="00F665AE"/>
    <w:rsid w:val="00F66BBE"/>
    <w:rsid w:val="00F67FA4"/>
    <w:rsid w:val="00F700E4"/>
    <w:rsid w:val="00F70125"/>
    <w:rsid w:val="00F70665"/>
    <w:rsid w:val="00F712AD"/>
    <w:rsid w:val="00F72181"/>
    <w:rsid w:val="00F72979"/>
    <w:rsid w:val="00F74FA7"/>
    <w:rsid w:val="00F75BDE"/>
    <w:rsid w:val="00F75C70"/>
    <w:rsid w:val="00F76585"/>
    <w:rsid w:val="00F76D8A"/>
    <w:rsid w:val="00F76ED3"/>
    <w:rsid w:val="00F76FD4"/>
    <w:rsid w:val="00F77026"/>
    <w:rsid w:val="00F771B7"/>
    <w:rsid w:val="00F77273"/>
    <w:rsid w:val="00F77452"/>
    <w:rsid w:val="00F77ADE"/>
    <w:rsid w:val="00F77D16"/>
    <w:rsid w:val="00F81638"/>
    <w:rsid w:val="00F82630"/>
    <w:rsid w:val="00F827A8"/>
    <w:rsid w:val="00F82A20"/>
    <w:rsid w:val="00F82EAD"/>
    <w:rsid w:val="00F830B6"/>
    <w:rsid w:val="00F83745"/>
    <w:rsid w:val="00F84140"/>
    <w:rsid w:val="00F84413"/>
    <w:rsid w:val="00F84C9F"/>
    <w:rsid w:val="00F851A5"/>
    <w:rsid w:val="00F85213"/>
    <w:rsid w:val="00F857E0"/>
    <w:rsid w:val="00F85BA1"/>
    <w:rsid w:val="00F85CD1"/>
    <w:rsid w:val="00F862DB"/>
    <w:rsid w:val="00F867B6"/>
    <w:rsid w:val="00F870B8"/>
    <w:rsid w:val="00F879B6"/>
    <w:rsid w:val="00F87D20"/>
    <w:rsid w:val="00F90037"/>
    <w:rsid w:val="00F919A7"/>
    <w:rsid w:val="00F921EC"/>
    <w:rsid w:val="00F92215"/>
    <w:rsid w:val="00F9252A"/>
    <w:rsid w:val="00F93418"/>
    <w:rsid w:val="00F935FC"/>
    <w:rsid w:val="00F9399E"/>
    <w:rsid w:val="00F9416B"/>
    <w:rsid w:val="00F944A8"/>
    <w:rsid w:val="00F95384"/>
    <w:rsid w:val="00F95EAB"/>
    <w:rsid w:val="00F96765"/>
    <w:rsid w:val="00F9740F"/>
    <w:rsid w:val="00F974BA"/>
    <w:rsid w:val="00F97579"/>
    <w:rsid w:val="00F978C0"/>
    <w:rsid w:val="00F97CE0"/>
    <w:rsid w:val="00F97D92"/>
    <w:rsid w:val="00FA008D"/>
    <w:rsid w:val="00FA0265"/>
    <w:rsid w:val="00FA0625"/>
    <w:rsid w:val="00FA1D1B"/>
    <w:rsid w:val="00FA1DF9"/>
    <w:rsid w:val="00FA1EFC"/>
    <w:rsid w:val="00FA20DC"/>
    <w:rsid w:val="00FA2931"/>
    <w:rsid w:val="00FA2D8B"/>
    <w:rsid w:val="00FA3974"/>
    <w:rsid w:val="00FA4386"/>
    <w:rsid w:val="00FA45FB"/>
    <w:rsid w:val="00FA527B"/>
    <w:rsid w:val="00FA58A2"/>
    <w:rsid w:val="00FA5F4C"/>
    <w:rsid w:val="00FA6385"/>
    <w:rsid w:val="00FA73B3"/>
    <w:rsid w:val="00FA73F1"/>
    <w:rsid w:val="00FA7410"/>
    <w:rsid w:val="00FA74F7"/>
    <w:rsid w:val="00FA76C0"/>
    <w:rsid w:val="00FA7AF1"/>
    <w:rsid w:val="00FA7CBA"/>
    <w:rsid w:val="00FB082B"/>
    <w:rsid w:val="00FB0D39"/>
    <w:rsid w:val="00FB13A2"/>
    <w:rsid w:val="00FB18B9"/>
    <w:rsid w:val="00FB1AE1"/>
    <w:rsid w:val="00FB25D8"/>
    <w:rsid w:val="00FB2B40"/>
    <w:rsid w:val="00FB2D39"/>
    <w:rsid w:val="00FB33EB"/>
    <w:rsid w:val="00FB3EDC"/>
    <w:rsid w:val="00FB3EF9"/>
    <w:rsid w:val="00FB4694"/>
    <w:rsid w:val="00FB4937"/>
    <w:rsid w:val="00FB49BF"/>
    <w:rsid w:val="00FB555D"/>
    <w:rsid w:val="00FB654C"/>
    <w:rsid w:val="00FB68C1"/>
    <w:rsid w:val="00FB77F2"/>
    <w:rsid w:val="00FC0FAF"/>
    <w:rsid w:val="00FC15F6"/>
    <w:rsid w:val="00FC1BAC"/>
    <w:rsid w:val="00FC221B"/>
    <w:rsid w:val="00FC2C4D"/>
    <w:rsid w:val="00FC3157"/>
    <w:rsid w:val="00FC3324"/>
    <w:rsid w:val="00FC395E"/>
    <w:rsid w:val="00FC4873"/>
    <w:rsid w:val="00FC4A9F"/>
    <w:rsid w:val="00FC4C3A"/>
    <w:rsid w:val="00FC5781"/>
    <w:rsid w:val="00FC588F"/>
    <w:rsid w:val="00FC5B5F"/>
    <w:rsid w:val="00FC5F37"/>
    <w:rsid w:val="00FC759D"/>
    <w:rsid w:val="00FC788C"/>
    <w:rsid w:val="00FD05EE"/>
    <w:rsid w:val="00FD0AB9"/>
    <w:rsid w:val="00FD194E"/>
    <w:rsid w:val="00FD1988"/>
    <w:rsid w:val="00FD21B9"/>
    <w:rsid w:val="00FD244C"/>
    <w:rsid w:val="00FD35B9"/>
    <w:rsid w:val="00FD39B9"/>
    <w:rsid w:val="00FD488A"/>
    <w:rsid w:val="00FD5871"/>
    <w:rsid w:val="00FD5D98"/>
    <w:rsid w:val="00FD6072"/>
    <w:rsid w:val="00FD6ABF"/>
    <w:rsid w:val="00FD6E07"/>
    <w:rsid w:val="00FD770B"/>
    <w:rsid w:val="00FD7B72"/>
    <w:rsid w:val="00FD7EE7"/>
    <w:rsid w:val="00FE063C"/>
    <w:rsid w:val="00FE0C84"/>
    <w:rsid w:val="00FE0D3F"/>
    <w:rsid w:val="00FE1CED"/>
    <w:rsid w:val="00FE2511"/>
    <w:rsid w:val="00FE268A"/>
    <w:rsid w:val="00FE26AA"/>
    <w:rsid w:val="00FE27C5"/>
    <w:rsid w:val="00FE2BC2"/>
    <w:rsid w:val="00FE2CE7"/>
    <w:rsid w:val="00FE3757"/>
    <w:rsid w:val="00FE3910"/>
    <w:rsid w:val="00FE3D68"/>
    <w:rsid w:val="00FE4859"/>
    <w:rsid w:val="00FE4BEE"/>
    <w:rsid w:val="00FE4F45"/>
    <w:rsid w:val="00FE5515"/>
    <w:rsid w:val="00FE6481"/>
    <w:rsid w:val="00FE6E2A"/>
    <w:rsid w:val="00FE7080"/>
    <w:rsid w:val="00FF0565"/>
    <w:rsid w:val="00FF0CC1"/>
    <w:rsid w:val="00FF120F"/>
    <w:rsid w:val="00FF131A"/>
    <w:rsid w:val="00FF17DE"/>
    <w:rsid w:val="00FF37C5"/>
    <w:rsid w:val="00FF40A1"/>
    <w:rsid w:val="00FF42AD"/>
    <w:rsid w:val="00FF43EF"/>
    <w:rsid w:val="00FF4AD0"/>
    <w:rsid w:val="00FF53FD"/>
    <w:rsid w:val="00FF55C8"/>
    <w:rsid w:val="00FF5759"/>
    <w:rsid w:val="00FF5A45"/>
    <w:rsid w:val="00FF5B47"/>
    <w:rsid w:val="00FF5D8D"/>
    <w:rsid w:val="00FF62D5"/>
    <w:rsid w:val="00FF6C51"/>
    <w:rsid w:val="00FF6D99"/>
    <w:rsid w:val="00FF794F"/>
    <w:rsid w:val="00FF7D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C8011"/>
  <w15:docId w15:val="{BFD2632C-79B1-433D-9F9E-A07CFCBBD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69D9"/>
    <w:rPr>
      <w:rFonts w:eastAsia="Times New Roman"/>
      <w:sz w:val="24"/>
      <w:szCs w:val="24"/>
      <w:lang w:val="en-ZA" w:eastAsia="en-GB"/>
    </w:rPr>
  </w:style>
  <w:style w:type="paragraph" w:styleId="Heading1">
    <w:name w:val="heading 1"/>
    <w:basedOn w:val="Normal"/>
    <w:next w:val="Normal"/>
    <w:link w:val="Heading1Char"/>
    <w:qFormat/>
    <w:rsid w:val="00A811FC"/>
    <w:pPr>
      <w:keepNext/>
      <w:pageBreakBefore/>
      <w:numPr>
        <w:numId w:val="18"/>
      </w:numPr>
      <w:adjustRightInd w:val="0"/>
      <w:snapToGrid w:val="0"/>
      <w:spacing w:before="480" w:after="120"/>
      <w:jc w:val="both"/>
      <w:textAlignment w:val="baseline"/>
      <w:outlineLvl w:val="0"/>
    </w:pPr>
    <w:rPr>
      <w:rFonts w:ascii="Calibri" w:eastAsia="MS Gothic" w:hAnsi="Calibri" w:cs="Cordia New"/>
      <w:b/>
      <w:sz w:val="28"/>
      <w:szCs w:val="22"/>
      <w:lang w:val="en-US" w:eastAsia="ja-JP"/>
    </w:rPr>
  </w:style>
  <w:style w:type="paragraph" w:styleId="Heading2">
    <w:name w:val="heading 2"/>
    <w:basedOn w:val="Normal"/>
    <w:next w:val="Normal"/>
    <w:link w:val="Heading2Char"/>
    <w:autoRedefine/>
    <w:qFormat/>
    <w:rsid w:val="007066B7"/>
    <w:pPr>
      <w:keepNext/>
      <w:numPr>
        <w:ilvl w:val="1"/>
        <w:numId w:val="7"/>
      </w:numPr>
      <w:tabs>
        <w:tab w:val="left" w:pos="1080"/>
      </w:tabs>
      <w:adjustRightInd w:val="0"/>
      <w:snapToGrid w:val="0"/>
      <w:spacing w:before="240"/>
      <w:ind w:left="1080"/>
      <w:textAlignment w:val="baseline"/>
      <w:outlineLvl w:val="1"/>
    </w:pPr>
    <w:rPr>
      <w:rFonts w:ascii="Calibri" w:eastAsia="MS Gothic" w:hAnsi="Calibri"/>
      <w:b/>
      <w:bCs/>
      <w:i/>
      <w:iCs/>
      <w:color w:val="000000"/>
      <w:sz w:val="28"/>
      <w:szCs w:val="28"/>
      <w:lang w:val="en-US" w:eastAsia="ja-JP"/>
    </w:rPr>
  </w:style>
  <w:style w:type="paragraph" w:styleId="Heading3">
    <w:name w:val="heading 3"/>
    <w:basedOn w:val="Heading2"/>
    <w:next w:val="Normal"/>
    <w:link w:val="Heading3Char"/>
    <w:qFormat/>
    <w:pPr>
      <w:numPr>
        <w:ilvl w:val="2"/>
      </w:numPr>
      <w:ind w:left="1080"/>
      <w:outlineLvl w:val="2"/>
    </w:pPr>
    <w:rPr>
      <w:sz w:val="24"/>
    </w:rPr>
  </w:style>
  <w:style w:type="paragraph" w:styleId="Heading4">
    <w:name w:val="heading 4"/>
    <w:basedOn w:val="Heading2"/>
    <w:next w:val="Normal"/>
    <w:link w:val="Heading4Char"/>
    <w:qFormat/>
    <w:pPr>
      <w:numPr>
        <w:ilvl w:val="3"/>
      </w:numPr>
      <w:outlineLvl w:val="3"/>
    </w:pPr>
    <w:rPr>
      <w:sz w:val="24"/>
    </w:rPr>
  </w:style>
  <w:style w:type="paragraph" w:styleId="Heading5">
    <w:name w:val="heading 5"/>
    <w:basedOn w:val="Normal"/>
    <w:next w:val="Normal"/>
    <w:link w:val="Heading5Char"/>
    <w:qFormat/>
    <w:pPr>
      <w:keepNext/>
      <w:keepLines/>
      <w:numPr>
        <w:ilvl w:val="4"/>
        <w:numId w:val="18"/>
      </w:numPr>
      <w:adjustRightInd w:val="0"/>
      <w:snapToGrid w:val="0"/>
      <w:spacing w:before="216" w:after="180" w:line="219" w:lineRule="exact"/>
      <w:jc w:val="both"/>
      <w:textAlignment w:val="baseline"/>
      <w:outlineLvl w:val="4"/>
    </w:pPr>
    <w:rPr>
      <w:rFonts w:ascii="Calibri" w:eastAsia="MS Gothic" w:hAnsi="Calibri"/>
      <w:b/>
      <w:i/>
      <w:lang w:val="en-US" w:eastAsia="ja-JP"/>
    </w:rPr>
  </w:style>
  <w:style w:type="paragraph" w:styleId="Heading6">
    <w:name w:val="heading 6"/>
    <w:basedOn w:val="Normal"/>
    <w:next w:val="Normal"/>
    <w:link w:val="Heading6Char"/>
    <w:qFormat/>
    <w:pPr>
      <w:keepNext/>
      <w:keepLines/>
      <w:numPr>
        <w:ilvl w:val="5"/>
        <w:numId w:val="18"/>
      </w:numPr>
      <w:adjustRightInd w:val="0"/>
      <w:snapToGrid w:val="0"/>
      <w:spacing w:before="216" w:after="180" w:line="219" w:lineRule="exact"/>
      <w:jc w:val="both"/>
      <w:textAlignment w:val="baseline"/>
      <w:outlineLvl w:val="5"/>
    </w:pPr>
    <w:rPr>
      <w:rFonts w:ascii="Arial" w:eastAsia="MS Gothic" w:hAnsi="Arial" w:cs="Cordia New"/>
      <w:b/>
      <w:szCs w:val="22"/>
      <w:lang w:val="en-US" w:eastAsia="ja-JP"/>
    </w:rPr>
  </w:style>
  <w:style w:type="paragraph" w:styleId="Heading7">
    <w:name w:val="heading 7"/>
    <w:aliases w:val="Appendix Heading"/>
    <w:basedOn w:val="Normal"/>
    <w:next w:val="Normal"/>
    <w:link w:val="Heading7Char"/>
    <w:pPr>
      <w:numPr>
        <w:ilvl w:val="6"/>
        <w:numId w:val="19"/>
      </w:numPr>
      <w:adjustRightInd w:val="0"/>
      <w:snapToGrid w:val="0"/>
      <w:spacing w:before="216" w:after="180" w:line="219" w:lineRule="exact"/>
      <w:jc w:val="both"/>
      <w:textAlignment w:val="baseline"/>
      <w:outlineLvl w:val="6"/>
    </w:pPr>
    <w:rPr>
      <w:rFonts w:ascii="Arial" w:eastAsia="MS Gothic" w:hAnsi="Arial" w:cs="Cordia New"/>
      <w:b/>
      <w:i/>
      <w:szCs w:val="22"/>
      <w:lang w:val="en-US" w:eastAsia="ja-JP"/>
    </w:rPr>
  </w:style>
  <w:style w:type="paragraph" w:styleId="Heading8">
    <w:name w:val="heading 8"/>
    <w:basedOn w:val="Normal"/>
    <w:next w:val="Normal"/>
    <w:link w:val="Heading8Char"/>
    <w:qFormat/>
    <w:pPr>
      <w:numPr>
        <w:ilvl w:val="7"/>
        <w:numId w:val="19"/>
      </w:numPr>
      <w:adjustRightInd w:val="0"/>
      <w:snapToGrid w:val="0"/>
      <w:spacing w:before="216" w:after="180" w:line="240" w:lineRule="exact"/>
      <w:jc w:val="both"/>
      <w:textAlignment w:val="baseline"/>
      <w:outlineLvl w:val="7"/>
    </w:pPr>
    <w:rPr>
      <w:rFonts w:ascii="Arial" w:eastAsia="MS Gothic" w:hAnsi="Arial" w:cs="Cordia New"/>
      <w:b/>
      <w:sz w:val="21"/>
      <w:szCs w:val="22"/>
      <w:lang w:val="en-US" w:eastAsia="ja-JP"/>
    </w:rPr>
  </w:style>
  <w:style w:type="paragraph" w:styleId="Heading9">
    <w:name w:val="heading 9"/>
    <w:basedOn w:val="Normal"/>
    <w:next w:val="Normal"/>
    <w:link w:val="Heading9Char"/>
    <w:qFormat/>
    <w:pPr>
      <w:numPr>
        <w:ilvl w:val="8"/>
        <w:numId w:val="19"/>
      </w:numPr>
      <w:adjustRightInd w:val="0"/>
      <w:snapToGrid w:val="0"/>
      <w:spacing w:before="216" w:after="180" w:line="219" w:lineRule="exact"/>
      <w:jc w:val="both"/>
      <w:textAlignment w:val="baseline"/>
      <w:outlineLvl w:val="8"/>
    </w:pPr>
    <w:rPr>
      <w:rFonts w:ascii="Arial" w:eastAsia="MS Gothic" w:hAnsi="Arial" w:cs="Cordia New"/>
      <w:b/>
      <w:i/>
      <w:sz w:val="21"/>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811FC"/>
    <w:rPr>
      <w:rFonts w:ascii="Calibri" w:eastAsia="MS Gothic" w:hAnsi="Calibri" w:cs="Cordia New"/>
      <w:b/>
      <w:sz w:val="28"/>
      <w:szCs w:val="22"/>
      <w:lang w:eastAsia="ja-JP"/>
    </w:rPr>
  </w:style>
  <w:style w:type="character" w:customStyle="1" w:styleId="Heading2Char">
    <w:name w:val="Heading 2 Char"/>
    <w:link w:val="Heading2"/>
    <w:rsid w:val="007066B7"/>
    <w:rPr>
      <w:rFonts w:ascii="Calibri" w:eastAsia="MS Gothic" w:hAnsi="Calibri"/>
      <w:b/>
      <w:bCs/>
      <w:i/>
      <w:iCs/>
      <w:color w:val="000000"/>
      <w:sz w:val="28"/>
      <w:szCs w:val="28"/>
      <w:lang w:eastAsia="ja-JP"/>
    </w:rPr>
  </w:style>
  <w:style w:type="character" w:customStyle="1" w:styleId="Heading3Char">
    <w:name w:val="Heading 3 Char"/>
    <w:link w:val="Heading3"/>
    <w:rPr>
      <w:rFonts w:ascii="Calibri" w:eastAsia="MS Gothic" w:hAnsi="Calibri"/>
      <w:b/>
      <w:bCs/>
      <w:i/>
      <w:iCs/>
      <w:color w:val="000000"/>
      <w:sz w:val="24"/>
      <w:szCs w:val="28"/>
      <w:lang w:eastAsia="ja-JP"/>
    </w:rPr>
  </w:style>
  <w:style w:type="character" w:customStyle="1" w:styleId="Heading4Char">
    <w:name w:val="Heading 4 Char"/>
    <w:link w:val="Heading4"/>
    <w:rPr>
      <w:rFonts w:ascii="Calibri" w:eastAsia="MS Gothic" w:hAnsi="Calibri"/>
      <w:b/>
      <w:bCs/>
      <w:i/>
      <w:iCs/>
      <w:color w:val="000000"/>
      <w:sz w:val="24"/>
      <w:szCs w:val="28"/>
      <w:lang w:eastAsia="ja-JP"/>
    </w:rPr>
  </w:style>
  <w:style w:type="character" w:customStyle="1" w:styleId="Heading5Char">
    <w:name w:val="Heading 5 Char"/>
    <w:link w:val="Heading5"/>
    <w:rPr>
      <w:rFonts w:ascii="Calibri" w:eastAsia="MS Gothic" w:hAnsi="Calibri"/>
      <w:b/>
      <w:i/>
      <w:sz w:val="24"/>
      <w:szCs w:val="24"/>
      <w:lang w:eastAsia="ja-JP"/>
    </w:rPr>
  </w:style>
  <w:style w:type="character" w:customStyle="1" w:styleId="Heading6Char">
    <w:name w:val="Heading 6 Char"/>
    <w:link w:val="Heading6"/>
    <w:rPr>
      <w:rFonts w:ascii="Arial" w:eastAsia="MS Gothic" w:hAnsi="Arial" w:cs="Cordia New"/>
      <w:b/>
      <w:sz w:val="24"/>
      <w:szCs w:val="22"/>
      <w:lang w:eastAsia="ja-JP"/>
    </w:rPr>
  </w:style>
  <w:style w:type="character" w:customStyle="1" w:styleId="Heading7Char">
    <w:name w:val="Heading 7 Char"/>
    <w:aliases w:val="Appendix Heading Char"/>
    <w:link w:val="Heading7"/>
    <w:rPr>
      <w:rFonts w:ascii="Arial" w:eastAsia="MS Gothic" w:hAnsi="Arial" w:cs="Cordia New"/>
      <w:b/>
      <w:i/>
      <w:sz w:val="24"/>
      <w:szCs w:val="22"/>
      <w:lang w:eastAsia="ja-JP"/>
    </w:rPr>
  </w:style>
  <w:style w:type="character" w:customStyle="1" w:styleId="Heading8Char">
    <w:name w:val="Heading 8 Char"/>
    <w:link w:val="Heading8"/>
    <w:rPr>
      <w:rFonts w:ascii="Arial" w:eastAsia="MS Gothic" w:hAnsi="Arial" w:cs="Cordia New"/>
      <w:b/>
      <w:sz w:val="21"/>
      <w:szCs w:val="22"/>
      <w:lang w:eastAsia="ja-JP"/>
    </w:rPr>
  </w:style>
  <w:style w:type="character" w:customStyle="1" w:styleId="Heading9Char">
    <w:name w:val="Heading 9 Char"/>
    <w:link w:val="Heading9"/>
    <w:rPr>
      <w:rFonts w:ascii="Arial" w:eastAsia="MS Gothic" w:hAnsi="Arial" w:cs="Cordia New"/>
      <w:b/>
      <w:i/>
      <w:sz w:val="21"/>
      <w:szCs w:val="22"/>
      <w:lang w:eastAsia="ja-JP"/>
    </w:rPr>
  </w:style>
  <w:style w:type="paragraph" w:styleId="TOC1">
    <w:name w:val="toc 1"/>
    <w:basedOn w:val="Normal"/>
    <w:next w:val="Normal"/>
    <w:uiPriority w:val="39"/>
    <w:pPr>
      <w:keepLines/>
      <w:tabs>
        <w:tab w:val="right" w:leader="dot" w:pos="9360"/>
      </w:tabs>
      <w:spacing w:before="120" w:after="180" w:line="259" w:lineRule="atLeast"/>
      <w:ind w:left="907" w:right="2160" w:hanging="907"/>
      <w:jc w:val="both"/>
    </w:pPr>
    <w:rPr>
      <w:rFonts w:ascii="Calibri" w:eastAsia="MS Gothic" w:hAnsi="Calibri"/>
      <w:b/>
      <w:color w:val="0000FF"/>
      <w:lang w:val="en-US" w:eastAsia="en-US"/>
    </w:rPr>
  </w:style>
  <w:style w:type="paragraph" w:styleId="TOC2">
    <w:name w:val="toc 2"/>
    <w:basedOn w:val="TOC1"/>
    <w:next w:val="Normal"/>
    <w:uiPriority w:val="39"/>
    <w:pPr>
      <w:spacing w:before="0"/>
    </w:pPr>
    <w:rPr>
      <w:b w:val="0"/>
    </w:rPr>
  </w:style>
  <w:style w:type="paragraph" w:styleId="TOC3">
    <w:name w:val="toc 3"/>
    <w:basedOn w:val="TOC1"/>
    <w:next w:val="Normal"/>
    <w:uiPriority w:val="39"/>
    <w:pPr>
      <w:spacing w:before="0"/>
      <w:ind w:left="900" w:hanging="900"/>
    </w:pPr>
    <w:rPr>
      <w:b w:val="0"/>
    </w:rPr>
  </w:style>
  <w:style w:type="paragraph" w:styleId="TOC4">
    <w:name w:val="toc 4"/>
    <w:basedOn w:val="TOC1"/>
    <w:next w:val="Normal"/>
    <w:uiPriority w:val="39"/>
    <w:pPr>
      <w:spacing w:before="0"/>
      <w:ind w:left="1656" w:hanging="1123"/>
    </w:pPr>
    <w:rPr>
      <w:b w:val="0"/>
    </w:rPr>
  </w:style>
  <w:style w:type="paragraph" w:styleId="BalloonText">
    <w:name w:val="Balloon Text"/>
    <w:basedOn w:val="Normal"/>
    <w:link w:val="BalloonTextChar"/>
    <w:uiPriority w:val="99"/>
    <w:semiHidden/>
    <w:unhideWhenUsed/>
    <w:pPr>
      <w:spacing w:after="180"/>
      <w:jc w:val="both"/>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table" w:styleId="TableGrid">
    <w:name w:val="Table Grid"/>
    <w:basedOn w:val="TableNormal"/>
    <w:uiPriority w:val="59"/>
    <w:pPr>
      <w:spacing w:before="14" w:after="144"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Pr>
      <w:color w:val="808080"/>
    </w:rPr>
  </w:style>
  <w:style w:type="paragraph" w:styleId="ListParagraph">
    <w:name w:val="List Paragraph"/>
    <w:basedOn w:val="Normal"/>
    <w:link w:val="ListParagraphChar"/>
    <w:uiPriority w:val="34"/>
    <w:qFormat/>
    <w:pPr>
      <w:spacing w:before="14" w:after="144" w:line="300" w:lineRule="atLeast"/>
      <w:ind w:left="720"/>
      <w:contextualSpacing/>
      <w:jc w:val="both"/>
    </w:pPr>
    <w:rPr>
      <w:rFonts w:ascii="Calibri" w:hAnsi="Calibri"/>
      <w:lang w:val="en-US" w:eastAsia="en-US"/>
    </w:rPr>
  </w:style>
  <w:style w:type="paragraph" w:customStyle="1" w:styleId="TblFootnote">
    <w:name w:val="Tbl Footnote"/>
    <w:basedOn w:val="Normal"/>
    <w:next w:val="Normal"/>
    <w:link w:val="TblFootnoteChar"/>
    <w:pPr>
      <w:keepNext/>
      <w:keepLines/>
      <w:tabs>
        <w:tab w:val="left" w:pos="259"/>
      </w:tabs>
      <w:spacing w:before="120" w:after="180" w:line="259" w:lineRule="atLeast"/>
      <w:ind w:left="259" w:hanging="259"/>
      <w:jc w:val="both"/>
    </w:pPr>
    <w:rPr>
      <w:rFonts w:ascii="Calibri" w:hAnsi="Calibri"/>
      <w:sz w:val="20"/>
      <w:lang w:val="en-US" w:eastAsia="en-US"/>
    </w:rPr>
  </w:style>
  <w:style w:type="paragraph" w:styleId="Revision">
    <w:name w:val="Revision"/>
    <w:hidden/>
    <w:uiPriority w:val="99"/>
    <w:semiHidden/>
    <w:rPr>
      <w:rFonts w:eastAsia="Times New Roman"/>
      <w:sz w:val="24"/>
      <w:szCs w:val="24"/>
    </w:rPr>
  </w:style>
  <w:style w:type="table" w:styleId="TableList5">
    <w:name w:val="Table List 5"/>
    <w:basedOn w:val="TableNormal"/>
    <w:pPr>
      <w:spacing w:before="14" w:after="144"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TblFootnoteChar">
    <w:name w:val="Tbl Footnote Char"/>
    <w:link w:val="TblFootnote"/>
    <w:locked/>
    <w:rPr>
      <w:rFonts w:eastAsia="Times New Roman"/>
      <w:szCs w:val="24"/>
    </w:rPr>
  </w:style>
  <w:style w:type="paragraph" w:customStyle="1" w:styleId="listbull">
    <w:name w:val="list:bull"/>
    <w:basedOn w:val="Normal"/>
    <w:link w:val="listbullChar"/>
    <w:pPr>
      <w:numPr>
        <w:numId w:val="30"/>
      </w:numPr>
      <w:spacing w:before="120" w:after="120"/>
      <w:jc w:val="both"/>
    </w:pPr>
    <w:rPr>
      <w:rFonts w:ascii="Calibri" w:hAnsi="Calibri"/>
      <w:lang w:val="en-GB" w:eastAsia="en-US"/>
    </w:rPr>
  </w:style>
  <w:style w:type="character" w:customStyle="1" w:styleId="listbullChar">
    <w:name w:val="list:bull Char"/>
    <w:basedOn w:val="DefaultParagraphFont"/>
    <w:link w:val="listbull"/>
    <w:rPr>
      <w:rFonts w:ascii="Calibri" w:eastAsia="Times New Roman" w:hAnsi="Calibri"/>
      <w:sz w:val="24"/>
      <w:szCs w:val="24"/>
      <w:lang w:val="en-GB"/>
    </w:rPr>
  </w:style>
  <w:style w:type="paragraph" w:customStyle="1" w:styleId="tabletextNS">
    <w:name w:val="table:textNS"/>
    <w:basedOn w:val="Normal"/>
    <w:link w:val="tabletextNSChar"/>
    <w:qFormat/>
    <w:pPr>
      <w:spacing w:before="120" w:after="180"/>
      <w:jc w:val="both"/>
    </w:pPr>
    <w:rPr>
      <w:rFonts w:ascii="Arial Narrow" w:hAnsi="Arial Narrow" w:cs="Arial Narrow"/>
      <w:lang w:val="en-GB" w:eastAsia="en-US"/>
    </w:rPr>
  </w:style>
  <w:style w:type="character" w:customStyle="1" w:styleId="tabletextNSChar">
    <w:name w:val="table:textNS Char"/>
    <w:basedOn w:val="DefaultParagraphFont"/>
    <w:link w:val="tabletextNS"/>
    <w:rPr>
      <w:rFonts w:ascii="Arial Narrow" w:eastAsia="Times New Roman" w:hAnsi="Arial Narrow" w:cs="Arial Narrow"/>
      <w:sz w:val="24"/>
      <w:szCs w:val="24"/>
      <w:lang w:val="en-GB"/>
    </w:rPr>
  </w:style>
  <w:style w:type="paragraph" w:customStyle="1" w:styleId="listalpha">
    <w:name w:val="list:alpha"/>
    <w:basedOn w:val="Normal"/>
    <w:pPr>
      <w:numPr>
        <w:numId w:val="29"/>
      </w:numPr>
      <w:spacing w:before="120" w:after="120"/>
      <w:jc w:val="both"/>
    </w:pPr>
    <w:rPr>
      <w:rFonts w:ascii="Calibri" w:hAnsi="Calibri"/>
      <w:lang w:val="en-GB" w:eastAsia="en-US"/>
    </w:rPr>
  </w:style>
  <w:style w:type="paragraph" w:styleId="ListBullet">
    <w:name w:val="List Bullet"/>
    <w:basedOn w:val="Normal"/>
    <w:uiPriority w:val="99"/>
    <w:unhideWhenUsed/>
    <w:pPr>
      <w:spacing w:before="120" w:after="240"/>
      <w:contextualSpacing/>
      <w:jc w:val="both"/>
    </w:pPr>
    <w:rPr>
      <w:rFonts w:ascii="Calibri" w:hAnsi="Calibri"/>
      <w:lang w:val="en-GB" w:eastAsia="en-US"/>
    </w:rPr>
  </w:style>
  <w:style w:type="paragraph" w:styleId="TOCHeading">
    <w:name w:val="TOC Heading"/>
    <w:basedOn w:val="Heading1"/>
    <w:next w:val="Normal"/>
    <w:uiPriority w:val="39"/>
    <w:unhideWhenUsed/>
    <w:pPr>
      <w:keepNext w:val="0"/>
      <w:pageBreakBefore w:val="0"/>
      <w:numPr>
        <w:numId w:val="0"/>
      </w:numPr>
      <w:adjustRightInd/>
      <w:snapToGrid/>
      <w:spacing w:before="0" w:after="0"/>
      <w:jc w:val="center"/>
      <w:textAlignment w:val="auto"/>
      <w:outlineLvl w:val="9"/>
    </w:pPr>
    <w:rPr>
      <w:rFonts w:ascii="Times New Roman" w:eastAsiaTheme="majorEastAsia" w:hAnsi="Times New Roman" w:cs="Times New Roman"/>
      <w:bCs/>
      <w:sz w:val="24"/>
      <w:szCs w:val="24"/>
      <w:lang w:eastAsia="en-US"/>
    </w:rPr>
  </w:style>
  <w:style w:type="paragraph" w:customStyle="1" w:styleId="TableText">
    <w:name w:val="Table Text"/>
    <w:link w:val="TableTextChar1"/>
    <w:qFormat/>
    <w:pPr>
      <w:tabs>
        <w:tab w:val="left" w:pos="288"/>
        <w:tab w:val="left" w:pos="576"/>
        <w:tab w:val="left" w:pos="864"/>
      </w:tabs>
      <w:spacing w:before="60" w:after="60"/>
    </w:pPr>
    <w:rPr>
      <w:rFonts w:eastAsia="Times New Roman"/>
      <w:sz w:val="24"/>
    </w:rPr>
  </w:style>
  <w:style w:type="character" w:customStyle="1" w:styleId="TableTextChar1">
    <w:name w:val="Table Text Char1"/>
    <w:link w:val="TableText"/>
    <w:rPr>
      <w:rFonts w:eastAsia="Times New Roman"/>
      <w:sz w:val="24"/>
    </w:rPr>
  </w:style>
  <w:style w:type="paragraph" w:customStyle="1" w:styleId="listindentbull">
    <w:name w:val="list:indent bull"/>
    <w:link w:val="listindentbullChar"/>
    <w:pPr>
      <w:numPr>
        <w:numId w:val="31"/>
      </w:numPr>
      <w:spacing w:after="120"/>
    </w:pPr>
    <w:rPr>
      <w:rFonts w:eastAsia="Times New Roman"/>
      <w:sz w:val="24"/>
      <w:szCs w:val="24"/>
      <w:lang w:val="en-GB"/>
    </w:rPr>
  </w:style>
  <w:style w:type="character" w:customStyle="1" w:styleId="listindentbullChar">
    <w:name w:val="list:indent bull Char"/>
    <w:link w:val="listindentbull"/>
    <w:locked/>
    <w:rPr>
      <w:rFonts w:eastAsia="Times New Roman"/>
      <w:sz w:val="24"/>
      <w:szCs w:val="24"/>
      <w:lang w:val="en-GB"/>
    </w:rPr>
  </w:style>
  <w:style w:type="paragraph" w:customStyle="1" w:styleId="TableText0">
    <w:name w:val="TableText"/>
    <w:pPr>
      <w:keepNext/>
    </w:pPr>
    <w:rPr>
      <w:rFonts w:eastAsia="Times New Roman"/>
    </w:rPr>
  </w:style>
  <w:style w:type="paragraph" w:customStyle="1" w:styleId="HeadingNoTOC">
    <w:name w:val="Heading (No TOC)"/>
    <w:next w:val="Normal"/>
    <w:pPr>
      <w:keepNext/>
      <w:spacing w:before="240"/>
    </w:pPr>
    <w:rPr>
      <w:rFonts w:ascii="Times New Roman Bold" w:eastAsia="Times New Roman" w:hAnsi="Times New Roman Bold"/>
      <w:b/>
      <w:sz w:val="24"/>
      <w:szCs w:val="24"/>
    </w:rPr>
  </w:style>
  <w:style w:type="paragraph" w:customStyle="1" w:styleId="captiontable">
    <w:name w:val="caption:table"/>
    <w:basedOn w:val="Normal"/>
    <w:next w:val="Normal"/>
    <w:pPr>
      <w:keepNext/>
      <w:spacing w:before="120" w:after="120" w:line="280" w:lineRule="atLeast"/>
      <w:ind w:left="1440" w:hanging="1440"/>
      <w:jc w:val="both"/>
    </w:pPr>
    <w:rPr>
      <w:rFonts w:ascii="Times New Roman Bold" w:hAnsi="Times New Roman Bold" w:cs="Arial"/>
      <w:b/>
      <w:bCs/>
      <w:szCs w:val="22"/>
      <w:lang w:val="en-GB" w:eastAsia="en-US"/>
    </w:rPr>
  </w:style>
  <w:style w:type="paragraph" w:customStyle="1" w:styleId="TableHeaderText">
    <w:name w:val="Table Header Text"/>
    <w:basedOn w:val="Normal"/>
    <w:pPr>
      <w:spacing w:before="60" w:after="60"/>
      <w:jc w:val="center"/>
    </w:pPr>
    <w:rPr>
      <w:rFonts w:ascii="Calibri" w:hAnsi="Calibri"/>
      <w:b/>
      <w:color w:val="000000"/>
      <w:szCs w:val="20"/>
      <w:lang w:val="en-US" w:eastAsia="en-US"/>
    </w:rPr>
  </w:style>
  <w:style w:type="paragraph" w:customStyle="1" w:styleId="CPTInstructional">
    <w:name w:val="CPT_Instructional"/>
    <w:basedOn w:val="Normal"/>
    <w:uiPriority w:val="1"/>
    <w:pPr>
      <w:spacing w:before="120" w:after="120" w:line="280" w:lineRule="atLeast"/>
      <w:jc w:val="both"/>
    </w:pPr>
    <w:rPr>
      <w:rFonts w:ascii="Calibri" w:eastAsia="Calibri" w:hAnsi="Calibri" w:cs="Arial"/>
      <w:vanish/>
      <w:color w:val="FF0000"/>
      <w:sz w:val="22"/>
      <w:szCs w:val="20"/>
      <w:lang w:val="en-US" w:eastAsia="en-US"/>
    </w:rPr>
  </w:style>
  <w:style w:type="paragraph" w:styleId="Title">
    <w:name w:val="Title"/>
    <w:basedOn w:val="Normal"/>
    <w:next w:val="Normal"/>
    <w:link w:val="TitleChar"/>
    <w:qFormat/>
    <w:pPr>
      <w:spacing w:before="120" w:after="120" w:line="360" w:lineRule="auto"/>
      <w:contextualSpacing/>
      <w:jc w:val="center"/>
    </w:pPr>
    <w:rPr>
      <w:rFonts w:ascii="Times New Roman Bold" w:eastAsiaTheme="majorEastAsia" w:hAnsi="Times New Roman Bold" w:cstheme="majorBidi"/>
      <w:b/>
      <w:spacing w:val="-10"/>
      <w:kern w:val="28"/>
      <w:sz w:val="32"/>
      <w:szCs w:val="56"/>
      <w:lang w:val="en-US" w:eastAsia="en-US"/>
    </w:rPr>
  </w:style>
  <w:style w:type="character" w:customStyle="1" w:styleId="TitleChar">
    <w:name w:val="Title Char"/>
    <w:basedOn w:val="DefaultParagraphFont"/>
    <w:link w:val="Title"/>
    <w:rPr>
      <w:rFonts w:ascii="Times New Roman Bold" w:eastAsiaTheme="majorEastAsia" w:hAnsi="Times New Roman Bold" w:cstheme="majorBidi"/>
      <w:b/>
      <w:spacing w:val="-10"/>
      <w:kern w:val="28"/>
      <w:sz w:val="32"/>
      <w:szCs w:val="56"/>
    </w:rPr>
  </w:style>
  <w:style w:type="paragraph" w:customStyle="1" w:styleId="Heading2non-numbered">
    <w:name w:val="Heading 2 (non-numbered)"/>
    <w:basedOn w:val="Heading2"/>
    <w:next w:val="Normal"/>
    <w:qFormat/>
    <w:pPr>
      <w:numPr>
        <w:ilvl w:val="0"/>
        <w:numId w:val="0"/>
      </w:numPr>
    </w:pPr>
  </w:style>
  <w:style w:type="paragraph" w:customStyle="1" w:styleId="StyleTableTextCentered">
    <w:name w:val="Style Table Text + Centered"/>
    <w:basedOn w:val="TableText"/>
    <w:pPr>
      <w:jc w:val="center"/>
    </w:pPr>
  </w:style>
  <w:style w:type="paragraph" w:customStyle="1" w:styleId="Heading3non-numbered">
    <w:name w:val="Heading 3 (non-numbered)"/>
    <w:basedOn w:val="Heading3"/>
    <w:next w:val="Normal"/>
    <w:qFormat/>
    <w:pPr>
      <w:numPr>
        <w:ilvl w:val="3"/>
        <w:numId w:val="0"/>
      </w:numPr>
      <w:tabs>
        <w:tab w:val="left" w:pos="1152"/>
        <w:tab w:val="num" w:pos="5954"/>
      </w:tabs>
      <w:adjustRightInd/>
      <w:snapToGrid/>
      <w:spacing w:before="120" w:after="240"/>
      <w:ind w:left="1080" w:hanging="1080"/>
      <w:textAlignment w:val="auto"/>
    </w:pPr>
  </w:style>
  <w:style w:type="paragraph" w:customStyle="1" w:styleId="Heading4non-numbered">
    <w:name w:val="Heading 4 (non-numbered)"/>
    <w:basedOn w:val="Heading4"/>
    <w:qFormat/>
    <w:pPr>
      <w:numPr>
        <w:ilvl w:val="0"/>
        <w:numId w:val="0"/>
      </w:numPr>
    </w:pPr>
  </w:style>
  <w:style w:type="paragraph" w:customStyle="1" w:styleId="CPTExample">
    <w:name w:val="CPT_Example"/>
    <w:basedOn w:val="Normal"/>
    <w:uiPriority w:val="1"/>
    <w:pPr>
      <w:spacing w:before="120" w:after="120" w:line="280" w:lineRule="atLeast"/>
      <w:jc w:val="both"/>
    </w:pPr>
    <w:rPr>
      <w:rFonts w:ascii="Arial" w:hAnsi="Arial"/>
      <w:i/>
      <w:color w:val="00B050"/>
      <w:sz w:val="20"/>
      <w:szCs w:val="20"/>
      <w:lang w:val="en-US" w:eastAsia="en-US"/>
    </w:rPr>
  </w:style>
  <w:style w:type="character" w:customStyle="1" w:styleId="eop">
    <w:name w:val="eop"/>
    <w:basedOn w:val="DefaultParagraphFont"/>
  </w:style>
  <w:style w:type="numbering" w:styleId="111111">
    <w:name w:val="Outline List 2"/>
    <w:basedOn w:val="NoList"/>
    <w:semiHidden/>
    <w:unhideWhenUsed/>
    <w:pPr>
      <w:numPr>
        <w:numId w:val="15"/>
      </w:numPr>
    </w:pPr>
  </w:style>
  <w:style w:type="numbering" w:styleId="1ai">
    <w:name w:val="Outline List 1"/>
    <w:basedOn w:val="NoList"/>
    <w:semiHidden/>
    <w:unhideWhenUsed/>
    <w:pPr>
      <w:numPr>
        <w:numId w:val="16"/>
      </w:numPr>
    </w:pPr>
  </w:style>
  <w:style w:type="numbering" w:styleId="ArticleSection">
    <w:name w:val="Outline List 3"/>
    <w:basedOn w:val="NoList"/>
    <w:semiHidden/>
    <w:unhideWhenUsed/>
    <w:pPr>
      <w:numPr>
        <w:numId w:val="17"/>
      </w:numPr>
    </w:pPr>
  </w:style>
  <w:style w:type="paragraph" w:styleId="Bibliography">
    <w:name w:val="Bibliography"/>
    <w:basedOn w:val="Normal"/>
    <w:next w:val="Normal"/>
    <w:uiPriority w:val="37"/>
    <w:semiHidden/>
    <w:unhideWhenUsed/>
    <w:pPr>
      <w:spacing w:before="120" w:after="120" w:line="280" w:lineRule="atLeast"/>
    </w:pPr>
    <w:rPr>
      <w:rFonts w:eastAsia="Calibri" w:cs="Cordia New"/>
      <w:szCs w:val="22"/>
      <w:lang w:val="en-US" w:eastAsia="en-US"/>
    </w:rPr>
  </w:style>
  <w:style w:type="paragraph" w:styleId="BodyText2">
    <w:name w:val="Body Text 2"/>
    <w:basedOn w:val="Normal"/>
    <w:link w:val="BodyText2Char"/>
    <w:semiHidden/>
    <w:unhideWhenUsed/>
    <w:pPr>
      <w:spacing w:before="120" w:after="120" w:line="480" w:lineRule="auto"/>
    </w:pPr>
    <w:rPr>
      <w:rFonts w:eastAsia="Calibri" w:cs="Cordia New"/>
      <w:szCs w:val="22"/>
      <w:lang w:val="en-US" w:eastAsia="en-US"/>
    </w:rPr>
  </w:style>
  <w:style w:type="character" w:customStyle="1" w:styleId="BodyText2Char">
    <w:name w:val="Body Text 2 Char"/>
    <w:basedOn w:val="DefaultParagraphFont"/>
    <w:link w:val="BodyText2"/>
    <w:semiHidden/>
    <w:rPr>
      <w:rFonts w:eastAsia="Calibri" w:cs="Cordia New"/>
      <w:sz w:val="24"/>
      <w:szCs w:val="22"/>
    </w:rPr>
  </w:style>
  <w:style w:type="paragraph" w:styleId="BodyText3">
    <w:name w:val="Body Text 3"/>
    <w:basedOn w:val="Normal"/>
    <w:link w:val="BodyText3Char"/>
    <w:semiHidden/>
    <w:unhideWhenUsed/>
    <w:pPr>
      <w:spacing w:before="120" w:after="120" w:line="280" w:lineRule="atLeast"/>
    </w:pPr>
    <w:rPr>
      <w:rFonts w:eastAsia="Calibri" w:cs="Cordia New"/>
      <w:sz w:val="16"/>
      <w:szCs w:val="16"/>
      <w:lang w:val="en-US" w:eastAsia="en-US"/>
    </w:rPr>
  </w:style>
  <w:style w:type="character" w:customStyle="1" w:styleId="BodyText3Char">
    <w:name w:val="Body Text 3 Char"/>
    <w:basedOn w:val="DefaultParagraphFont"/>
    <w:link w:val="BodyText3"/>
    <w:semiHidden/>
    <w:rPr>
      <w:rFonts w:eastAsia="Calibri" w:cs="Cordia New"/>
      <w:sz w:val="16"/>
      <w:szCs w:val="16"/>
    </w:rPr>
  </w:style>
  <w:style w:type="paragraph" w:styleId="BodyTextIndent">
    <w:name w:val="Body Text Indent"/>
    <w:basedOn w:val="Normal"/>
    <w:link w:val="BodyTextIndentChar"/>
    <w:semiHidden/>
    <w:unhideWhenUsed/>
    <w:pPr>
      <w:spacing w:before="120" w:after="120" w:line="280" w:lineRule="atLeast"/>
      <w:ind w:left="360"/>
    </w:pPr>
    <w:rPr>
      <w:rFonts w:eastAsia="Calibri" w:cs="Cordia New"/>
      <w:szCs w:val="22"/>
      <w:lang w:val="en-US" w:eastAsia="en-US"/>
    </w:rPr>
  </w:style>
  <w:style w:type="character" w:customStyle="1" w:styleId="BodyTextIndentChar">
    <w:name w:val="Body Text Indent Char"/>
    <w:basedOn w:val="DefaultParagraphFont"/>
    <w:link w:val="BodyTextIndent"/>
    <w:semiHidden/>
    <w:rPr>
      <w:rFonts w:eastAsia="Calibri" w:cs="Cordia New"/>
      <w:sz w:val="24"/>
      <w:szCs w:val="22"/>
    </w:rPr>
  </w:style>
  <w:style w:type="paragraph" w:styleId="BodyTextFirstIndent2">
    <w:name w:val="Body Text First Indent 2"/>
    <w:basedOn w:val="BodyTextIndent"/>
    <w:link w:val="BodyTextFirstIndent2Char"/>
    <w:semiHidden/>
    <w:unhideWhenUsed/>
    <w:pPr>
      <w:ind w:firstLine="360"/>
    </w:pPr>
  </w:style>
  <w:style w:type="character" w:customStyle="1" w:styleId="BodyTextFirstIndent2Char">
    <w:name w:val="Body Text First Indent 2 Char"/>
    <w:basedOn w:val="BodyTextIndentChar"/>
    <w:link w:val="BodyTextFirstIndent2"/>
    <w:semiHidden/>
    <w:rPr>
      <w:rFonts w:eastAsia="Calibri" w:cs="Cordia New"/>
      <w:sz w:val="24"/>
      <w:szCs w:val="22"/>
    </w:rPr>
  </w:style>
  <w:style w:type="paragraph" w:styleId="BodyTextIndent2">
    <w:name w:val="Body Text Indent 2"/>
    <w:basedOn w:val="Normal"/>
    <w:link w:val="BodyTextIndent2Char"/>
    <w:semiHidden/>
    <w:unhideWhenUsed/>
    <w:pPr>
      <w:spacing w:before="120" w:after="120" w:line="480" w:lineRule="auto"/>
      <w:ind w:left="360"/>
    </w:pPr>
    <w:rPr>
      <w:rFonts w:eastAsia="Calibri" w:cs="Cordia New"/>
      <w:szCs w:val="22"/>
      <w:lang w:val="en-US" w:eastAsia="en-US"/>
    </w:rPr>
  </w:style>
  <w:style w:type="character" w:customStyle="1" w:styleId="BodyTextIndent2Char">
    <w:name w:val="Body Text Indent 2 Char"/>
    <w:basedOn w:val="DefaultParagraphFont"/>
    <w:link w:val="BodyTextIndent2"/>
    <w:semiHidden/>
    <w:rPr>
      <w:rFonts w:eastAsia="Calibri" w:cs="Cordia New"/>
      <w:sz w:val="24"/>
      <w:szCs w:val="22"/>
    </w:rPr>
  </w:style>
  <w:style w:type="paragraph" w:styleId="BodyTextIndent3">
    <w:name w:val="Body Text Indent 3"/>
    <w:basedOn w:val="Normal"/>
    <w:link w:val="BodyTextIndent3Char"/>
    <w:semiHidden/>
    <w:unhideWhenUsed/>
    <w:pPr>
      <w:spacing w:before="120" w:after="120" w:line="280" w:lineRule="atLeast"/>
      <w:ind w:left="360"/>
    </w:pPr>
    <w:rPr>
      <w:rFonts w:eastAsia="Calibri" w:cs="Cordia New"/>
      <w:sz w:val="16"/>
      <w:szCs w:val="16"/>
      <w:lang w:val="en-US" w:eastAsia="en-US"/>
    </w:rPr>
  </w:style>
  <w:style w:type="character" w:customStyle="1" w:styleId="BodyTextIndent3Char">
    <w:name w:val="Body Text Indent 3 Char"/>
    <w:basedOn w:val="DefaultParagraphFont"/>
    <w:link w:val="BodyTextIndent3"/>
    <w:semiHidden/>
    <w:rPr>
      <w:rFonts w:eastAsia="Calibri" w:cs="Cordia New"/>
      <w:sz w:val="16"/>
      <w:szCs w:val="16"/>
    </w:rPr>
  </w:style>
  <w:style w:type="paragraph" w:styleId="Closing">
    <w:name w:val="Closing"/>
    <w:basedOn w:val="Normal"/>
    <w:link w:val="ClosingChar"/>
    <w:semiHidden/>
    <w:unhideWhenUsed/>
    <w:pPr>
      <w:ind w:left="4320"/>
    </w:pPr>
    <w:rPr>
      <w:rFonts w:eastAsia="Calibri" w:cs="Cordia New"/>
      <w:szCs w:val="22"/>
      <w:lang w:val="en-US" w:eastAsia="en-US"/>
    </w:rPr>
  </w:style>
  <w:style w:type="character" w:customStyle="1" w:styleId="ClosingChar">
    <w:name w:val="Closing Char"/>
    <w:basedOn w:val="DefaultParagraphFont"/>
    <w:link w:val="Closing"/>
    <w:semiHidden/>
    <w:rPr>
      <w:rFonts w:eastAsia="Calibri" w:cs="Cordia New"/>
      <w:sz w:val="24"/>
      <w:szCs w:val="22"/>
    </w:rPr>
  </w:style>
  <w:style w:type="table" w:styleId="ColorfulGrid">
    <w:name w:val="Colorful Grid"/>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semiHidden/>
    <w:unhideWhenUsed/>
    <w:rPr>
      <w:rFonts w:eastAsia="Calibri" w:cs="Cordia New"/>
      <w:szCs w:val="22"/>
      <w:lang w:val="en-US" w:eastAsia="en-US"/>
    </w:rPr>
  </w:style>
  <w:style w:type="character" w:customStyle="1" w:styleId="E-mailSignatureChar">
    <w:name w:val="E-mail Signature Char"/>
    <w:basedOn w:val="DefaultParagraphFont"/>
    <w:link w:val="E-mailSignature"/>
    <w:semiHidden/>
    <w:rPr>
      <w:rFonts w:eastAsia="Calibri" w:cs="Cordia New"/>
      <w:sz w:val="24"/>
      <w:szCs w:val="22"/>
    </w:rPr>
  </w:style>
  <w:style w:type="character" w:styleId="EndnoteReference">
    <w:name w:val="endnote reference"/>
    <w:basedOn w:val="DefaultParagraphFont"/>
    <w:semiHidden/>
    <w:unhideWhenUsed/>
    <w:rPr>
      <w:vertAlign w:val="superscript"/>
    </w:rPr>
  </w:style>
  <w:style w:type="paragraph" w:styleId="EnvelopeAddress">
    <w:name w:val="envelope address"/>
    <w:basedOn w:val="Normal"/>
    <w:semiHidden/>
    <w:unhideWhenUsed/>
    <w:pPr>
      <w:framePr w:w="7920" w:h="1980" w:hRule="exact" w:hSpace="180" w:wrap="auto" w:hAnchor="page" w:xAlign="center" w:yAlign="bottom"/>
      <w:spacing w:after="180"/>
      <w:ind w:left="2880"/>
      <w:jc w:val="both"/>
    </w:pPr>
    <w:rPr>
      <w:rFonts w:asciiTheme="majorHAnsi" w:eastAsiaTheme="majorEastAsia" w:hAnsiTheme="majorHAnsi" w:cstheme="majorBidi"/>
      <w:lang w:val="en-US" w:eastAsia="en-US"/>
    </w:rPr>
  </w:style>
  <w:style w:type="paragraph" w:styleId="EnvelopeReturn">
    <w:name w:val="envelope return"/>
    <w:basedOn w:val="Normal"/>
    <w:semiHidden/>
    <w:unhideWhenUsed/>
    <w:rPr>
      <w:rFonts w:asciiTheme="majorHAnsi" w:eastAsiaTheme="majorEastAsia" w:hAnsiTheme="majorHAnsi" w:cstheme="majorBidi"/>
      <w:sz w:val="20"/>
      <w:szCs w:val="20"/>
      <w:lang w:val="en-US" w:eastAsia="en-US"/>
    </w:rPr>
  </w:style>
  <w:style w:type="character" w:styleId="FootnoteReference">
    <w:name w:val="footnote reference"/>
    <w:basedOn w:val="DefaultParagraphFont"/>
    <w:semiHidden/>
    <w:unhideWhenUsed/>
    <w:rPr>
      <w:vertAlign w:val="superscript"/>
    </w:rPr>
  </w:style>
  <w:style w:type="character" w:styleId="HTMLAcronym">
    <w:name w:val="HTML Acronym"/>
    <w:basedOn w:val="DefaultParagraphFont"/>
    <w:semiHidden/>
    <w:unhideWhenUsed/>
  </w:style>
  <w:style w:type="paragraph" w:styleId="HTMLAddress">
    <w:name w:val="HTML Address"/>
    <w:basedOn w:val="Normal"/>
    <w:link w:val="HTMLAddressChar"/>
    <w:semiHidden/>
    <w:unhideWhenUsed/>
    <w:rPr>
      <w:rFonts w:eastAsia="Calibri" w:cs="Cordia New"/>
      <w:i/>
      <w:iCs/>
      <w:szCs w:val="22"/>
      <w:lang w:val="en-US" w:eastAsia="en-US"/>
    </w:rPr>
  </w:style>
  <w:style w:type="character" w:customStyle="1" w:styleId="HTMLAddressChar">
    <w:name w:val="HTML Address Char"/>
    <w:basedOn w:val="DefaultParagraphFont"/>
    <w:link w:val="HTMLAddress"/>
    <w:semiHidden/>
    <w:rPr>
      <w:rFonts w:eastAsia="Calibri" w:cs="Cordia New"/>
      <w:i/>
      <w:iCs/>
      <w:sz w:val="24"/>
      <w:szCs w:val="22"/>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nsolas" w:hAnsi="Consolas" w:cs="Consolas"/>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nsolas" w:hAnsi="Consolas" w:cs="Consolas"/>
      <w:sz w:val="20"/>
      <w:szCs w:val="20"/>
    </w:rPr>
  </w:style>
  <w:style w:type="paragraph" w:styleId="HTMLPreformatted">
    <w:name w:val="HTML Preformatted"/>
    <w:basedOn w:val="Normal"/>
    <w:link w:val="HTMLPreformattedChar"/>
    <w:semiHidden/>
    <w:unhideWhenUsed/>
    <w:rPr>
      <w:rFonts w:ascii="Consolas" w:eastAsia="Calibri" w:hAnsi="Consolas" w:cs="Consolas"/>
      <w:sz w:val="20"/>
      <w:szCs w:val="20"/>
      <w:lang w:val="en-US" w:eastAsia="en-US"/>
    </w:rPr>
  </w:style>
  <w:style w:type="character" w:customStyle="1" w:styleId="HTMLPreformattedChar">
    <w:name w:val="HTML Preformatted Char"/>
    <w:basedOn w:val="DefaultParagraphFont"/>
    <w:link w:val="HTMLPreformatted"/>
    <w:semiHidden/>
    <w:rPr>
      <w:rFonts w:ascii="Consolas" w:eastAsia="Calibri" w:hAnsi="Consolas" w:cs="Consolas"/>
    </w:rPr>
  </w:style>
  <w:style w:type="character" w:styleId="HTMLSample">
    <w:name w:val="HTML Sample"/>
    <w:basedOn w:val="DefaultParagraphFont"/>
    <w:semiHidden/>
    <w:unhideWhenUsed/>
    <w:rPr>
      <w:rFonts w:ascii="Consolas" w:hAnsi="Consolas" w:cs="Consolas"/>
      <w:sz w:val="24"/>
      <w:szCs w:val="24"/>
    </w:rPr>
  </w:style>
  <w:style w:type="character" w:styleId="HTMLVariable">
    <w:name w:val="HTML Variable"/>
    <w:basedOn w:val="DefaultParagraphFont"/>
    <w:semiHidden/>
    <w:unhideWhenUsed/>
    <w:rPr>
      <w:i/>
      <w:iCs/>
    </w:rPr>
  </w:style>
  <w:style w:type="paragraph" w:styleId="Index1">
    <w:name w:val="index 1"/>
    <w:basedOn w:val="Normal"/>
    <w:next w:val="Normal"/>
    <w:autoRedefine/>
    <w:semiHidden/>
    <w:unhideWhenUsed/>
    <w:pPr>
      <w:spacing w:after="180"/>
      <w:ind w:left="240" w:hanging="240"/>
      <w:jc w:val="both"/>
    </w:pPr>
    <w:rPr>
      <w:rFonts w:ascii="Calibri" w:eastAsia="Calibri" w:hAnsi="Calibri" w:cs="Cordia New"/>
      <w:szCs w:val="22"/>
      <w:lang w:val="en-US" w:eastAsia="en-US"/>
    </w:rPr>
  </w:style>
  <w:style w:type="paragraph" w:styleId="Index2">
    <w:name w:val="index 2"/>
    <w:basedOn w:val="Normal"/>
    <w:next w:val="Normal"/>
    <w:autoRedefine/>
    <w:semiHidden/>
    <w:unhideWhenUsed/>
    <w:pPr>
      <w:ind w:left="480" w:hanging="240"/>
    </w:pPr>
    <w:rPr>
      <w:rFonts w:eastAsia="Calibri" w:cs="Cordia New"/>
      <w:szCs w:val="22"/>
      <w:lang w:val="en-US" w:eastAsia="en-US"/>
    </w:rPr>
  </w:style>
  <w:style w:type="paragraph" w:styleId="Index3">
    <w:name w:val="index 3"/>
    <w:basedOn w:val="Normal"/>
    <w:next w:val="Normal"/>
    <w:autoRedefine/>
    <w:semiHidden/>
    <w:unhideWhenUsed/>
    <w:pPr>
      <w:ind w:left="720" w:hanging="240"/>
    </w:pPr>
    <w:rPr>
      <w:rFonts w:eastAsia="Calibri" w:cs="Cordia New"/>
      <w:szCs w:val="22"/>
      <w:lang w:val="en-US" w:eastAsia="en-US"/>
    </w:rPr>
  </w:style>
  <w:style w:type="paragraph" w:styleId="Index4">
    <w:name w:val="index 4"/>
    <w:basedOn w:val="Normal"/>
    <w:next w:val="Normal"/>
    <w:autoRedefine/>
    <w:semiHidden/>
    <w:unhideWhenUsed/>
    <w:pPr>
      <w:ind w:left="960" w:hanging="240"/>
    </w:pPr>
    <w:rPr>
      <w:rFonts w:eastAsia="Calibri" w:cs="Cordia New"/>
      <w:szCs w:val="22"/>
      <w:lang w:val="en-US" w:eastAsia="en-US"/>
    </w:rPr>
  </w:style>
  <w:style w:type="paragraph" w:styleId="Index5">
    <w:name w:val="index 5"/>
    <w:basedOn w:val="Normal"/>
    <w:next w:val="Normal"/>
    <w:autoRedefine/>
    <w:semiHidden/>
    <w:unhideWhenUsed/>
    <w:pPr>
      <w:ind w:left="1200" w:hanging="240"/>
    </w:pPr>
    <w:rPr>
      <w:rFonts w:eastAsia="Calibri" w:cs="Cordia New"/>
      <w:szCs w:val="22"/>
      <w:lang w:val="en-US" w:eastAsia="en-US"/>
    </w:rPr>
  </w:style>
  <w:style w:type="paragraph" w:styleId="Index6">
    <w:name w:val="index 6"/>
    <w:basedOn w:val="Normal"/>
    <w:next w:val="Normal"/>
    <w:autoRedefine/>
    <w:semiHidden/>
    <w:unhideWhenUsed/>
    <w:pPr>
      <w:ind w:left="1440" w:hanging="240"/>
    </w:pPr>
    <w:rPr>
      <w:rFonts w:eastAsia="Calibri" w:cs="Cordia New"/>
      <w:szCs w:val="22"/>
      <w:lang w:val="en-US" w:eastAsia="en-US"/>
    </w:rPr>
  </w:style>
  <w:style w:type="paragraph" w:styleId="Index7">
    <w:name w:val="index 7"/>
    <w:basedOn w:val="Normal"/>
    <w:next w:val="Normal"/>
    <w:autoRedefine/>
    <w:semiHidden/>
    <w:unhideWhenUsed/>
    <w:pPr>
      <w:ind w:left="1680" w:hanging="240"/>
    </w:pPr>
    <w:rPr>
      <w:rFonts w:eastAsia="Calibri" w:cs="Cordia New"/>
      <w:szCs w:val="22"/>
      <w:lang w:val="en-US" w:eastAsia="en-US"/>
    </w:rPr>
  </w:style>
  <w:style w:type="paragraph" w:styleId="Index8">
    <w:name w:val="index 8"/>
    <w:basedOn w:val="Normal"/>
    <w:next w:val="Normal"/>
    <w:autoRedefine/>
    <w:semiHidden/>
    <w:unhideWhenUsed/>
    <w:pPr>
      <w:ind w:left="1920" w:hanging="240"/>
    </w:pPr>
    <w:rPr>
      <w:rFonts w:eastAsia="Calibri" w:cs="Cordia New"/>
      <w:szCs w:val="22"/>
      <w:lang w:val="en-US" w:eastAsia="en-US"/>
    </w:rPr>
  </w:style>
  <w:style w:type="paragraph" w:styleId="Index9">
    <w:name w:val="index 9"/>
    <w:basedOn w:val="Normal"/>
    <w:next w:val="Normal"/>
    <w:autoRedefine/>
    <w:semiHidden/>
    <w:unhideWhenUsed/>
    <w:pPr>
      <w:ind w:left="2160" w:hanging="240"/>
    </w:pPr>
    <w:rPr>
      <w:rFonts w:eastAsia="Calibri" w:cs="Cordia New"/>
      <w:szCs w:val="22"/>
      <w:lang w:val="en-US" w:eastAsia="en-US"/>
    </w:rPr>
  </w:style>
  <w:style w:type="paragraph" w:styleId="IndexHeading">
    <w:name w:val="index heading"/>
    <w:basedOn w:val="Normal"/>
    <w:next w:val="Index1"/>
    <w:semiHidden/>
    <w:unhideWhenUsed/>
    <w:pPr>
      <w:spacing w:before="120" w:after="120" w:line="280" w:lineRule="atLeast"/>
    </w:pPr>
    <w:rPr>
      <w:rFonts w:asciiTheme="majorHAnsi" w:eastAsiaTheme="majorEastAsia" w:hAnsiTheme="majorHAnsi" w:cstheme="majorBidi"/>
      <w:b/>
      <w:bCs/>
      <w:szCs w:val="22"/>
      <w:lang w:val="en-US" w:eastAsia="en-US"/>
    </w:rPr>
  </w:style>
  <w:style w:type="table" w:styleId="LightGrid">
    <w:name w:val="Light Grid"/>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unhideWhenUsed/>
  </w:style>
  <w:style w:type="paragraph" w:styleId="List">
    <w:name w:val="List"/>
    <w:basedOn w:val="Normal"/>
    <w:semiHidden/>
    <w:unhideWhenUsed/>
    <w:pPr>
      <w:spacing w:before="120" w:after="120" w:line="280" w:lineRule="atLeast"/>
      <w:ind w:left="360" w:hanging="360"/>
      <w:contextualSpacing/>
      <w:jc w:val="both"/>
    </w:pPr>
    <w:rPr>
      <w:rFonts w:ascii="Calibri" w:eastAsia="Calibri" w:hAnsi="Calibri" w:cs="Cordia New"/>
      <w:szCs w:val="22"/>
      <w:lang w:val="en-US" w:eastAsia="en-US"/>
    </w:rPr>
  </w:style>
  <w:style w:type="paragraph" w:styleId="List2">
    <w:name w:val="List 2"/>
    <w:basedOn w:val="Normal"/>
    <w:semiHidden/>
    <w:unhideWhenUsed/>
    <w:pPr>
      <w:spacing w:before="120" w:after="120" w:line="280" w:lineRule="atLeast"/>
      <w:ind w:left="720" w:hanging="360"/>
      <w:contextualSpacing/>
    </w:pPr>
    <w:rPr>
      <w:rFonts w:eastAsia="Calibri" w:cs="Cordia New"/>
      <w:szCs w:val="22"/>
      <w:lang w:val="en-US" w:eastAsia="en-US"/>
    </w:rPr>
  </w:style>
  <w:style w:type="paragraph" w:styleId="List3">
    <w:name w:val="List 3"/>
    <w:basedOn w:val="Normal"/>
    <w:semiHidden/>
    <w:unhideWhenUsed/>
    <w:pPr>
      <w:spacing w:before="120" w:after="120" w:line="280" w:lineRule="atLeast"/>
      <w:ind w:left="1080" w:hanging="360"/>
      <w:contextualSpacing/>
    </w:pPr>
    <w:rPr>
      <w:rFonts w:eastAsia="Calibri" w:cs="Cordia New"/>
      <w:szCs w:val="22"/>
      <w:lang w:val="en-US" w:eastAsia="en-US"/>
    </w:rPr>
  </w:style>
  <w:style w:type="paragraph" w:styleId="ListBullet2">
    <w:name w:val="List Bullet 2"/>
    <w:basedOn w:val="Normal"/>
    <w:semiHidden/>
    <w:unhideWhenUsed/>
    <w:pPr>
      <w:numPr>
        <w:numId w:val="20"/>
      </w:numPr>
      <w:spacing w:before="120" w:after="120" w:line="280" w:lineRule="atLeast"/>
      <w:contextualSpacing/>
    </w:pPr>
    <w:rPr>
      <w:rFonts w:eastAsia="Calibri" w:cs="Cordia New"/>
      <w:szCs w:val="22"/>
      <w:lang w:val="en-US" w:eastAsia="en-US"/>
    </w:rPr>
  </w:style>
  <w:style w:type="paragraph" w:styleId="ListBullet3">
    <w:name w:val="List Bullet 3"/>
    <w:basedOn w:val="Normal"/>
    <w:semiHidden/>
    <w:unhideWhenUsed/>
    <w:pPr>
      <w:numPr>
        <w:numId w:val="21"/>
      </w:numPr>
      <w:spacing w:before="120" w:after="120" w:line="280" w:lineRule="atLeast"/>
      <w:contextualSpacing/>
    </w:pPr>
    <w:rPr>
      <w:rFonts w:eastAsia="Calibri" w:cs="Cordia New"/>
      <w:szCs w:val="22"/>
      <w:lang w:val="en-US" w:eastAsia="en-US"/>
    </w:rPr>
  </w:style>
  <w:style w:type="paragraph" w:styleId="ListBullet4">
    <w:name w:val="List Bullet 4"/>
    <w:basedOn w:val="Normal"/>
    <w:semiHidden/>
    <w:unhideWhenUsed/>
    <w:pPr>
      <w:numPr>
        <w:numId w:val="22"/>
      </w:numPr>
      <w:spacing w:before="120" w:after="120" w:line="280" w:lineRule="atLeast"/>
      <w:contextualSpacing/>
    </w:pPr>
    <w:rPr>
      <w:rFonts w:eastAsia="Calibri" w:cs="Cordia New"/>
      <w:szCs w:val="22"/>
      <w:lang w:val="en-US" w:eastAsia="en-US"/>
    </w:rPr>
  </w:style>
  <w:style w:type="paragraph" w:styleId="ListBullet5">
    <w:name w:val="List Bullet 5"/>
    <w:basedOn w:val="Normal"/>
    <w:semiHidden/>
    <w:unhideWhenUsed/>
    <w:pPr>
      <w:numPr>
        <w:numId w:val="23"/>
      </w:numPr>
      <w:spacing w:before="120" w:after="120" w:line="280" w:lineRule="atLeast"/>
      <w:contextualSpacing/>
    </w:pPr>
    <w:rPr>
      <w:rFonts w:eastAsia="Calibri" w:cs="Cordia New"/>
      <w:szCs w:val="22"/>
      <w:lang w:val="en-US" w:eastAsia="en-US"/>
    </w:rPr>
  </w:style>
  <w:style w:type="paragraph" w:styleId="ListContinue">
    <w:name w:val="List Continue"/>
    <w:basedOn w:val="Normal"/>
    <w:semiHidden/>
    <w:unhideWhenUsed/>
    <w:pPr>
      <w:spacing w:before="120" w:after="120" w:line="280" w:lineRule="atLeast"/>
      <w:ind w:left="360"/>
      <w:contextualSpacing/>
    </w:pPr>
    <w:rPr>
      <w:rFonts w:eastAsia="Calibri" w:cs="Cordia New"/>
      <w:szCs w:val="22"/>
      <w:lang w:val="en-US" w:eastAsia="en-US"/>
    </w:rPr>
  </w:style>
  <w:style w:type="paragraph" w:styleId="ListContinue2">
    <w:name w:val="List Continue 2"/>
    <w:basedOn w:val="Normal"/>
    <w:semiHidden/>
    <w:unhideWhenUsed/>
    <w:pPr>
      <w:spacing w:before="120" w:after="120" w:line="280" w:lineRule="atLeast"/>
      <w:ind w:left="720"/>
      <w:contextualSpacing/>
    </w:pPr>
    <w:rPr>
      <w:rFonts w:eastAsia="Calibri" w:cs="Cordia New"/>
      <w:szCs w:val="22"/>
      <w:lang w:val="en-US" w:eastAsia="en-US"/>
    </w:rPr>
  </w:style>
  <w:style w:type="paragraph" w:styleId="ListContinue3">
    <w:name w:val="List Continue 3"/>
    <w:basedOn w:val="Normal"/>
    <w:semiHidden/>
    <w:unhideWhenUsed/>
    <w:pPr>
      <w:spacing w:before="120" w:after="120" w:line="280" w:lineRule="atLeast"/>
      <w:ind w:left="1080"/>
      <w:contextualSpacing/>
    </w:pPr>
    <w:rPr>
      <w:rFonts w:eastAsia="Calibri" w:cs="Cordia New"/>
      <w:szCs w:val="22"/>
      <w:lang w:val="en-US" w:eastAsia="en-US"/>
    </w:rPr>
  </w:style>
  <w:style w:type="paragraph" w:styleId="ListContinue4">
    <w:name w:val="List Continue 4"/>
    <w:basedOn w:val="Normal"/>
    <w:semiHidden/>
    <w:unhideWhenUsed/>
    <w:pPr>
      <w:spacing w:before="120" w:after="120" w:line="280" w:lineRule="atLeast"/>
      <w:ind w:left="1440"/>
      <w:contextualSpacing/>
    </w:pPr>
    <w:rPr>
      <w:rFonts w:eastAsia="Calibri" w:cs="Cordia New"/>
      <w:szCs w:val="22"/>
      <w:lang w:val="en-US" w:eastAsia="en-US"/>
    </w:rPr>
  </w:style>
  <w:style w:type="paragraph" w:styleId="ListContinue5">
    <w:name w:val="List Continue 5"/>
    <w:basedOn w:val="Normal"/>
    <w:semiHidden/>
    <w:unhideWhenUsed/>
    <w:pPr>
      <w:spacing w:before="120" w:after="120" w:line="280" w:lineRule="atLeast"/>
      <w:ind w:left="1800"/>
      <w:contextualSpacing/>
    </w:pPr>
    <w:rPr>
      <w:rFonts w:eastAsia="Calibri" w:cs="Cordia New"/>
      <w:szCs w:val="22"/>
      <w:lang w:val="en-US" w:eastAsia="en-US"/>
    </w:rPr>
  </w:style>
  <w:style w:type="paragraph" w:styleId="ListNumber2">
    <w:name w:val="List Number 2"/>
    <w:basedOn w:val="Normal"/>
    <w:semiHidden/>
    <w:unhideWhenUsed/>
    <w:pPr>
      <w:numPr>
        <w:numId w:val="25"/>
      </w:numPr>
      <w:spacing w:before="120" w:after="120" w:line="280" w:lineRule="atLeast"/>
      <w:contextualSpacing/>
    </w:pPr>
    <w:rPr>
      <w:rFonts w:eastAsia="Calibri" w:cs="Cordia New"/>
      <w:szCs w:val="22"/>
      <w:lang w:val="en-US" w:eastAsia="en-US"/>
    </w:rPr>
  </w:style>
  <w:style w:type="paragraph" w:styleId="ListNumber3">
    <w:name w:val="List Number 3"/>
    <w:basedOn w:val="Normal"/>
    <w:semiHidden/>
    <w:unhideWhenUsed/>
    <w:pPr>
      <w:numPr>
        <w:numId w:val="26"/>
      </w:numPr>
      <w:spacing w:before="120" w:after="120" w:line="280" w:lineRule="atLeast"/>
      <w:contextualSpacing/>
    </w:pPr>
    <w:rPr>
      <w:rFonts w:eastAsia="Calibri" w:cs="Cordia New"/>
      <w:szCs w:val="22"/>
      <w:lang w:val="en-US" w:eastAsia="en-US"/>
    </w:rPr>
  </w:style>
  <w:style w:type="paragraph" w:styleId="ListNumber4">
    <w:name w:val="List Number 4"/>
    <w:basedOn w:val="Normal"/>
    <w:semiHidden/>
    <w:unhideWhenUsed/>
    <w:pPr>
      <w:numPr>
        <w:numId w:val="27"/>
      </w:numPr>
      <w:spacing w:before="120" w:after="120" w:line="280" w:lineRule="atLeast"/>
      <w:contextualSpacing/>
    </w:pPr>
    <w:rPr>
      <w:rFonts w:eastAsia="Calibri" w:cs="Cordia New"/>
      <w:szCs w:val="22"/>
      <w:lang w:val="en-US" w:eastAsia="en-US"/>
    </w:rPr>
  </w:style>
  <w:style w:type="paragraph" w:styleId="ListNumber5">
    <w:name w:val="List Number 5"/>
    <w:basedOn w:val="Normal"/>
    <w:semiHidden/>
    <w:unhideWhenUsed/>
    <w:pPr>
      <w:numPr>
        <w:numId w:val="28"/>
      </w:numPr>
      <w:spacing w:before="120" w:after="120" w:line="280" w:lineRule="atLeast"/>
      <w:contextualSpacing/>
    </w:pPr>
    <w:rPr>
      <w:rFonts w:eastAsia="Calibri" w:cs="Cordia New"/>
      <w:szCs w:val="22"/>
      <w:lang w:val="en-US" w:eastAsia="en-US"/>
    </w:r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before="120" w:line="280" w:lineRule="atLeast"/>
    </w:pPr>
    <w:rPr>
      <w:rFonts w:ascii="Consolas" w:eastAsia="Calibri" w:hAnsi="Consolas" w:cs="Consolas"/>
    </w:rPr>
  </w:style>
  <w:style w:type="character" w:customStyle="1" w:styleId="MacroTextChar">
    <w:name w:val="Macro Text Char"/>
    <w:basedOn w:val="DefaultParagraphFont"/>
    <w:link w:val="MacroText"/>
    <w:semiHidden/>
    <w:rPr>
      <w:rFonts w:ascii="Consolas" w:eastAsia="Calibri" w:hAnsi="Consolas" w:cs="Consolas"/>
    </w:rPr>
  </w:style>
  <w:style w:type="table" w:styleId="MediumGrid1">
    <w:name w:val="Medium Grid 1"/>
    <w:basedOn w:val="TableNormal"/>
    <w:uiPriority w:val="6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lang w:val="en-US" w:eastAsia="en-US"/>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semiHidden/>
    <w:unhideWhenUsed/>
    <w:rPr>
      <w:rFonts w:eastAsia="Calibri" w:cs="Cordia New"/>
      <w:szCs w:val="22"/>
      <w:lang w:val="en-US" w:eastAsia="en-US"/>
    </w:rPr>
  </w:style>
  <w:style w:type="character" w:customStyle="1" w:styleId="NoteHeadingChar">
    <w:name w:val="Note Heading Char"/>
    <w:basedOn w:val="DefaultParagraphFont"/>
    <w:link w:val="NoteHeading"/>
    <w:semiHidden/>
    <w:rPr>
      <w:rFonts w:eastAsia="Calibri" w:cs="Cordia New"/>
      <w:sz w:val="24"/>
      <w:szCs w:val="22"/>
    </w:rPr>
  </w:style>
  <w:style w:type="paragraph" w:styleId="PlainText">
    <w:name w:val="Plain Text"/>
    <w:basedOn w:val="Normal"/>
    <w:link w:val="PlainTextChar"/>
    <w:semiHidden/>
    <w:unhideWhenUsed/>
    <w:rPr>
      <w:rFonts w:ascii="Consolas" w:eastAsia="Calibri" w:hAnsi="Consolas" w:cs="Consolas"/>
      <w:sz w:val="21"/>
      <w:szCs w:val="21"/>
      <w:lang w:val="en-US" w:eastAsia="en-US"/>
    </w:rPr>
  </w:style>
  <w:style w:type="character" w:customStyle="1" w:styleId="PlainTextChar">
    <w:name w:val="Plain Text Char"/>
    <w:basedOn w:val="DefaultParagraphFont"/>
    <w:link w:val="PlainText"/>
    <w:semiHidden/>
    <w:rPr>
      <w:rFonts w:ascii="Consolas" w:eastAsia="Calibri" w:hAnsi="Consolas" w:cs="Consolas"/>
      <w:sz w:val="21"/>
      <w:szCs w:val="21"/>
    </w:rPr>
  </w:style>
  <w:style w:type="paragraph" w:styleId="Signature">
    <w:name w:val="Signature"/>
    <w:basedOn w:val="Normal"/>
    <w:link w:val="SignatureChar"/>
    <w:semiHidden/>
    <w:unhideWhenUsed/>
    <w:pPr>
      <w:ind w:left="4320"/>
    </w:pPr>
    <w:rPr>
      <w:rFonts w:eastAsia="Calibri" w:cs="Cordia New"/>
      <w:szCs w:val="22"/>
      <w:lang w:val="en-US" w:eastAsia="en-US"/>
    </w:rPr>
  </w:style>
  <w:style w:type="character" w:customStyle="1" w:styleId="SignatureChar">
    <w:name w:val="Signature Char"/>
    <w:basedOn w:val="DefaultParagraphFont"/>
    <w:link w:val="Signature"/>
    <w:semiHidden/>
    <w:rPr>
      <w:rFonts w:eastAsia="Calibri" w:cs="Cordia New"/>
      <w:sz w:val="24"/>
      <w:szCs w:val="22"/>
    </w:rPr>
  </w:style>
  <w:style w:type="table" w:styleId="Table3Deffects1">
    <w:name w:val="Table 3D effects 1"/>
    <w:basedOn w:val="TableNormal"/>
    <w:semiHidden/>
    <w:unhideWhenUsed/>
    <w:pPr>
      <w:spacing w:before="120" w:after="12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pPr>
      <w:spacing w:before="120" w:after="12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pPr>
      <w:spacing w:before="120" w:after="120"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pPr>
      <w:spacing w:before="120" w:after="120"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pPr>
      <w:spacing w:before="120" w:after="120"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pPr>
      <w:spacing w:before="120" w:after="12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pPr>
      <w:spacing w:before="120" w:after="12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pPr>
      <w:spacing w:before="120" w:after="12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pPr>
      <w:spacing w:before="120" w:after="120"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pPr>
      <w:spacing w:before="120" w:after="12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pPr>
      <w:spacing w:before="120" w:after="12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pPr>
      <w:spacing w:before="120" w:after="120"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pPr>
      <w:spacing w:before="120" w:after="12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pPr>
      <w:spacing w:before="120" w:after="120"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pPr>
      <w:spacing w:before="120" w:after="12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pPr>
      <w:spacing w:before="120" w:after="120"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pPr>
      <w:spacing w:before="120" w:after="12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pPr>
      <w:spacing w:before="120" w:after="12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pPr>
      <w:spacing w:before="120" w:after="120"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pPr>
      <w:spacing w:before="120" w:after="12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pPr>
      <w:spacing w:before="120" w:after="12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pPr>
      <w:spacing w:before="120" w:after="12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pPr>
      <w:spacing w:before="120" w:after="12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pPr>
      <w:spacing w:before="120" w:after="12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pPr>
      <w:spacing w:before="120" w:after="12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pPr>
      <w:spacing w:before="120" w:after="120"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pPr>
      <w:spacing w:before="120" w:after="120"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pPr>
      <w:spacing w:before="120" w:after="120"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pPr>
      <w:spacing w:before="120" w:after="12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6">
    <w:name w:val="Table List 6"/>
    <w:basedOn w:val="TableNormal"/>
    <w:semiHidden/>
    <w:unhideWhenUsed/>
    <w:pPr>
      <w:spacing w:before="120" w:after="12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pPr>
      <w:spacing w:before="120" w:after="12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pPr>
      <w:spacing w:before="120" w:after="12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pPr>
      <w:spacing w:before="120" w:line="280" w:lineRule="atLeast"/>
      <w:ind w:left="240" w:hanging="240"/>
    </w:pPr>
    <w:rPr>
      <w:rFonts w:eastAsia="Calibri" w:cs="Cordia New"/>
      <w:szCs w:val="22"/>
      <w:lang w:val="en-US" w:eastAsia="en-US"/>
    </w:rPr>
  </w:style>
  <w:style w:type="table" w:styleId="TableProfessional">
    <w:name w:val="Table Professional"/>
    <w:basedOn w:val="TableNormal"/>
    <w:semiHidden/>
    <w:unhideWhenUsed/>
    <w:pPr>
      <w:spacing w:before="120" w:after="12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pPr>
      <w:spacing w:before="120" w:after="120"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pPr>
      <w:spacing w:before="120" w:after="120"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pPr>
      <w:spacing w:before="120" w:after="12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pPr>
      <w:spacing w:before="120" w:after="120"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pPr>
      <w:spacing w:before="120" w:after="120"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pPr>
      <w:spacing w:before="120" w:after="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pPr>
      <w:spacing w:before="120" w:after="12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pPr>
      <w:spacing w:before="120" w:after="12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pPr>
      <w:spacing w:before="120" w:after="12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pPr>
      <w:spacing w:before="120" w:after="120" w:line="280" w:lineRule="atLeast"/>
    </w:pPr>
    <w:rPr>
      <w:rFonts w:asciiTheme="majorHAnsi" w:eastAsiaTheme="majorEastAsia" w:hAnsiTheme="majorHAnsi" w:cstheme="majorBidi"/>
      <w:b/>
      <w:bCs/>
      <w:lang w:val="en-US" w:eastAsia="en-US"/>
    </w:rPr>
  </w:style>
  <w:style w:type="paragraph" w:customStyle="1" w:styleId="Text">
    <w:name w:val="Text"/>
    <w:basedOn w:val="Normal"/>
    <w:link w:val="TextChar"/>
    <w:pPr>
      <w:spacing w:after="240" w:line="300" w:lineRule="auto"/>
      <w:jc w:val="both"/>
    </w:pPr>
    <w:rPr>
      <w:rFonts w:ascii="Calibri" w:hAnsi="Calibri"/>
      <w:kern w:val="24"/>
      <w:lang w:val="en-US" w:eastAsia="ja-JP"/>
    </w:rPr>
  </w:style>
  <w:style w:type="character" w:customStyle="1" w:styleId="TextChar">
    <w:name w:val="Text Char"/>
    <w:link w:val="Text"/>
    <w:rPr>
      <w:rFonts w:eastAsia="Times New Roman"/>
      <w:kern w:val="24"/>
      <w:sz w:val="24"/>
      <w:szCs w:val="24"/>
      <w:lang w:eastAsia="ja-JP"/>
    </w:rPr>
  </w:style>
  <w:style w:type="paragraph" w:customStyle="1" w:styleId="TableHeadings">
    <w:name w:val="Table Headings"/>
    <w:basedOn w:val="Text"/>
    <w:pPr>
      <w:keepNext/>
      <w:spacing w:before="40" w:after="40" w:line="240" w:lineRule="auto"/>
      <w:jc w:val="center"/>
    </w:pPr>
    <w:rPr>
      <w:b/>
    </w:rPr>
  </w:style>
  <w:style w:type="character" w:customStyle="1" w:styleId="ListParagraphChar">
    <w:name w:val="List Paragraph Char"/>
    <w:basedOn w:val="DefaultParagraphFont"/>
    <w:link w:val="ListParagraph"/>
    <w:uiPriority w:val="34"/>
    <w:locked/>
    <w:rPr>
      <w:rFonts w:eastAsia="Times New Roman"/>
      <w:sz w:val="24"/>
      <w:szCs w:val="24"/>
    </w:rPr>
  </w:style>
  <w:style w:type="paragraph" w:styleId="Header">
    <w:name w:val="header"/>
    <w:basedOn w:val="Normal"/>
    <w:link w:val="HeaderChar"/>
    <w:uiPriority w:val="99"/>
    <w:unhideWhenUsed/>
    <w:pPr>
      <w:tabs>
        <w:tab w:val="center" w:pos="4680"/>
        <w:tab w:val="right" w:pos="9360"/>
      </w:tabs>
      <w:spacing w:after="180"/>
      <w:jc w:val="both"/>
    </w:pPr>
    <w:rPr>
      <w:rFonts w:ascii="Calibri" w:eastAsia="Calibri" w:hAnsi="Calibri" w:cs="Cordia New"/>
      <w:szCs w:val="22"/>
      <w:lang w:val="en-US" w:eastAsia="en-US"/>
    </w:rPr>
  </w:style>
  <w:style w:type="character" w:customStyle="1" w:styleId="HeaderChar">
    <w:name w:val="Header Char"/>
    <w:basedOn w:val="DefaultParagraphFont"/>
    <w:link w:val="Header"/>
    <w:uiPriority w:val="99"/>
    <w:rPr>
      <w:rFonts w:eastAsia="Calibri" w:cs="Cordia New"/>
      <w:sz w:val="24"/>
      <w:szCs w:val="22"/>
    </w:rPr>
  </w:style>
  <w:style w:type="paragraph" w:styleId="Footer">
    <w:name w:val="footer"/>
    <w:basedOn w:val="Normal"/>
    <w:link w:val="FooterChar"/>
    <w:unhideWhenUsed/>
    <w:pPr>
      <w:tabs>
        <w:tab w:val="center" w:pos="4680"/>
        <w:tab w:val="right" w:pos="9360"/>
      </w:tabs>
      <w:spacing w:after="180"/>
      <w:jc w:val="both"/>
    </w:pPr>
    <w:rPr>
      <w:rFonts w:ascii="Calibri" w:eastAsia="Calibri" w:hAnsi="Calibri" w:cs="Cordia New"/>
      <w:szCs w:val="22"/>
      <w:lang w:val="en-US" w:eastAsia="en-US"/>
    </w:rPr>
  </w:style>
  <w:style w:type="character" w:customStyle="1" w:styleId="FooterChar">
    <w:name w:val="Footer Char"/>
    <w:basedOn w:val="DefaultParagraphFont"/>
    <w:link w:val="Footer"/>
    <w:rPr>
      <w:rFonts w:eastAsia="Calibri" w:cs="Cordia New"/>
      <w:sz w:val="24"/>
      <w:szCs w:val="22"/>
    </w:rPr>
  </w:style>
  <w:style w:type="paragraph" w:styleId="BlockText">
    <w:name w:val="Block Text"/>
    <w:basedOn w:val="Normal"/>
    <w:semiHidden/>
    <w:unhideWhenUsed/>
    <w:qFormat/>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before="120" w:after="120" w:line="280" w:lineRule="atLeast"/>
      <w:ind w:left="1152" w:right="1152"/>
    </w:pPr>
    <w:rPr>
      <w:rFonts w:asciiTheme="minorHAnsi" w:eastAsiaTheme="minorEastAsia" w:hAnsiTheme="minorHAnsi" w:cstheme="minorBidi"/>
      <w:i/>
      <w:iCs/>
      <w:color w:val="4F81BD" w:themeColor="accent1"/>
      <w:szCs w:val="22"/>
      <w:lang w:val="en-US" w:eastAsia="en-US"/>
    </w:rPr>
  </w:style>
  <w:style w:type="paragraph" w:styleId="BodyText">
    <w:name w:val="Body Text"/>
    <w:basedOn w:val="Normal"/>
    <w:link w:val="BodyTextChar"/>
    <w:uiPriority w:val="99"/>
    <w:semiHidden/>
    <w:unhideWhenUsed/>
    <w:pPr>
      <w:spacing w:before="120" w:after="120" w:line="280" w:lineRule="atLeast"/>
      <w:jc w:val="both"/>
    </w:pPr>
    <w:rPr>
      <w:rFonts w:ascii="Calibri" w:eastAsia="Calibri" w:hAnsi="Calibri" w:cs="Cordia New"/>
      <w:szCs w:val="22"/>
      <w:lang w:val="en-US" w:eastAsia="en-US"/>
    </w:rPr>
  </w:style>
  <w:style w:type="character" w:customStyle="1" w:styleId="BodyTextChar">
    <w:name w:val="Body Text Char"/>
    <w:basedOn w:val="DefaultParagraphFont"/>
    <w:link w:val="BodyText"/>
    <w:uiPriority w:val="99"/>
    <w:semiHidden/>
    <w:rPr>
      <w:rFonts w:eastAsia="Calibri" w:cs="Cordia New"/>
      <w:sz w:val="24"/>
      <w:szCs w:val="22"/>
    </w:rPr>
  </w:style>
  <w:style w:type="paragraph" w:styleId="BodyTextFirstIndent">
    <w:name w:val="Body Text First Indent"/>
    <w:basedOn w:val="BodyText"/>
    <w:link w:val="BodyTextFirstIndentChar"/>
    <w:pPr>
      <w:ind w:firstLine="360"/>
    </w:pPr>
  </w:style>
  <w:style w:type="character" w:customStyle="1" w:styleId="BodyTextFirstIndentChar">
    <w:name w:val="Body Text First Indent Char"/>
    <w:basedOn w:val="BodyTextChar"/>
    <w:link w:val="BodyTextFirstIndent"/>
    <w:rPr>
      <w:rFonts w:eastAsia="Calibri" w:cs="Cordia New"/>
      <w:sz w:val="24"/>
      <w:szCs w:val="22"/>
    </w:rPr>
  </w:style>
  <w:style w:type="character" w:styleId="BookTitle">
    <w:name w:val="Book Title"/>
    <w:basedOn w:val="DefaultParagraphFont"/>
    <w:uiPriority w:val="33"/>
    <w:qFormat/>
    <w:rPr>
      <w:b/>
      <w:bCs/>
      <w:smallCaps/>
      <w:spacing w:val="5"/>
    </w:rPr>
  </w:style>
  <w:style w:type="paragraph" w:styleId="Caption">
    <w:name w:val="caption"/>
    <w:basedOn w:val="Normal"/>
    <w:next w:val="Normal"/>
    <w:uiPriority w:val="99"/>
    <w:unhideWhenUsed/>
    <w:qFormat/>
    <w:pPr>
      <w:spacing w:after="200"/>
      <w:jc w:val="both"/>
    </w:pPr>
    <w:rPr>
      <w:rFonts w:ascii="Calibri" w:eastAsia="Calibri" w:hAnsi="Calibri" w:cs="Cordia New"/>
      <w:b/>
      <w:bCs/>
      <w:color w:val="4F81BD" w:themeColor="accent1"/>
      <w:sz w:val="18"/>
      <w:szCs w:val="18"/>
      <w:lang w:val="en-US"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before="120" w:after="120"/>
      <w:jc w:val="both"/>
    </w:pPr>
    <w:rPr>
      <w:rFonts w:ascii="Calibri" w:eastAsia="Calibri" w:hAnsi="Calibri" w:cs="Cordia New"/>
      <w:sz w:val="20"/>
      <w:szCs w:val="20"/>
      <w:lang w:val="en-US" w:eastAsia="en-US"/>
    </w:rPr>
  </w:style>
  <w:style w:type="character" w:customStyle="1" w:styleId="CommentTextChar">
    <w:name w:val="Comment Text Char"/>
    <w:basedOn w:val="DefaultParagraphFont"/>
    <w:link w:val="CommentText"/>
    <w:uiPriority w:val="99"/>
    <w:rPr>
      <w:rFonts w:eastAsia="Calibri" w:cs="Cordia New"/>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cs="Cordia New"/>
      <w:b/>
      <w:bCs/>
    </w:rPr>
  </w:style>
  <w:style w:type="paragraph" w:styleId="Date">
    <w:name w:val="Date"/>
    <w:basedOn w:val="Normal"/>
    <w:next w:val="Normal"/>
    <w:link w:val="DateChar"/>
    <w:pPr>
      <w:spacing w:before="120" w:after="120" w:line="280" w:lineRule="atLeast"/>
      <w:jc w:val="both"/>
    </w:pPr>
    <w:rPr>
      <w:rFonts w:ascii="Calibri" w:eastAsia="Calibri" w:hAnsi="Calibri" w:cs="Cordia New"/>
      <w:szCs w:val="22"/>
      <w:lang w:val="en-US" w:eastAsia="en-US"/>
    </w:rPr>
  </w:style>
  <w:style w:type="character" w:customStyle="1" w:styleId="DateChar">
    <w:name w:val="Date Char"/>
    <w:basedOn w:val="DefaultParagraphFont"/>
    <w:link w:val="Date"/>
    <w:rPr>
      <w:rFonts w:eastAsia="Calibri" w:cs="Cordia New"/>
      <w:sz w:val="24"/>
      <w:szCs w:val="22"/>
    </w:rPr>
  </w:style>
  <w:style w:type="paragraph" w:styleId="DocumentMap">
    <w:name w:val="Document Map"/>
    <w:basedOn w:val="Normal"/>
    <w:link w:val="DocumentMapChar"/>
    <w:uiPriority w:val="99"/>
    <w:semiHidden/>
    <w:unhideWhenUsed/>
    <w:rPr>
      <w:rFonts w:ascii="Tahoma" w:eastAsia="Calibri" w:hAnsi="Tahoma" w:cs="Tahoma"/>
      <w:sz w:val="16"/>
      <w:szCs w:val="16"/>
      <w:lang w:val="en-US" w:eastAsia="en-US"/>
    </w:rPr>
  </w:style>
  <w:style w:type="character" w:customStyle="1" w:styleId="DocumentMapChar">
    <w:name w:val="Document Map Char"/>
    <w:basedOn w:val="DefaultParagraphFont"/>
    <w:link w:val="DocumentMap"/>
    <w:uiPriority w:val="99"/>
    <w:semiHidden/>
    <w:rPr>
      <w:rFonts w:ascii="Tahoma" w:eastAsia="Calibri" w:hAnsi="Tahoma" w:cs="Tahoma"/>
      <w:sz w:val="16"/>
      <w:szCs w:val="16"/>
    </w:rPr>
  </w:style>
  <w:style w:type="character" w:styleId="Emphasis">
    <w:name w:val="Emphasis"/>
    <w:basedOn w:val="DefaultParagraphFont"/>
    <w:uiPriority w:val="20"/>
    <w:qFormat/>
    <w:rPr>
      <w:i/>
      <w:iCs/>
    </w:rPr>
  </w:style>
  <w:style w:type="paragraph" w:styleId="EndnoteText">
    <w:name w:val="endnote text"/>
    <w:basedOn w:val="Normal"/>
    <w:link w:val="EndnoteTextChar"/>
    <w:semiHidden/>
    <w:unhideWhenUsed/>
    <w:rPr>
      <w:rFonts w:eastAsia="Calibri" w:cs="Cordia New"/>
      <w:sz w:val="20"/>
      <w:szCs w:val="20"/>
      <w:lang w:val="en-US" w:eastAsia="en-US"/>
    </w:rPr>
  </w:style>
  <w:style w:type="character" w:customStyle="1" w:styleId="EndnoteTextChar">
    <w:name w:val="Endnote Text Char"/>
    <w:basedOn w:val="DefaultParagraphFont"/>
    <w:link w:val="EndnoteText"/>
    <w:semiHidden/>
    <w:rPr>
      <w:rFonts w:eastAsia="Calibri" w:cs="Cordia New"/>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noteText">
    <w:name w:val="footnote text"/>
    <w:basedOn w:val="Normal"/>
    <w:link w:val="FootnoteTextChar"/>
    <w:semiHidden/>
    <w:unhideWhenUsed/>
    <w:rPr>
      <w:rFonts w:eastAsia="Calibri" w:cs="Cordia New"/>
      <w:sz w:val="20"/>
      <w:szCs w:val="20"/>
      <w:lang w:val="en-US" w:eastAsia="en-US"/>
    </w:rPr>
  </w:style>
  <w:style w:type="character" w:customStyle="1" w:styleId="FootnoteTextChar">
    <w:name w:val="Footnote Text Char"/>
    <w:basedOn w:val="DefaultParagraphFont"/>
    <w:link w:val="FootnoteText"/>
    <w:semiHidden/>
    <w:rPr>
      <w:rFonts w:eastAsia="Calibri" w:cs="Cordia New"/>
    </w:rPr>
  </w:style>
  <w:style w:type="character" w:styleId="HTMLTypewriter">
    <w:name w:val="HTML Typewriter"/>
    <w:basedOn w:val="DefaultParagraphFont"/>
    <w:uiPriority w:val="99"/>
    <w:semiHidden/>
    <w:unhideWhenUsed/>
    <w:rPr>
      <w:rFonts w:ascii="Consolas" w:hAnsi="Consolas" w:cs="Consolas"/>
      <w:sz w:val="20"/>
      <w:szCs w:val="20"/>
    </w:rPr>
  </w:style>
  <w:style w:type="character" w:styleId="Hyperlink">
    <w:name w:val="Hyperlink"/>
    <w:basedOn w:val="DefaultParagraphFont"/>
    <w:uiPriority w:val="99"/>
    <w:unhideWhenUsed/>
    <w:rPr>
      <w:color w:val="0000FF" w:themeColor="hyperlink"/>
      <w:u w:val="single"/>
    </w:rPr>
  </w:style>
  <w:style w:type="character" w:styleId="IntenseEmphasis">
    <w:name w:val="Intense Emphasis"/>
    <w:basedOn w:val="DefaultParagraphFont"/>
    <w:uiPriority w:val="21"/>
    <w:rPr>
      <w:b/>
      <w:bCs/>
      <w:i/>
      <w:iCs/>
      <w:color w:val="4F81BD" w:themeColor="accent1"/>
    </w:rPr>
  </w:style>
  <w:style w:type="paragraph" w:styleId="IntenseQuote">
    <w:name w:val="Intense Quote"/>
    <w:basedOn w:val="Normal"/>
    <w:next w:val="Normal"/>
    <w:link w:val="IntenseQuoteChar"/>
    <w:uiPriority w:val="30"/>
    <w:pPr>
      <w:pBdr>
        <w:bottom w:val="single" w:sz="4" w:space="4" w:color="4F81BD" w:themeColor="accent1"/>
      </w:pBdr>
      <w:spacing w:before="200" w:after="280" w:line="280" w:lineRule="atLeast"/>
      <w:ind w:left="936" w:right="936"/>
      <w:jc w:val="both"/>
    </w:pPr>
    <w:rPr>
      <w:rFonts w:ascii="Calibri" w:eastAsia="Calibri" w:hAnsi="Calibri" w:cs="Cordia New"/>
      <w:b/>
      <w:bCs/>
      <w:i/>
      <w:iCs/>
      <w:color w:val="4F81BD" w:themeColor="accent1"/>
      <w:szCs w:val="22"/>
      <w:lang w:val="en-US" w:eastAsia="en-US"/>
    </w:rPr>
  </w:style>
  <w:style w:type="character" w:customStyle="1" w:styleId="IntenseQuoteChar">
    <w:name w:val="Intense Quote Char"/>
    <w:basedOn w:val="DefaultParagraphFont"/>
    <w:link w:val="IntenseQuote"/>
    <w:uiPriority w:val="30"/>
    <w:rPr>
      <w:rFonts w:eastAsia="Calibri" w:cs="Cordia New"/>
      <w:b/>
      <w:bCs/>
      <w:i/>
      <w:iCs/>
      <w:color w:val="4F81BD" w:themeColor="accent1"/>
      <w:sz w:val="24"/>
      <w:szCs w:val="22"/>
    </w:rPr>
  </w:style>
  <w:style w:type="character" w:styleId="IntenseReference">
    <w:name w:val="Intense Reference"/>
    <w:basedOn w:val="DefaultParagraphFont"/>
    <w:uiPriority w:val="32"/>
    <w:rPr>
      <w:b/>
      <w:bCs/>
      <w:smallCaps/>
      <w:color w:val="C0504D" w:themeColor="accent2"/>
      <w:spacing w:val="5"/>
      <w:u w:val="single"/>
    </w:rPr>
  </w:style>
  <w:style w:type="paragraph" w:styleId="List4">
    <w:name w:val="List 4"/>
    <w:basedOn w:val="Normal"/>
    <w:pPr>
      <w:spacing w:before="120" w:after="120" w:line="280" w:lineRule="atLeast"/>
      <w:ind w:left="1440" w:hanging="360"/>
      <w:contextualSpacing/>
      <w:jc w:val="both"/>
    </w:pPr>
    <w:rPr>
      <w:rFonts w:ascii="Calibri" w:eastAsia="Calibri" w:hAnsi="Calibri" w:cs="Cordia New"/>
      <w:szCs w:val="22"/>
      <w:lang w:val="en-US" w:eastAsia="en-US"/>
    </w:rPr>
  </w:style>
  <w:style w:type="paragraph" w:styleId="List5">
    <w:name w:val="List 5"/>
    <w:basedOn w:val="Normal"/>
    <w:pPr>
      <w:spacing w:before="120" w:after="120" w:line="280" w:lineRule="atLeast"/>
      <w:ind w:left="1800" w:hanging="360"/>
      <w:contextualSpacing/>
      <w:jc w:val="both"/>
    </w:pPr>
    <w:rPr>
      <w:rFonts w:ascii="Calibri" w:eastAsia="Calibri" w:hAnsi="Calibri" w:cs="Cordia New"/>
      <w:szCs w:val="22"/>
      <w:lang w:val="en-US" w:eastAsia="en-US"/>
    </w:rPr>
  </w:style>
  <w:style w:type="paragraph" w:styleId="ListNumber">
    <w:name w:val="List Number"/>
    <w:basedOn w:val="Normal"/>
    <w:pPr>
      <w:numPr>
        <w:numId w:val="24"/>
      </w:numPr>
      <w:spacing w:before="120" w:after="120" w:line="280" w:lineRule="atLeast"/>
      <w:contextualSpacing/>
      <w:jc w:val="both"/>
    </w:pPr>
    <w:rPr>
      <w:rFonts w:ascii="Calibri" w:eastAsia="Calibri" w:hAnsi="Calibri" w:cs="Cordia New"/>
      <w:szCs w:val="22"/>
      <w:lang w:val="en-US" w:eastAsia="en-US"/>
    </w:rPr>
  </w:style>
  <w:style w:type="paragraph" w:styleId="NoSpacing">
    <w:name w:val="No Spacing"/>
    <w:uiPriority w:val="1"/>
    <w:rPr>
      <w:rFonts w:eastAsia="Calibri" w:cs="Cordia New"/>
      <w:sz w:val="24"/>
      <w:szCs w:val="22"/>
    </w:rPr>
  </w:style>
  <w:style w:type="paragraph" w:styleId="NormalWeb">
    <w:name w:val="Normal (Web)"/>
    <w:basedOn w:val="Normal"/>
    <w:uiPriority w:val="99"/>
    <w:unhideWhenUsed/>
    <w:pPr>
      <w:spacing w:before="120" w:after="120" w:line="280" w:lineRule="atLeast"/>
      <w:jc w:val="both"/>
    </w:pPr>
    <w:rPr>
      <w:rFonts w:ascii="Calibri" w:eastAsia="Calibri" w:hAnsi="Calibri"/>
      <w:lang w:val="en-US" w:eastAsia="en-US"/>
    </w:rPr>
  </w:style>
  <w:style w:type="paragraph" w:styleId="NormalIndent">
    <w:name w:val="Normal Indent"/>
    <w:basedOn w:val="Normal"/>
    <w:uiPriority w:val="99"/>
    <w:semiHidden/>
    <w:unhideWhenUsed/>
    <w:pPr>
      <w:spacing w:before="120" w:after="120" w:line="280" w:lineRule="atLeast"/>
      <w:ind w:left="720"/>
      <w:jc w:val="both"/>
    </w:pPr>
    <w:rPr>
      <w:rFonts w:ascii="Calibri" w:eastAsia="Calibri" w:hAnsi="Calibri" w:cs="Cordia New"/>
      <w:szCs w:val="22"/>
      <w:lang w:val="en-US" w:eastAsia="en-US"/>
    </w:rPr>
  </w:style>
  <w:style w:type="character" w:styleId="PageNumber">
    <w:name w:val="page number"/>
    <w:basedOn w:val="DefaultParagraphFont"/>
    <w:semiHidden/>
    <w:unhideWhenUsed/>
  </w:style>
  <w:style w:type="paragraph" w:styleId="Quote">
    <w:name w:val="Quote"/>
    <w:basedOn w:val="Normal"/>
    <w:next w:val="Normal"/>
    <w:link w:val="QuoteChar"/>
    <w:uiPriority w:val="29"/>
    <w:qFormat/>
    <w:pPr>
      <w:spacing w:before="120" w:after="120" w:line="280" w:lineRule="atLeast"/>
      <w:jc w:val="both"/>
    </w:pPr>
    <w:rPr>
      <w:rFonts w:ascii="Calibri" w:eastAsia="Calibri" w:hAnsi="Calibri" w:cs="Cordia New"/>
      <w:i/>
      <w:iCs/>
      <w:color w:val="000000" w:themeColor="text1"/>
      <w:szCs w:val="22"/>
      <w:lang w:val="en-US" w:eastAsia="en-US"/>
    </w:rPr>
  </w:style>
  <w:style w:type="character" w:customStyle="1" w:styleId="QuoteChar">
    <w:name w:val="Quote Char"/>
    <w:basedOn w:val="DefaultParagraphFont"/>
    <w:link w:val="Quote"/>
    <w:uiPriority w:val="29"/>
    <w:rPr>
      <w:rFonts w:eastAsia="Calibri" w:cs="Cordia New"/>
      <w:i/>
      <w:iCs/>
      <w:color w:val="000000" w:themeColor="text1"/>
      <w:sz w:val="24"/>
      <w:szCs w:val="22"/>
    </w:rPr>
  </w:style>
  <w:style w:type="paragraph" w:styleId="Salutation">
    <w:name w:val="Salutation"/>
    <w:basedOn w:val="Normal"/>
    <w:next w:val="Normal"/>
    <w:link w:val="SalutationChar"/>
    <w:pPr>
      <w:spacing w:before="120" w:after="120" w:line="280" w:lineRule="atLeast"/>
      <w:jc w:val="both"/>
    </w:pPr>
    <w:rPr>
      <w:rFonts w:ascii="Calibri" w:eastAsia="Calibri" w:hAnsi="Calibri" w:cs="Cordia New"/>
      <w:szCs w:val="22"/>
      <w:lang w:val="en-US" w:eastAsia="en-US"/>
    </w:rPr>
  </w:style>
  <w:style w:type="character" w:customStyle="1" w:styleId="SalutationChar">
    <w:name w:val="Salutation Char"/>
    <w:basedOn w:val="DefaultParagraphFont"/>
    <w:link w:val="Salutation"/>
    <w:rPr>
      <w:rFonts w:eastAsia="Calibri" w:cs="Cordia New"/>
      <w:sz w:val="24"/>
      <w:szCs w:val="22"/>
    </w:rPr>
  </w:style>
  <w:style w:type="character" w:styleId="Strong">
    <w:name w:val="Strong"/>
    <w:basedOn w:val="DefaultParagraphFont"/>
    <w:uiPriority w:val="22"/>
    <w:qFormat/>
    <w:rPr>
      <w:b/>
      <w:bCs/>
    </w:rPr>
  </w:style>
  <w:style w:type="paragraph" w:styleId="Subtitle">
    <w:name w:val="Subtitle"/>
    <w:basedOn w:val="Normal"/>
    <w:next w:val="Normal"/>
    <w:link w:val="SubtitleChar"/>
    <w:pPr>
      <w:numPr>
        <w:ilvl w:val="1"/>
      </w:numPr>
      <w:spacing w:before="120" w:after="120" w:line="280" w:lineRule="atLeast"/>
      <w:jc w:val="both"/>
    </w:pPr>
    <w:rPr>
      <w:rFonts w:asciiTheme="majorHAnsi" w:eastAsiaTheme="majorEastAsia" w:hAnsiTheme="majorHAnsi" w:cstheme="majorBidi"/>
      <w:i/>
      <w:iCs/>
      <w:color w:val="4F81BD" w:themeColor="accent1"/>
      <w:spacing w:val="15"/>
      <w:lang w:val="en-US" w:eastAsia="en-US"/>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SubtleReference">
    <w:name w:val="Subtle Reference"/>
    <w:basedOn w:val="DefaultParagraphFont"/>
    <w:uiPriority w:val="31"/>
    <w:rPr>
      <w:smallCaps/>
      <w:color w:val="C0504D" w:themeColor="accent2"/>
      <w:u w:val="single"/>
    </w:rPr>
  </w:style>
  <w:style w:type="paragraph" w:styleId="TableofFigures">
    <w:name w:val="table of figures"/>
    <w:basedOn w:val="Normal"/>
    <w:next w:val="Normal"/>
    <w:uiPriority w:val="99"/>
    <w:semiHidden/>
    <w:unhideWhenUsed/>
    <w:pPr>
      <w:spacing w:before="120" w:line="280" w:lineRule="atLeast"/>
    </w:pPr>
    <w:rPr>
      <w:rFonts w:eastAsia="Calibri" w:cs="Cordia New"/>
      <w:szCs w:val="22"/>
      <w:lang w:val="en-US" w:eastAsia="en-US"/>
    </w:rPr>
  </w:style>
  <w:style w:type="paragraph" w:styleId="TOC5">
    <w:name w:val="toc 5"/>
    <w:basedOn w:val="Normal"/>
    <w:next w:val="Normal"/>
    <w:autoRedefine/>
    <w:uiPriority w:val="39"/>
    <w:unhideWhenUsed/>
    <w:pPr>
      <w:spacing w:before="120" w:after="100" w:line="280" w:lineRule="atLeast"/>
      <w:ind w:left="960"/>
      <w:jc w:val="both"/>
    </w:pPr>
    <w:rPr>
      <w:rFonts w:ascii="Calibri" w:eastAsia="Calibri" w:hAnsi="Calibri" w:cs="Cordia New"/>
      <w:szCs w:val="22"/>
      <w:lang w:val="en-US" w:eastAsia="en-US"/>
    </w:rPr>
  </w:style>
  <w:style w:type="paragraph" w:styleId="TOC6">
    <w:name w:val="toc 6"/>
    <w:basedOn w:val="Normal"/>
    <w:next w:val="Normal"/>
    <w:autoRedefine/>
    <w:uiPriority w:val="39"/>
    <w:unhideWhenUsed/>
    <w:pPr>
      <w:spacing w:before="120" w:after="100" w:line="280" w:lineRule="atLeast"/>
      <w:ind w:left="1200"/>
      <w:jc w:val="both"/>
    </w:pPr>
    <w:rPr>
      <w:rFonts w:ascii="Calibri" w:eastAsia="Calibri" w:hAnsi="Calibri" w:cs="Cordia New"/>
      <w:szCs w:val="22"/>
      <w:lang w:val="en-US" w:eastAsia="en-US"/>
    </w:rPr>
  </w:style>
  <w:style w:type="paragraph" w:styleId="TOC7">
    <w:name w:val="toc 7"/>
    <w:basedOn w:val="Normal"/>
    <w:next w:val="Normal"/>
    <w:autoRedefine/>
    <w:uiPriority w:val="39"/>
    <w:unhideWhenUsed/>
    <w:pPr>
      <w:spacing w:before="120" w:after="100" w:line="280" w:lineRule="atLeast"/>
      <w:ind w:left="1440"/>
      <w:jc w:val="both"/>
    </w:pPr>
    <w:rPr>
      <w:rFonts w:ascii="Calibri" w:eastAsia="Calibri" w:hAnsi="Calibri" w:cs="Cordia New"/>
      <w:szCs w:val="22"/>
      <w:lang w:val="en-US" w:eastAsia="en-US"/>
    </w:rPr>
  </w:style>
  <w:style w:type="paragraph" w:styleId="TOC8">
    <w:name w:val="toc 8"/>
    <w:basedOn w:val="Normal"/>
    <w:next w:val="Normal"/>
    <w:autoRedefine/>
    <w:uiPriority w:val="39"/>
    <w:unhideWhenUsed/>
    <w:pPr>
      <w:spacing w:before="120" w:after="100" w:line="280" w:lineRule="atLeast"/>
      <w:ind w:left="1680"/>
      <w:jc w:val="both"/>
    </w:pPr>
    <w:rPr>
      <w:rFonts w:ascii="Calibri" w:eastAsia="Calibri" w:hAnsi="Calibri" w:cs="Cordia New"/>
      <w:szCs w:val="22"/>
      <w:lang w:val="en-US" w:eastAsia="en-US"/>
    </w:rPr>
  </w:style>
  <w:style w:type="paragraph" w:styleId="TOC9">
    <w:name w:val="toc 9"/>
    <w:basedOn w:val="Normal"/>
    <w:next w:val="Normal"/>
    <w:autoRedefine/>
    <w:uiPriority w:val="39"/>
    <w:unhideWhenUsed/>
    <w:pPr>
      <w:spacing w:before="120" w:after="100" w:line="280" w:lineRule="atLeast"/>
      <w:ind w:left="1920"/>
      <w:jc w:val="both"/>
    </w:pPr>
    <w:rPr>
      <w:rFonts w:ascii="Calibri" w:eastAsia="Calibri" w:hAnsi="Calibri" w:cs="Cordia New"/>
      <w:szCs w:val="22"/>
      <w:lang w:val="en-US"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e24kjd">
    <w:name w:val="e24kjd"/>
  </w:style>
  <w:style w:type="paragraph" w:customStyle="1" w:styleId="Title10">
    <w:name w:val="Title1"/>
    <w:basedOn w:val="Normal"/>
    <w:pPr>
      <w:spacing w:before="100" w:beforeAutospacing="1" w:after="100" w:afterAutospacing="1"/>
      <w:jc w:val="both"/>
    </w:pPr>
    <w:rPr>
      <w:rFonts w:ascii="Calibri" w:hAnsi="Calibri"/>
      <w:lang w:val="en-US" w:eastAsia="en-US"/>
    </w:rPr>
  </w:style>
  <w:style w:type="paragraph" w:customStyle="1" w:styleId="desc">
    <w:name w:val="desc"/>
    <w:basedOn w:val="Normal"/>
    <w:pPr>
      <w:spacing w:before="100" w:beforeAutospacing="1" w:after="100" w:afterAutospacing="1"/>
      <w:jc w:val="both"/>
    </w:pPr>
    <w:rPr>
      <w:rFonts w:ascii="Calibri" w:hAnsi="Calibri"/>
      <w:lang w:val="en-US" w:eastAsia="en-US"/>
    </w:rPr>
  </w:style>
  <w:style w:type="character" w:customStyle="1" w:styleId="jrnl">
    <w:name w:val="jrnl"/>
  </w:style>
  <w:style w:type="paragraph" w:customStyle="1" w:styleId="p">
    <w:name w:val="p"/>
    <w:basedOn w:val="Normal"/>
    <w:pPr>
      <w:spacing w:before="100" w:beforeAutospacing="1" w:after="100" w:afterAutospacing="1"/>
      <w:jc w:val="both"/>
    </w:pPr>
    <w:rPr>
      <w:rFonts w:ascii="Calibri" w:hAnsi="Calibri"/>
      <w:lang w:val="en-US"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highlight">
    <w:name w:val="highlight"/>
  </w:style>
  <w:style w:type="paragraph" w:customStyle="1" w:styleId="xcaptiontable">
    <w:name w:val="x_captiontable"/>
    <w:basedOn w:val="Normal"/>
    <w:rsid w:val="007B01D9"/>
    <w:pPr>
      <w:spacing w:before="100" w:beforeAutospacing="1" w:after="100" w:afterAutospacing="1"/>
      <w:jc w:val="both"/>
    </w:pPr>
    <w:rPr>
      <w:rFonts w:ascii="Calibri" w:hAnsi="Calibri"/>
      <w:lang w:val="en-US" w:eastAsia="en-US"/>
    </w:rPr>
  </w:style>
  <w:style w:type="paragraph" w:customStyle="1" w:styleId="xmsonormal">
    <w:name w:val="x_msonormal"/>
    <w:basedOn w:val="Normal"/>
    <w:rsid w:val="007B01D9"/>
    <w:pPr>
      <w:spacing w:before="100" w:beforeAutospacing="1" w:after="100" w:afterAutospacing="1"/>
      <w:jc w:val="both"/>
    </w:pPr>
    <w:rPr>
      <w:rFonts w:ascii="Calibri" w:hAnsi="Calibri"/>
      <w:lang w:val="en-US" w:eastAsia="en-US"/>
    </w:rPr>
  </w:style>
  <w:style w:type="paragraph" w:customStyle="1" w:styleId="Title1">
    <w:name w:val="Title 1"/>
    <w:basedOn w:val="desc"/>
    <w:rsid w:val="00827A42"/>
    <w:pPr>
      <w:numPr>
        <w:numId w:val="10"/>
      </w:numPr>
      <w:ind w:left="450"/>
    </w:pPr>
    <w:rPr>
      <w:lang w:val="fr-FR"/>
    </w:rPr>
  </w:style>
  <w:style w:type="table" w:customStyle="1" w:styleId="TableGrid10">
    <w:name w:val="Table Grid1"/>
    <w:basedOn w:val="TableNormal"/>
    <w:next w:val="TableGrid"/>
    <w:uiPriority w:val="39"/>
    <w:rsid w:val="00391897"/>
    <w:rPr>
      <w:rFonts w:ascii="Calibri" w:eastAsia="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g">
    <w:name w:val="org"/>
    <w:basedOn w:val="DefaultParagraphFont"/>
    <w:rsid w:val="00F554D1"/>
  </w:style>
  <w:style w:type="character" w:customStyle="1" w:styleId="UnresolvedMention3">
    <w:name w:val="Unresolved Mention3"/>
    <w:basedOn w:val="DefaultParagraphFont"/>
    <w:uiPriority w:val="99"/>
    <w:semiHidden/>
    <w:unhideWhenUsed/>
    <w:rsid w:val="00F554D1"/>
    <w:rPr>
      <w:color w:val="605E5C"/>
      <w:shd w:val="clear" w:color="auto" w:fill="E1DFDD"/>
    </w:rPr>
  </w:style>
  <w:style w:type="paragraph" w:customStyle="1" w:styleId="xtabletext">
    <w:name w:val="x_tabletext"/>
    <w:basedOn w:val="Normal"/>
    <w:rsid w:val="00F554D1"/>
    <w:pPr>
      <w:spacing w:before="100" w:beforeAutospacing="1" w:after="100" w:afterAutospacing="1"/>
      <w:jc w:val="both"/>
    </w:pPr>
    <w:rPr>
      <w:rFonts w:ascii="Calibri" w:hAnsi="Calibri"/>
      <w:lang w:val="en-US" w:eastAsia="en-US"/>
    </w:rPr>
  </w:style>
  <w:style w:type="character" w:customStyle="1" w:styleId="apple-converted-space">
    <w:name w:val="apple-converted-space"/>
    <w:basedOn w:val="DefaultParagraphFont"/>
    <w:rsid w:val="00377738"/>
  </w:style>
  <w:style w:type="paragraph" w:customStyle="1" w:styleId="EndNoteBibliographyTitle">
    <w:name w:val="EndNote Bibliography Title"/>
    <w:basedOn w:val="Normal"/>
    <w:link w:val="EndNoteBibliographyTitleChar"/>
    <w:rsid w:val="0034557D"/>
    <w:pPr>
      <w:jc w:val="center"/>
    </w:pPr>
    <w:rPr>
      <w:rFonts w:ascii="Calibri" w:hAnsi="Calibri" w:cs="Calibri"/>
      <w:lang w:val="en-GB"/>
    </w:rPr>
  </w:style>
  <w:style w:type="character" w:customStyle="1" w:styleId="EndNoteBibliographyTitleChar">
    <w:name w:val="EndNote Bibliography Title Char"/>
    <w:basedOn w:val="DefaultParagraphFont"/>
    <w:link w:val="EndNoteBibliographyTitle"/>
    <w:rsid w:val="0034557D"/>
    <w:rPr>
      <w:rFonts w:ascii="Calibri" w:eastAsia="Times New Roman" w:hAnsi="Calibri" w:cs="Calibri"/>
      <w:sz w:val="24"/>
      <w:szCs w:val="24"/>
      <w:lang w:val="en-GB" w:eastAsia="en-GB"/>
    </w:rPr>
  </w:style>
  <w:style w:type="paragraph" w:customStyle="1" w:styleId="EndNoteBibliography">
    <w:name w:val="EndNote Bibliography"/>
    <w:basedOn w:val="Normal"/>
    <w:link w:val="EndNoteBibliographyChar"/>
    <w:rsid w:val="0034557D"/>
    <w:pPr>
      <w:spacing w:after="180"/>
      <w:jc w:val="both"/>
    </w:pPr>
    <w:rPr>
      <w:rFonts w:ascii="Calibri" w:hAnsi="Calibri" w:cs="Calibri"/>
      <w:lang w:val="en-GB"/>
    </w:rPr>
  </w:style>
  <w:style w:type="character" w:customStyle="1" w:styleId="EndNoteBibliographyChar">
    <w:name w:val="EndNote Bibliography Char"/>
    <w:basedOn w:val="DefaultParagraphFont"/>
    <w:link w:val="EndNoteBibliography"/>
    <w:rsid w:val="0034557D"/>
    <w:rPr>
      <w:rFonts w:ascii="Calibri" w:eastAsia="Times New Roman" w:hAnsi="Calibri" w:cs="Calibri"/>
      <w:sz w:val="24"/>
      <w:szCs w:val="24"/>
      <w:lang w:val="en-GB" w:eastAsia="en-GB"/>
    </w:rPr>
  </w:style>
  <w:style w:type="paragraph" w:customStyle="1" w:styleId="Default">
    <w:name w:val="Default"/>
    <w:rsid w:val="00A93B72"/>
    <w:pPr>
      <w:autoSpaceDE w:val="0"/>
      <w:autoSpaceDN w:val="0"/>
      <w:adjustRightInd w:val="0"/>
    </w:pPr>
    <w:rPr>
      <w:rFonts w:ascii="Verdana" w:eastAsia="Calibri" w:hAnsi="Verdana" w:cs="Verdana"/>
      <w:color w:val="000000"/>
      <w:sz w:val="24"/>
      <w:szCs w:val="24"/>
    </w:rPr>
  </w:style>
  <w:style w:type="character" w:customStyle="1" w:styleId="normaltextrun">
    <w:name w:val="normaltextrun"/>
    <w:basedOn w:val="DefaultParagraphFont"/>
    <w:rsid w:val="00A93B72"/>
  </w:style>
  <w:style w:type="character" w:customStyle="1" w:styleId="UnresolvedMention4">
    <w:name w:val="Unresolved Mention4"/>
    <w:basedOn w:val="DefaultParagraphFont"/>
    <w:uiPriority w:val="99"/>
    <w:semiHidden/>
    <w:unhideWhenUsed/>
    <w:rsid w:val="004F4C8E"/>
    <w:rPr>
      <w:color w:val="605E5C"/>
      <w:shd w:val="clear" w:color="auto" w:fill="E1DFDD"/>
    </w:rPr>
  </w:style>
  <w:style w:type="character" w:styleId="UnresolvedMention">
    <w:name w:val="Unresolved Mention"/>
    <w:basedOn w:val="DefaultParagraphFont"/>
    <w:uiPriority w:val="99"/>
    <w:semiHidden/>
    <w:unhideWhenUsed/>
    <w:rsid w:val="00BF5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5124">
      <w:bodyDiv w:val="1"/>
      <w:marLeft w:val="0"/>
      <w:marRight w:val="0"/>
      <w:marTop w:val="0"/>
      <w:marBottom w:val="0"/>
      <w:divBdr>
        <w:top w:val="none" w:sz="0" w:space="0" w:color="auto"/>
        <w:left w:val="none" w:sz="0" w:space="0" w:color="auto"/>
        <w:bottom w:val="none" w:sz="0" w:space="0" w:color="auto"/>
        <w:right w:val="none" w:sz="0" w:space="0" w:color="auto"/>
      </w:divBdr>
      <w:divsChild>
        <w:div w:id="1506162705">
          <w:marLeft w:val="0"/>
          <w:marRight w:val="0"/>
          <w:marTop w:val="0"/>
          <w:marBottom w:val="0"/>
          <w:divBdr>
            <w:top w:val="none" w:sz="0" w:space="0" w:color="auto"/>
            <w:left w:val="none" w:sz="0" w:space="0" w:color="auto"/>
            <w:bottom w:val="none" w:sz="0" w:space="0" w:color="auto"/>
            <w:right w:val="none" w:sz="0" w:space="0" w:color="auto"/>
          </w:divBdr>
          <w:divsChild>
            <w:div w:id="1348363573">
              <w:marLeft w:val="0"/>
              <w:marRight w:val="0"/>
              <w:marTop w:val="0"/>
              <w:marBottom w:val="0"/>
              <w:divBdr>
                <w:top w:val="none" w:sz="0" w:space="0" w:color="auto"/>
                <w:left w:val="none" w:sz="0" w:space="0" w:color="auto"/>
                <w:bottom w:val="none" w:sz="0" w:space="0" w:color="auto"/>
                <w:right w:val="none" w:sz="0" w:space="0" w:color="auto"/>
              </w:divBdr>
              <w:divsChild>
                <w:div w:id="9789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9458">
      <w:bodyDiv w:val="1"/>
      <w:marLeft w:val="0"/>
      <w:marRight w:val="0"/>
      <w:marTop w:val="0"/>
      <w:marBottom w:val="0"/>
      <w:divBdr>
        <w:top w:val="none" w:sz="0" w:space="0" w:color="auto"/>
        <w:left w:val="none" w:sz="0" w:space="0" w:color="auto"/>
        <w:bottom w:val="none" w:sz="0" w:space="0" w:color="auto"/>
        <w:right w:val="none" w:sz="0" w:space="0" w:color="auto"/>
      </w:divBdr>
      <w:divsChild>
        <w:div w:id="494761272">
          <w:marLeft w:val="0"/>
          <w:marRight w:val="0"/>
          <w:marTop w:val="0"/>
          <w:marBottom w:val="0"/>
          <w:divBdr>
            <w:top w:val="none" w:sz="0" w:space="0" w:color="auto"/>
            <w:left w:val="none" w:sz="0" w:space="0" w:color="auto"/>
            <w:bottom w:val="none" w:sz="0" w:space="0" w:color="auto"/>
            <w:right w:val="none" w:sz="0" w:space="0" w:color="auto"/>
          </w:divBdr>
          <w:divsChild>
            <w:div w:id="1997804476">
              <w:marLeft w:val="0"/>
              <w:marRight w:val="0"/>
              <w:marTop w:val="0"/>
              <w:marBottom w:val="0"/>
              <w:divBdr>
                <w:top w:val="none" w:sz="0" w:space="0" w:color="auto"/>
                <w:left w:val="none" w:sz="0" w:space="0" w:color="auto"/>
                <w:bottom w:val="none" w:sz="0" w:space="0" w:color="auto"/>
                <w:right w:val="none" w:sz="0" w:space="0" w:color="auto"/>
              </w:divBdr>
              <w:divsChild>
                <w:div w:id="1318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7237">
      <w:bodyDiv w:val="1"/>
      <w:marLeft w:val="0"/>
      <w:marRight w:val="0"/>
      <w:marTop w:val="0"/>
      <w:marBottom w:val="0"/>
      <w:divBdr>
        <w:top w:val="none" w:sz="0" w:space="0" w:color="auto"/>
        <w:left w:val="none" w:sz="0" w:space="0" w:color="auto"/>
        <w:bottom w:val="none" w:sz="0" w:space="0" w:color="auto"/>
        <w:right w:val="none" w:sz="0" w:space="0" w:color="auto"/>
      </w:divBdr>
    </w:div>
    <w:div w:id="53891016">
      <w:bodyDiv w:val="1"/>
      <w:marLeft w:val="0"/>
      <w:marRight w:val="0"/>
      <w:marTop w:val="0"/>
      <w:marBottom w:val="0"/>
      <w:divBdr>
        <w:top w:val="none" w:sz="0" w:space="0" w:color="auto"/>
        <w:left w:val="none" w:sz="0" w:space="0" w:color="auto"/>
        <w:bottom w:val="none" w:sz="0" w:space="0" w:color="auto"/>
        <w:right w:val="none" w:sz="0" w:space="0" w:color="auto"/>
      </w:divBdr>
      <w:divsChild>
        <w:div w:id="1953517684">
          <w:marLeft w:val="0"/>
          <w:marRight w:val="0"/>
          <w:marTop w:val="0"/>
          <w:marBottom w:val="0"/>
          <w:divBdr>
            <w:top w:val="none" w:sz="0" w:space="0" w:color="auto"/>
            <w:left w:val="none" w:sz="0" w:space="0" w:color="auto"/>
            <w:bottom w:val="none" w:sz="0" w:space="0" w:color="auto"/>
            <w:right w:val="none" w:sz="0" w:space="0" w:color="auto"/>
          </w:divBdr>
          <w:divsChild>
            <w:div w:id="553851822">
              <w:marLeft w:val="0"/>
              <w:marRight w:val="0"/>
              <w:marTop w:val="0"/>
              <w:marBottom w:val="0"/>
              <w:divBdr>
                <w:top w:val="none" w:sz="0" w:space="0" w:color="auto"/>
                <w:left w:val="none" w:sz="0" w:space="0" w:color="auto"/>
                <w:bottom w:val="none" w:sz="0" w:space="0" w:color="auto"/>
                <w:right w:val="none" w:sz="0" w:space="0" w:color="auto"/>
              </w:divBdr>
              <w:divsChild>
                <w:div w:id="600257013">
                  <w:marLeft w:val="0"/>
                  <w:marRight w:val="0"/>
                  <w:marTop w:val="0"/>
                  <w:marBottom w:val="0"/>
                  <w:divBdr>
                    <w:top w:val="none" w:sz="0" w:space="0" w:color="auto"/>
                    <w:left w:val="none" w:sz="0" w:space="0" w:color="auto"/>
                    <w:bottom w:val="none" w:sz="0" w:space="0" w:color="auto"/>
                    <w:right w:val="none" w:sz="0" w:space="0" w:color="auto"/>
                  </w:divBdr>
                  <w:divsChild>
                    <w:div w:id="683900744">
                      <w:marLeft w:val="0"/>
                      <w:marRight w:val="0"/>
                      <w:marTop w:val="0"/>
                      <w:marBottom w:val="0"/>
                      <w:divBdr>
                        <w:top w:val="none" w:sz="0" w:space="0" w:color="auto"/>
                        <w:left w:val="none" w:sz="0" w:space="0" w:color="auto"/>
                        <w:bottom w:val="none" w:sz="0" w:space="0" w:color="auto"/>
                        <w:right w:val="none" w:sz="0" w:space="0" w:color="auto"/>
                      </w:divBdr>
                      <w:divsChild>
                        <w:div w:id="2041542282">
                          <w:marLeft w:val="0"/>
                          <w:marRight w:val="0"/>
                          <w:marTop w:val="0"/>
                          <w:marBottom w:val="0"/>
                          <w:divBdr>
                            <w:top w:val="none" w:sz="0" w:space="0" w:color="auto"/>
                            <w:left w:val="none" w:sz="0" w:space="0" w:color="auto"/>
                            <w:bottom w:val="none" w:sz="0" w:space="0" w:color="auto"/>
                            <w:right w:val="none" w:sz="0" w:space="0" w:color="auto"/>
                          </w:divBdr>
                          <w:divsChild>
                            <w:div w:id="1235051300">
                              <w:marLeft w:val="0"/>
                              <w:marRight w:val="0"/>
                              <w:marTop w:val="0"/>
                              <w:marBottom w:val="0"/>
                              <w:divBdr>
                                <w:top w:val="none" w:sz="0" w:space="0" w:color="auto"/>
                                <w:left w:val="none" w:sz="0" w:space="0" w:color="auto"/>
                                <w:bottom w:val="none" w:sz="0" w:space="0" w:color="auto"/>
                                <w:right w:val="none" w:sz="0" w:space="0" w:color="auto"/>
                              </w:divBdr>
                              <w:divsChild>
                                <w:div w:id="1424492860">
                                  <w:marLeft w:val="0"/>
                                  <w:marRight w:val="0"/>
                                  <w:marTop w:val="0"/>
                                  <w:marBottom w:val="0"/>
                                  <w:divBdr>
                                    <w:top w:val="none" w:sz="0" w:space="0" w:color="auto"/>
                                    <w:left w:val="none" w:sz="0" w:space="0" w:color="auto"/>
                                    <w:bottom w:val="none" w:sz="0" w:space="0" w:color="auto"/>
                                    <w:right w:val="none" w:sz="0" w:space="0" w:color="auto"/>
                                  </w:divBdr>
                                  <w:divsChild>
                                    <w:div w:id="1935235908">
                                      <w:marLeft w:val="0"/>
                                      <w:marRight w:val="0"/>
                                      <w:marTop w:val="0"/>
                                      <w:marBottom w:val="0"/>
                                      <w:divBdr>
                                        <w:top w:val="none" w:sz="0" w:space="0" w:color="auto"/>
                                        <w:left w:val="none" w:sz="0" w:space="0" w:color="auto"/>
                                        <w:bottom w:val="none" w:sz="0" w:space="0" w:color="auto"/>
                                        <w:right w:val="none" w:sz="0" w:space="0" w:color="auto"/>
                                      </w:divBdr>
                                      <w:divsChild>
                                        <w:div w:id="313997345">
                                          <w:marLeft w:val="0"/>
                                          <w:marRight w:val="0"/>
                                          <w:marTop w:val="0"/>
                                          <w:marBottom w:val="0"/>
                                          <w:divBdr>
                                            <w:top w:val="none" w:sz="0" w:space="0" w:color="auto"/>
                                            <w:left w:val="none" w:sz="0" w:space="0" w:color="auto"/>
                                            <w:bottom w:val="none" w:sz="0" w:space="0" w:color="auto"/>
                                            <w:right w:val="none" w:sz="0" w:space="0" w:color="auto"/>
                                          </w:divBdr>
                                          <w:divsChild>
                                            <w:div w:id="1859156677">
                                              <w:marLeft w:val="3444"/>
                                              <w:marRight w:val="0"/>
                                              <w:marTop w:val="0"/>
                                              <w:marBottom w:val="0"/>
                                              <w:divBdr>
                                                <w:top w:val="single" w:sz="4" w:space="0" w:color="D2D5D7"/>
                                                <w:left w:val="single" w:sz="4" w:space="0" w:color="D2D5D7"/>
                                                <w:bottom w:val="none" w:sz="0" w:space="0" w:color="auto"/>
                                                <w:right w:val="single" w:sz="4" w:space="0" w:color="D2D5D7"/>
                                              </w:divBdr>
                                              <w:divsChild>
                                                <w:div w:id="344744159">
                                                  <w:marLeft w:val="0"/>
                                                  <w:marRight w:val="0"/>
                                                  <w:marTop w:val="0"/>
                                                  <w:marBottom w:val="0"/>
                                                  <w:divBdr>
                                                    <w:top w:val="none" w:sz="0" w:space="0" w:color="auto"/>
                                                    <w:left w:val="none" w:sz="0" w:space="0" w:color="auto"/>
                                                    <w:bottom w:val="none" w:sz="0" w:space="0" w:color="auto"/>
                                                    <w:right w:val="none" w:sz="0" w:space="0" w:color="auto"/>
                                                  </w:divBdr>
                                                  <w:divsChild>
                                                    <w:div w:id="1192838189">
                                                      <w:marLeft w:val="0"/>
                                                      <w:marRight w:val="0"/>
                                                      <w:marTop w:val="0"/>
                                                      <w:marBottom w:val="0"/>
                                                      <w:divBdr>
                                                        <w:top w:val="none" w:sz="0" w:space="0" w:color="auto"/>
                                                        <w:left w:val="none" w:sz="0" w:space="0" w:color="auto"/>
                                                        <w:bottom w:val="none" w:sz="0" w:space="0" w:color="auto"/>
                                                        <w:right w:val="none" w:sz="0" w:space="0" w:color="auto"/>
                                                      </w:divBdr>
                                                      <w:divsChild>
                                                        <w:div w:id="252202672">
                                                          <w:marLeft w:val="0"/>
                                                          <w:marRight w:val="0"/>
                                                          <w:marTop w:val="0"/>
                                                          <w:marBottom w:val="0"/>
                                                          <w:divBdr>
                                                            <w:top w:val="none" w:sz="0" w:space="0" w:color="auto"/>
                                                            <w:left w:val="none" w:sz="0" w:space="0" w:color="auto"/>
                                                            <w:bottom w:val="none" w:sz="0" w:space="0" w:color="auto"/>
                                                            <w:right w:val="none" w:sz="0" w:space="0" w:color="auto"/>
                                                          </w:divBdr>
                                                          <w:divsChild>
                                                            <w:div w:id="1478761598">
                                                              <w:marLeft w:val="0"/>
                                                              <w:marRight w:val="0"/>
                                                              <w:marTop w:val="0"/>
                                                              <w:marBottom w:val="0"/>
                                                              <w:divBdr>
                                                                <w:top w:val="none" w:sz="0" w:space="0" w:color="auto"/>
                                                                <w:left w:val="none" w:sz="0" w:space="0" w:color="auto"/>
                                                                <w:bottom w:val="none" w:sz="0" w:space="0" w:color="auto"/>
                                                                <w:right w:val="none" w:sz="0" w:space="0" w:color="auto"/>
                                                              </w:divBdr>
                                                              <w:divsChild>
                                                                <w:div w:id="834145486">
                                                                  <w:marLeft w:val="-60"/>
                                                                  <w:marRight w:val="0"/>
                                                                  <w:marTop w:val="24"/>
                                                                  <w:marBottom w:val="24"/>
                                                                  <w:divBdr>
                                                                    <w:top w:val="none" w:sz="0" w:space="0" w:color="auto"/>
                                                                    <w:left w:val="none" w:sz="0" w:space="0" w:color="auto"/>
                                                                    <w:bottom w:val="none" w:sz="0" w:space="0" w:color="auto"/>
                                                                    <w:right w:val="none" w:sz="0" w:space="0" w:color="auto"/>
                                                                  </w:divBdr>
                                                                  <w:divsChild>
                                                                    <w:div w:id="216475956">
                                                                      <w:marLeft w:val="0"/>
                                                                      <w:marRight w:val="0"/>
                                                                      <w:marTop w:val="0"/>
                                                                      <w:marBottom w:val="0"/>
                                                                      <w:divBdr>
                                                                        <w:top w:val="none" w:sz="0" w:space="0" w:color="auto"/>
                                                                        <w:left w:val="none" w:sz="0" w:space="0" w:color="auto"/>
                                                                        <w:bottom w:val="none" w:sz="0" w:space="0" w:color="auto"/>
                                                                        <w:right w:val="none" w:sz="0" w:space="0" w:color="auto"/>
                                                                      </w:divBdr>
                                                                      <w:divsChild>
                                                                        <w:div w:id="507135184">
                                                                          <w:marLeft w:val="0"/>
                                                                          <w:marRight w:val="0"/>
                                                                          <w:marTop w:val="0"/>
                                                                          <w:marBottom w:val="0"/>
                                                                          <w:divBdr>
                                                                            <w:top w:val="none" w:sz="0" w:space="0" w:color="auto"/>
                                                                            <w:left w:val="none" w:sz="0" w:space="0" w:color="auto"/>
                                                                            <w:bottom w:val="none" w:sz="0" w:space="0" w:color="auto"/>
                                                                            <w:right w:val="none" w:sz="0" w:space="0" w:color="auto"/>
                                                                          </w:divBdr>
                                                                          <w:divsChild>
                                                                            <w:div w:id="2034915241">
                                                                              <w:marLeft w:val="0"/>
                                                                              <w:marRight w:val="0"/>
                                                                              <w:marTop w:val="0"/>
                                                                              <w:marBottom w:val="0"/>
                                                                              <w:divBdr>
                                                                                <w:top w:val="none" w:sz="0" w:space="0" w:color="auto"/>
                                                                                <w:left w:val="none" w:sz="0" w:space="0" w:color="auto"/>
                                                                                <w:bottom w:val="none" w:sz="0" w:space="0" w:color="auto"/>
                                                                                <w:right w:val="none" w:sz="0" w:space="0" w:color="auto"/>
                                                                              </w:divBdr>
                                                                              <w:divsChild>
                                                                                <w:div w:id="1171676713">
                                                                                  <w:marLeft w:val="0"/>
                                                                                  <w:marRight w:val="0"/>
                                                                                  <w:marTop w:val="0"/>
                                                                                  <w:marBottom w:val="0"/>
                                                                                  <w:divBdr>
                                                                                    <w:top w:val="none" w:sz="0" w:space="0" w:color="auto"/>
                                                                                    <w:left w:val="none" w:sz="0" w:space="0" w:color="auto"/>
                                                                                    <w:bottom w:val="none" w:sz="0" w:space="0" w:color="auto"/>
                                                                                    <w:right w:val="none" w:sz="0" w:space="0" w:color="auto"/>
                                                                                  </w:divBdr>
                                                                                  <w:divsChild>
                                                                                    <w:div w:id="1899898367">
                                                                                      <w:marLeft w:val="0"/>
                                                                                      <w:marRight w:val="0"/>
                                                                                      <w:marTop w:val="0"/>
                                                                                      <w:marBottom w:val="0"/>
                                                                                      <w:divBdr>
                                                                                        <w:top w:val="none" w:sz="0" w:space="0" w:color="auto"/>
                                                                                        <w:left w:val="none" w:sz="0" w:space="0" w:color="auto"/>
                                                                                        <w:bottom w:val="none" w:sz="0" w:space="0" w:color="auto"/>
                                                                                        <w:right w:val="none" w:sz="0" w:space="0" w:color="auto"/>
                                                                                      </w:divBdr>
                                                                                      <w:divsChild>
                                                                                        <w:div w:id="1039205706">
                                                                                          <w:marLeft w:val="0"/>
                                                                                          <w:marRight w:val="0"/>
                                                                                          <w:marTop w:val="24"/>
                                                                                          <w:marBottom w:val="24"/>
                                                                                          <w:divBdr>
                                                                                            <w:top w:val="none" w:sz="0" w:space="0" w:color="auto"/>
                                                                                            <w:left w:val="none" w:sz="0" w:space="0" w:color="auto"/>
                                                                                            <w:bottom w:val="none" w:sz="0" w:space="0" w:color="auto"/>
                                                                                            <w:right w:val="none" w:sz="0" w:space="0" w:color="auto"/>
                                                                                          </w:divBdr>
                                                                                          <w:divsChild>
                                                                                            <w:div w:id="273175576">
                                                                                              <w:marLeft w:val="0"/>
                                                                                              <w:marRight w:val="0"/>
                                                                                              <w:marTop w:val="0"/>
                                                                                              <w:marBottom w:val="0"/>
                                                                                              <w:divBdr>
                                                                                                <w:top w:val="none" w:sz="0" w:space="0" w:color="auto"/>
                                                                                                <w:left w:val="none" w:sz="0" w:space="0" w:color="auto"/>
                                                                                                <w:bottom w:val="none" w:sz="0" w:space="0" w:color="auto"/>
                                                                                                <w:right w:val="none" w:sz="0" w:space="0" w:color="auto"/>
                                                                                              </w:divBdr>
                                                                                            </w:div>
                                                                                            <w:div w:id="461122879">
                                                                                              <w:marLeft w:val="0"/>
                                                                                              <w:marRight w:val="0"/>
                                                                                              <w:marTop w:val="0"/>
                                                                                              <w:marBottom w:val="0"/>
                                                                                              <w:divBdr>
                                                                                                <w:top w:val="none" w:sz="0" w:space="0" w:color="auto"/>
                                                                                                <w:left w:val="none" w:sz="0" w:space="0" w:color="auto"/>
                                                                                                <w:bottom w:val="none" w:sz="0" w:space="0" w:color="auto"/>
                                                                                                <w:right w:val="none" w:sz="0" w:space="0" w:color="auto"/>
                                                                                              </w:divBdr>
                                                                                            </w:div>
                                                                                            <w:div w:id="478812040">
                                                                                              <w:marLeft w:val="0"/>
                                                                                              <w:marRight w:val="0"/>
                                                                                              <w:marTop w:val="0"/>
                                                                                              <w:marBottom w:val="0"/>
                                                                                              <w:divBdr>
                                                                                                <w:top w:val="none" w:sz="0" w:space="0" w:color="auto"/>
                                                                                                <w:left w:val="none" w:sz="0" w:space="0" w:color="auto"/>
                                                                                                <w:bottom w:val="none" w:sz="0" w:space="0" w:color="auto"/>
                                                                                                <w:right w:val="none" w:sz="0" w:space="0" w:color="auto"/>
                                                                                              </w:divBdr>
                                                                                              <w:divsChild>
                                                                                                <w:div w:id="576787361">
                                                                                                  <w:marLeft w:val="0"/>
                                                                                                  <w:marRight w:val="0"/>
                                                                                                  <w:marTop w:val="0"/>
                                                                                                  <w:marBottom w:val="0"/>
                                                                                                  <w:divBdr>
                                                                                                    <w:top w:val="none" w:sz="0" w:space="0" w:color="auto"/>
                                                                                                    <w:left w:val="none" w:sz="0" w:space="0" w:color="auto"/>
                                                                                                    <w:bottom w:val="none" w:sz="0" w:space="0" w:color="auto"/>
                                                                                                    <w:right w:val="none" w:sz="0" w:space="0" w:color="auto"/>
                                                                                                  </w:divBdr>
                                                                                                </w:div>
                                                                                              </w:divsChild>
                                                                                            </w:div>
                                                                                            <w:div w:id="600260729">
                                                                                              <w:marLeft w:val="0"/>
                                                                                              <w:marRight w:val="0"/>
                                                                                              <w:marTop w:val="0"/>
                                                                                              <w:marBottom w:val="0"/>
                                                                                              <w:divBdr>
                                                                                                <w:top w:val="none" w:sz="0" w:space="0" w:color="auto"/>
                                                                                                <w:left w:val="none" w:sz="0" w:space="0" w:color="auto"/>
                                                                                                <w:bottom w:val="none" w:sz="0" w:space="0" w:color="auto"/>
                                                                                                <w:right w:val="none" w:sz="0" w:space="0" w:color="auto"/>
                                                                                              </w:divBdr>
                                                                                              <w:divsChild>
                                                                                                <w:div w:id="1847480627">
                                                                                                  <w:marLeft w:val="0"/>
                                                                                                  <w:marRight w:val="0"/>
                                                                                                  <w:marTop w:val="0"/>
                                                                                                  <w:marBottom w:val="0"/>
                                                                                                  <w:divBdr>
                                                                                                    <w:top w:val="none" w:sz="0" w:space="0" w:color="auto"/>
                                                                                                    <w:left w:val="none" w:sz="0" w:space="0" w:color="auto"/>
                                                                                                    <w:bottom w:val="none" w:sz="0" w:space="0" w:color="auto"/>
                                                                                                    <w:right w:val="none" w:sz="0" w:space="0" w:color="auto"/>
                                                                                                  </w:divBdr>
                                                                                                </w:div>
                                                                                              </w:divsChild>
                                                                                            </w:div>
                                                                                            <w:div w:id="696346435">
                                                                                              <w:marLeft w:val="0"/>
                                                                                              <w:marRight w:val="0"/>
                                                                                              <w:marTop w:val="0"/>
                                                                                              <w:marBottom w:val="0"/>
                                                                                              <w:divBdr>
                                                                                                <w:top w:val="none" w:sz="0" w:space="0" w:color="auto"/>
                                                                                                <w:left w:val="none" w:sz="0" w:space="0" w:color="auto"/>
                                                                                                <w:bottom w:val="none" w:sz="0" w:space="0" w:color="auto"/>
                                                                                                <w:right w:val="none" w:sz="0" w:space="0" w:color="auto"/>
                                                                                              </w:divBdr>
                                                                                            </w:div>
                                                                                            <w:div w:id="816528747">
                                                                                              <w:marLeft w:val="0"/>
                                                                                              <w:marRight w:val="0"/>
                                                                                              <w:marTop w:val="0"/>
                                                                                              <w:marBottom w:val="0"/>
                                                                                              <w:divBdr>
                                                                                                <w:top w:val="none" w:sz="0" w:space="0" w:color="auto"/>
                                                                                                <w:left w:val="none" w:sz="0" w:space="0" w:color="auto"/>
                                                                                                <w:bottom w:val="none" w:sz="0" w:space="0" w:color="auto"/>
                                                                                                <w:right w:val="none" w:sz="0" w:space="0" w:color="auto"/>
                                                                                              </w:divBdr>
                                                                                              <w:divsChild>
                                                                                                <w:div w:id="253830495">
                                                                                                  <w:marLeft w:val="0"/>
                                                                                                  <w:marRight w:val="0"/>
                                                                                                  <w:marTop w:val="0"/>
                                                                                                  <w:marBottom w:val="0"/>
                                                                                                  <w:divBdr>
                                                                                                    <w:top w:val="none" w:sz="0" w:space="0" w:color="auto"/>
                                                                                                    <w:left w:val="none" w:sz="0" w:space="0" w:color="auto"/>
                                                                                                    <w:bottom w:val="none" w:sz="0" w:space="0" w:color="auto"/>
                                                                                                    <w:right w:val="none" w:sz="0" w:space="0" w:color="auto"/>
                                                                                                  </w:divBdr>
                                                                                                </w:div>
                                                                                                <w:div w:id="458960326">
                                                                                                  <w:marLeft w:val="0"/>
                                                                                                  <w:marRight w:val="0"/>
                                                                                                  <w:marTop w:val="0"/>
                                                                                                  <w:marBottom w:val="0"/>
                                                                                                  <w:divBdr>
                                                                                                    <w:top w:val="none" w:sz="0" w:space="0" w:color="auto"/>
                                                                                                    <w:left w:val="none" w:sz="0" w:space="0" w:color="auto"/>
                                                                                                    <w:bottom w:val="none" w:sz="0" w:space="0" w:color="auto"/>
                                                                                                    <w:right w:val="none" w:sz="0" w:space="0" w:color="auto"/>
                                                                                                  </w:divBdr>
                                                                                                </w:div>
                                                                                              </w:divsChild>
                                                                                            </w:div>
                                                                                            <w:div w:id="1263611001">
                                                                                              <w:marLeft w:val="0"/>
                                                                                              <w:marRight w:val="0"/>
                                                                                              <w:marTop w:val="0"/>
                                                                                              <w:marBottom w:val="0"/>
                                                                                              <w:divBdr>
                                                                                                <w:top w:val="none" w:sz="0" w:space="0" w:color="auto"/>
                                                                                                <w:left w:val="none" w:sz="0" w:space="0" w:color="auto"/>
                                                                                                <w:bottom w:val="none" w:sz="0" w:space="0" w:color="auto"/>
                                                                                                <w:right w:val="none" w:sz="0" w:space="0" w:color="auto"/>
                                                                                              </w:divBdr>
                                                                                            </w:div>
                                                                                            <w:div w:id="1871919723">
                                                                                              <w:marLeft w:val="0"/>
                                                                                              <w:marRight w:val="0"/>
                                                                                              <w:marTop w:val="0"/>
                                                                                              <w:marBottom w:val="0"/>
                                                                                              <w:divBdr>
                                                                                                <w:top w:val="none" w:sz="0" w:space="0" w:color="auto"/>
                                                                                                <w:left w:val="none" w:sz="0" w:space="0" w:color="auto"/>
                                                                                                <w:bottom w:val="none" w:sz="0" w:space="0" w:color="auto"/>
                                                                                                <w:right w:val="none" w:sz="0" w:space="0" w:color="auto"/>
                                                                                              </w:divBdr>
                                                                                              <w:divsChild>
                                                                                                <w:div w:id="939725257">
                                                                                                  <w:marLeft w:val="0"/>
                                                                                                  <w:marRight w:val="0"/>
                                                                                                  <w:marTop w:val="0"/>
                                                                                                  <w:marBottom w:val="0"/>
                                                                                                  <w:divBdr>
                                                                                                    <w:top w:val="none" w:sz="0" w:space="0" w:color="auto"/>
                                                                                                    <w:left w:val="none" w:sz="0" w:space="0" w:color="auto"/>
                                                                                                    <w:bottom w:val="none" w:sz="0" w:space="0" w:color="auto"/>
                                                                                                    <w:right w:val="none" w:sz="0" w:space="0" w:color="auto"/>
                                                                                                  </w:divBdr>
                                                                                                </w:div>
                                                                                                <w:div w:id="1800342104">
                                                                                                  <w:marLeft w:val="0"/>
                                                                                                  <w:marRight w:val="0"/>
                                                                                                  <w:marTop w:val="0"/>
                                                                                                  <w:marBottom w:val="0"/>
                                                                                                  <w:divBdr>
                                                                                                    <w:top w:val="none" w:sz="0" w:space="0" w:color="auto"/>
                                                                                                    <w:left w:val="none" w:sz="0" w:space="0" w:color="auto"/>
                                                                                                    <w:bottom w:val="none" w:sz="0" w:space="0" w:color="auto"/>
                                                                                                    <w:right w:val="none" w:sz="0" w:space="0" w:color="auto"/>
                                                                                                  </w:divBdr>
                                                                                                </w:div>
                                                                                                <w:div w:id="2081827701">
                                                                                                  <w:marLeft w:val="0"/>
                                                                                                  <w:marRight w:val="0"/>
                                                                                                  <w:marTop w:val="0"/>
                                                                                                  <w:marBottom w:val="0"/>
                                                                                                  <w:divBdr>
                                                                                                    <w:top w:val="none" w:sz="0" w:space="0" w:color="auto"/>
                                                                                                    <w:left w:val="none" w:sz="0" w:space="0" w:color="auto"/>
                                                                                                    <w:bottom w:val="none" w:sz="0" w:space="0" w:color="auto"/>
                                                                                                    <w:right w:val="none" w:sz="0" w:space="0" w:color="auto"/>
                                                                                                  </w:divBdr>
                                                                                                </w:div>
                                                                                              </w:divsChild>
                                                                                            </w:div>
                                                                                            <w:div w:id="1886526319">
                                                                                              <w:marLeft w:val="0"/>
                                                                                              <w:marRight w:val="0"/>
                                                                                              <w:marTop w:val="0"/>
                                                                                              <w:marBottom w:val="0"/>
                                                                                              <w:divBdr>
                                                                                                <w:top w:val="none" w:sz="0" w:space="0" w:color="auto"/>
                                                                                                <w:left w:val="none" w:sz="0" w:space="0" w:color="auto"/>
                                                                                                <w:bottom w:val="none" w:sz="0" w:space="0" w:color="auto"/>
                                                                                                <w:right w:val="none" w:sz="0" w:space="0" w:color="auto"/>
                                                                                              </w:divBdr>
                                                                                              <w:divsChild>
                                                                                                <w:div w:id="8987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68054">
      <w:bodyDiv w:val="1"/>
      <w:marLeft w:val="0"/>
      <w:marRight w:val="0"/>
      <w:marTop w:val="0"/>
      <w:marBottom w:val="0"/>
      <w:divBdr>
        <w:top w:val="none" w:sz="0" w:space="0" w:color="auto"/>
        <w:left w:val="none" w:sz="0" w:space="0" w:color="auto"/>
        <w:bottom w:val="none" w:sz="0" w:space="0" w:color="auto"/>
        <w:right w:val="none" w:sz="0" w:space="0" w:color="auto"/>
      </w:divBdr>
    </w:div>
    <w:div w:id="104925466">
      <w:bodyDiv w:val="1"/>
      <w:marLeft w:val="0"/>
      <w:marRight w:val="0"/>
      <w:marTop w:val="0"/>
      <w:marBottom w:val="0"/>
      <w:divBdr>
        <w:top w:val="none" w:sz="0" w:space="0" w:color="auto"/>
        <w:left w:val="none" w:sz="0" w:space="0" w:color="auto"/>
        <w:bottom w:val="none" w:sz="0" w:space="0" w:color="auto"/>
        <w:right w:val="none" w:sz="0" w:space="0" w:color="auto"/>
      </w:divBdr>
    </w:div>
    <w:div w:id="142475324">
      <w:bodyDiv w:val="1"/>
      <w:marLeft w:val="0"/>
      <w:marRight w:val="0"/>
      <w:marTop w:val="0"/>
      <w:marBottom w:val="0"/>
      <w:divBdr>
        <w:top w:val="none" w:sz="0" w:space="0" w:color="auto"/>
        <w:left w:val="none" w:sz="0" w:space="0" w:color="auto"/>
        <w:bottom w:val="none" w:sz="0" w:space="0" w:color="auto"/>
        <w:right w:val="none" w:sz="0" w:space="0" w:color="auto"/>
      </w:divBdr>
      <w:divsChild>
        <w:div w:id="1044867453">
          <w:marLeft w:val="0"/>
          <w:marRight w:val="0"/>
          <w:marTop w:val="0"/>
          <w:marBottom w:val="0"/>
          <w:divBdr>
            <w:top w:val="none" w:sz="0" w:space="0" w:color="auto"/>
            <w:left w:val="none" w:sz="0" w:space="0" w:color="auto"/>
            <w:bottom w:val="none" w:sz="0" w:space="0" w:color="auto"/>
            <w:right w:val="none" w:sz="0" w:space="0" w:color="auto"/>
          </w:divBdr>
          <w:divsChild>
            <w:div w:id="1658654422">
              <w:marLeft w:val="0"/>
              <w:marRight w:val="0"/>
              <w:marTop w:val="0"/>
              <w:marBottom w:val="0"/>
              <w:divBdr>
                <w:top w:val="none" w:sz="0" w:space="0" w:color="auto"/>
                <w:left w:val="none" w:sz="0" w:space="0" w:color="auto"/>
                <w:bottom w:val="none" w:sz="0" w:space="0" w:color="auto"/>
                <w:right w:val="none" w:sz="0" w:space="0" w:color="auto"/>
              </w:divBdr>
              <w:divsChild>
                <w:div w:id="559177403">
                  <w:marLeft w:val="0"/>
                  <w:marRight w:val="0"/>
                  <w:marTop w:val="0"/>
                  <w:marBottom w:val="0"/>
                  <w:divBdr>
                    <w:top w:val="none" w:sz="0" w:space="0" w:color="auto"/>
                    <w:left w:val="none" w:sz="0" w:space="0" w:color="auto"/>
                    <w:bottom w:val="none" w:sz="0" w:space="0" w:color="auto"/>
                    <w:right w:val="none" w:sz="0" w:space="0" w:color="auto"/>
                  </w:divBdr>
                  <w:divsChild>
                    <w:div w:id="882443078">
                      <w:marLeft w:val="0"/>
                      <w:marRight w:val="0"/>
                      <w:marTop w:val="0"/>
                      <w:marBottom w:val="0"/>
                      <w:divBdr>
                        <w:top w:val="none" w:sz="0" w:space="0" w:color="auto"/>
                        <w:left w:val="none" w:sz="0" w:space="0" w:color="auto"/>
                        <w:bottom w:val="none" w:sz="0" w:space="0" w:color="auto"/>
                        <w:right w:val="none" w:sz="0" w:space="0" w:color="auto"/>
                      </w:divBdr>
                      <w:divsChild>
                        <w:div w:id="571086864">
                          <w:marLeft w:val="0"/>
                          <w:marRight w:val="0"/>
                          <w:marTop w:val="0"/>
                          <w:marBottom w:val="0"/>
                          <w:divBdr>
                            <w:top w:val="none" w:sz="0" w:space="0" w:color="auto"/>
                            <w:left w:val="none" w:sz="0" w:space="0" w:color="auto"/>
                            <w:bottom w:val="none" w:sz="0" w:space="0" w:color="auto"/>
                            <w:right w:val="none" w:sz="0" w:space="0" w:color="auto"/>
                          </w:divBdr>
                          <w:divsChild>
                            <w:div w:id="1076633319">
                              <w:marLeft w:val="0"/>
                              <w:marRight w:val="0"/>
                              <w:marTop w:val="0"/>
                              <w:marBottom w:val="0"/>
                              <w:divBdr>
                                <w:top w:val="none" w:sz="0" w:space="0" w:color="auto"/>
                                <w:left w:val="none" w:sz="0" w:space="0" w:color="auto"/>
                                <w:bottom w:val="none" w:sz="0" w:space="0" w:color="auto"/>
                                <w:right w:val="none" w:sz="0" w:space="0" w:color="auto"/>
                              </w:divBdr>
                              <w:divsChild>
                                <w:div w:id="21360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77251">
      <w:bodyDiv w:val="1"/>
      <w:marLeft w:val="0"/>
      <w:marRight w:val="0"/>
      <w:marTop w:val="0"/>
      <w:marBottom w:val="0"/>
      <w:divBdr>
        <w:top w:val="none" w:sz="0" w:space="0" w:color="auto"/>
        <w:left w:val="none" w:sz="0" w:space="0" w:color="auto"/>
        <w:bottom w:val="none" w:sz="0" w:space="0" w:color="auto"/>
        <w:right w:val="none" w:sz="0" w:space="0" w:color="auto"/>
      </w:divBdr>
    </w:div>
    <w:div w:id="163202410">
      <w:bodyDiv w:val="1"/>
      <w:marLeft w:val="0"/>
      <w:marRight w:val="0"/>
      <w:marTop w:val="0"/>
      <w:marBottom w:val="0"/>
      <w:divBdr>
        <w:top w:val="none" w:sz="0" w:space="0" w:color="auto"/>
        <w:left w:val="none" w:sz="0" w:space="0" w:color="auto"/>
        <w:bottom w:val="none" w:sz="0" w:space="0" w:color="auto"/>
        <w:right w:val="none" w:sz="0" w:space="0" w:color="auto"/>
      </w:divBdr>
    </w:div>
    <w:div w:id="180703083">
      <w:bodyDiv w:val="1"/>
      <w:marLeft w:val="0"/>
      <w:marRight w:val="0"/>
      <w:marTop w:val="0"/>
      <w:marBottom w:val="0"/>
      <w:divBdr>
        <w:top w:val="none" w:sz="0" w:space="0" w:color="auto"/>
        <w:left w:val="none" w:sz="0" w:space="0" w:color="auto"/>
        <w:bottom w:val="none" w:sz="0" w:space="0" w:color="auto"/>
        <w:right w:val="none" w:sz="0" w:space="0" w:color="auto"/>
      </w:divBdr>
    </w:div>
    <w:div w:id="205605489">
      <w:bodyDiv w:val="1"/>
      <w:marLeft w:val="0"/>
      <w:marRight w:val="0"/>
      <w:marTop w:val="0"/>
      <w:marBottom w:val="0"/>
      <w:divBdr>
        <w:top w:val="none" w:sz="0" w:space="0" w:color="auto"/>
        <w:left w:val="none" w:sz="0" w:space="0" w:color="auto"/>
        <w:bottom w:val="none" w:sz="0" w:space="0" w:color="auto"/>
        <w:right w:val="none" w:sz="0" w:space="0" w:color="auto"/>
      </w:divBdr>
    </w:div>
    <w:div w:id="209848064">
      <w:bodyDiv w:val="1"/>
      <w:marLeft w:val="0"/>
      <w:marRight w:val="0"/>
      <w:marTop w:val="0"/>
      <w:marBottom w:val="0"/>
      <w:divBdr>
        <w:top w:val="none" w:sz="0" w:space="0" w:color="auto"/>
        <w:left w:val="none" w:sz="0" w:space="0" w:color="auto"/>
        <w:bottom w:val="none" w:sz="0" w:space="0" w:color="auto"/>
        <w:right w:val="none" w:sz="0" w:space="0" w:color="auto"/>
      </w:divBdr>
    </w:div>
    <w:div w:id="245573317">
      <w:bodyDiv w:val="1"/>
      <w:marLeft w:val="0"/>
      <w:marRight w:val="0"/>
      <w:marTop w:val="0"/>
      <w:marBottom w:val="0"/>
      <w:divBdr>
        <w:top w:val="none" w:sz="0" w:space="0" w:color="auto"/>
        <w:left w:val="none" w:sz="0" w:space="0" w:color="auto"/>
        <w:bottom w:val="none" w:sz="0" w:space="0" w:color="auto"/>
        <w:right w:val="none" w:sz="0" w:space="0" w:color="auto"/>
      </w:divBdr>
      <w:divsChild>
        <w:div w:id="128592015">
          <w:marLeft w:val="360"/>
          <w:marRight w:val="0"/>
          <w:marTop w:val="144"/>
          <w:marBottom w:val="0"/>
          <w:divBdr>
            <w:top w:val="none" w:sz="0" w:space="0" w:color="auto"/>
            <w:left w:val="none" w:sz="0" w:space="0" w:color="auto"/>
            <w:bottom w:val="none" w:sz="0" w:space="0" w:color="auto"/>
            <w:right w:val="none" w:sz="0" w:space="0" w:color="auto"/>
          </w:divBdr>
        </w:div>
        <w:div w:id="936593910">
          <w:marLeft w:val="360"/>
          <w:marRight w:val="0"/>
          <w:marTop w:val="144"/>
          <w:marBottom w:val="0"/>
          <w:divBdr>
            <w:top w:val="none" w:sz="0" w:space="0" w:color="auto"/>
            <w:left w:val="none" w:sz="0" w:space="0" w:color="auto"/>
            <w:bottom w:val="none" w:sz="0" w:space="0" w:color="auto"/>
            <w:right w:val="none" w:sz="0" w:space="0" w:color="auto"/>
          </w:divBdr>
        </w:div>
        <w:div w:id="936672070">
          <w:marLeft w:val="360"/>
          <w:marRight w:val="0"/>
          <w:marTop w:val="144"/>
          <w:marBottom w:val="0"/>
          <w:divBdr>
            <w:top w:val="none" w:sz="0" w:space="0" w:color="auto"/>
            <w:left w:val="none" w:sz="0" w:space="0" w:color="auto"/>
            <w:bottom w:val="none" w:sz="0" w:space="0" w:color="auto"/>
            <w:right w:val="none" w:sz="0" w:space="0" w:color="auto"/>
          </w:divBdr>
        </w:div>
        <w:div w:id="1198816805">
          <w:marLeft w:val="360"/>
          <w:marRight w:val="0"/>
          <w:marTop w:val="144"/>
          <w:marBottom w:val="0"/>
          <w:divBdr>
            <w:top w:val="none" w:sz="0" w:space="0" w:color="auto"/>
            <w:left w:val="none" w:sz="0" w:space="0" w:color="auto"/>
            <w:bottom w:val="none" w:sz="0" w:space="0" w:color="auto"/>
            <w:right w:val="none" w:sz="0" w:space="0" w:color="auto"/>
          </w:divBdr>
        </w:div>
        <w:div w:id="1748073337">
          <w:marLeft w:val="360"/>
          <w:marRight w:val="0"/>
          <w:marTop w:val="144"/>
          <w:marBottom w:val="0"/>
          <w:divBdr>
            <w:top w:val="none" w:sz="0" w:space="0" w:color="auto"/>
            <w:left w:val="none" w:sz="0" w:space="0" w:color="auto"/>
            <w:bottom w:val="none" w:sz="0" w:space="0" w:color="auto"/>
            <w:right w:val="none" w:sz="0" w:space="0" w:color="auto"/>
          </w:divBdr>
        </w:div>
        <w:div w:id="1811366751">
          <w:marLeft w:val="360"/>
          <w:marRight w:val="0"/>
          <w:marTop w:val="144"/>
          <w:marBottom w:val="0"/>
          <w:divBdr>
            <w:top w:val="none" w:sz="0" w:space="0" w:color="auto"/>
            <w:left w:val="none" w:sz="0" w:space="0" w:color="auto"/>
            <w:bottom w:val="none" w:sz="0" w:space="0" w:color="auto"/>
            <w:right w:val="none" w:sz="0" w:space="0" w:color="auto"/>
          </w:divBdr>
        </w:div>
        <w:div w:id="1838155708">
          <w:marLeft w:val="360"/>
          <w:marRight w:val="0"/>
          <w:marTop w:val="144"/>
          <w:marBottom w:val="0"/>
          <w:divBdr>
            <w:top w:val="none" w:sz="0" w:space="0" w:color="auto"/>
            <w:left w:val="none" w:sz="0" w:space="0" w:color="auto"/>
            <w:bottom w:val="none" w:sz="0" w:space="0" w:color="auto"/>
            <w:right w:val="none" w:sz="0" w:space="0" w:color="auto"/>
          </w:divBdr>
        </w:div>
      </w:divsChild>
    </w:div>
    <w:div w:id="274752243">
      <w:bodyDiv w:val="1"/>
      <w:marLeft w:val="0"/>
      <w:marRight w:val="0"/>
      <w:marTop w:val="0"/>
      <w:marBottom w:val="0"/>
      <w:divBdr>
        <w:top w:val="none" w:sz="0" w:space="0" w:color="auto"/>
        <w:left w:val="none" w:sz="0" w:space="0" w:color="auto"/>
        <w:bottom w:val="none" w:sz="0" w:space="0" w:color="auto"/>
        <w:right w:val="none" w:sz="0" w:space="0" w:color="auto"/>
      </w:divBdr>
    </w:div>
    <w:div w:id="289945709">
      <w:bodyDiv w:val="1"/>
      <w:marLeft w:val="0"/>
      <w:marRight w:val="0"/>
      <w:marTop w:val="0"/>
      <w:marBottom w:val="0"/>
      <w:divBdr>
        <w:top w:val="none" w:sz="0" w:space="0" w:color="auto"/>
        <w:left w:val="none" w:sz="0" w:space="0" w:color="auto"/>
        <w:bottom w:val="none" w:sz="0" w:space="0" w:color="auto"/>
        <w:right w:val="none" w:sz="0" w:space="0" w:color="auto"/>
      </w:divBdr>
    </w:div>
    <w:div w:id="340276332">
      <w:bodyDiv w:val="1"/>
      <w:marLeft w:val="0"/>
      <w:marRight w:val="0"/>
      <w:marTop w:val="0"/>
      <w:marBottom w:val="0"/>
      <w:divBdr>
        <w:top w:val="none" w:sz="0" w:space="0" w:color="auto"/>
        <w:left w:val="none" w:sz="0" w:space="0" w:color="auto"/>
        <w:bottom w:val="none" w:sz="0" w:space="0" w:color="auto"/>
        <w:right w:val="none" w:sz="0" w:space="0" w:color="auto"/>
      </w:divBdr>
    </w:div>
    <w:div w:id="340789068">
      <w:bodyDiv w:val="1"/>
      <w:marLeft w:val="0"/>
      <w:marRight w:val="0"/>
      <w:marTop w:val="0"/>
      <w:marBottom w:val="0"/>
      <w:divBdr>
        <w:top w:val="none" w:sz="0" w:space="0" w:color="auto"/>
        <w:left w:val="none" w:sz="0" w:space="0" w:color="auto"/>
        <w:bottom w:val="none" w:sz="0" w:space="0" w:color="auto"/>
        <w:right w:val="none" w:sz="0" w:space="0" w:color="auto"/>
      </w:divBdr>
    </w:div>
    <w:div w:id="362485101">
      <w:bodyDiv w:val="1"/>
      <w:marLeft w:val="0"/>
      <w:marRight w:val="0"/>
      <w:marTop w:val="0"/>
      <w:marBottom w:val="0"/>
      <w:divBdr>
        <w:top w:val="none" w:sz="0" w:space="0" w:color="auto"/>
        <w:left w:val="none" w:sz="0" w:space="0" w:color="auto"/>
        <w:bottom w:val="none" w:sz="0" w:space="0" w:color="auto"/>
        <w:right w:val="none" w:sz="0" w:space="0" w:color="auto"/>
      </w:divBdr>
    </w:div>
    <w:div w:id="379474221">
      <w:bodyDiv w:val="1"/>
      <w:marLeft w:val="0"/>
      <w:marRight w:val="0"/>
      <w:marTop w:val="0"/>
      <w:marBottom w:val="0"/>
      <w:divBdr>
        <w:top w:val="none" w:sz="0" w:space="0" w:color="auto"/>
        <w:left w:val="none" w:sz="0" w:space="0" w:color="auto"/>
        <w:bottom w:val="none" w:sz="0" w:space="0" w:color="auto"/>
        <w:right w:val="none" w:sz="0" w:space="0" w:color="auto"/>
      </w:divBdr>
    </w:div>
    <w:div w:id="407388486">
      <w:bodyDiv w:val="1"/>
      <w:marLeft w:val="0"/>
      <w:marRight w:val="0"/>
      <w:marTop w:val="0"/>
      <w:marBottom w:val="0"/>
      <w:divBdr>
        <w:top w:val="none" w:sz="0" w:space="0" w:color="auto"/>
        <w:left w:val="none" w:sz="0" w:space="0" w:color="auto"/>
        <w:bottom w:val="none" w:sz="0" w:space="0" w:color="auto"/>
        <w:right w:val="none" w:sz="0" w:space="0" w:color="auto"/>
      </w:divBdr>
    </w:div>
    <w:div w:id="414205897">
      <w:bodyDiv w:val="1"/>
      <w:marLeft w:val="0"/>
      <w:marRight w:val="0"/>
      <w:marTop w:val="0"/>
      <w:marBottom w:val="0"/>
      <w:divBdr>
        <w:top w:val="none" w:sz="0" w:space="0" w:color="auto"/>
        <w:left w:val="none" w:sz="0" w:space="0" w:color="auto"/>
        <w:bottom w:val="none" w:sz="0" w:space="0" w:color="auto"/>
        <w:right w:val="none" w:sz="0" w:space="0" w:color="auto"/>
      </w:divBdr>
      <w:divsChild>
        <w:div w:id="1198464947">
          <w:marLeft w:val="0"/>
          <w:marRight w:val="0"/>
          <w:marTop w:val="0"/>
          <w:marBottom w:val="0"/>
          <w:divBdr>
            <w:top w:val="none" w:sz="0" w:space="0" w:color="auto"/>
            <w:left w:val="none" w:sz="0" w:space="0" w:color="auto"/>
            <w:bottom w:val="none" w:sz="0" w:space="0" w:color="auto"/>
            <w:right w:val="none" w:sz="0" w:space="0" w:color="auto"/>
          </w:divBdr>
          <w:divsChild>
            <w:div w:id="768699294">
              <w:marLeft w:val="0"/>
              <w:marRight w:val="0"/>
              <w:marTop w:val="0"/>
              <w:marBottom w:val="0"/>
              <w:divBdr>
                <w:top w:val="none" w:sz="0" w:space="0" w:color="auto"/>
                <w:left w:val="none" w:sz="0" w:space="0" w:color="auto"/>
                <w:bottom w:val="none" w:sz="0" w:space="0" w:color="auto"/>
                <w:right w:val="none" w:sz="0" w:space="0" w:color="auto"/>
              </w:divBdr>
              <w:divsChild>
                <w:div w:id="775831507">
                  <w:marLeft w:val="0"/>
                  <w:marRight w:val="0"/>
                  <w:marTop w:val="0"/>
                  <w:marBottom w:val="0"/>
                  <w:divBdr>
                    <w:top w:val="none" w:sz="0" w:space="0" w:color="auto"/>
                    <w:left w:val="none" w:sz="0" w:space="0" w:color="auto"/>
                    <w:bottom w:val="none" w:sz="0" w:space="0" w:color="auto"/>
                    <w:right w:val="none" w:sz="0" w:space="0" w:color="auto"/>
                  </w:divBdr>
                  <w:divsChild>
                    <w:div w:id="126819071">
                      <w:marLeft w:val="0"/>
                      <w:marRight w:val="0"/>
                      <w:marTop w:val="0"/>
                      <w:marBottom w:val="0"/>
                      <w:divBdr>
                        <w:top w:val="none" w:sz="0" w:space="0" w:color="auto"/>
                        <w:left w:val="none" w:sz="0" w:space="0" w:color="auto"/>
                        <w:bottom w:val="none" w:sz="0" w:space="0" w:color="auto"/>
                        <w:right w:val="none" w:sz="0" w:space="0" w:color="auto"/>
                      </w:divBdr>
                      <w:divsChild>
                        <w:div w:id="661272113">
                          <w:marLeft w:val="12300"/>
                          <w:marRight w:val="0"/>
                          <w:marTop w:val="0"/>
                          <w:marBottom w:val="0"/>
                          <w:divBdr>
                            <w:top w:val="none" w:sz="0" w:space="0" w:color="auto"/>
                            <w:left w:val="none" w:sz="0" w:space="0" w:color="auto"/>
                            <w:bottom w:val="none" w:sz="0" w:space="0" w:color="auto"/>
                            <w:right w:val="none" w:sz="0" w:space="0" w:color="auto"/>
                          </w:divBdr>
                          <w:divsChild>
                            <w:div w:id="1528714547">
                              <w:marLeft w:val="0"/>
                              <w:marRight w:val="0"/>
                              <w:marTop w:val="0"/>
                              <w:marBottom w:val="405"/>
                              <w:divBdr>
                                <w:top w:val="none" w:sz="0" w:space="0" w:color="auto"/>
                                <w:left w:val="none" w:sz="0" w:space="0" w:color="auto"/>
                                <w:bottom w:val="none" w:sz="0" w:space="0" w:color="auto"/>
                                <w:right w:val="none" w:sz="0" w:space="0" w:color="auto"/>
                              </w:divBdr>
                              <w:divsChild>
                                <w:div w:id="1687635575">
                                  <w:marLeft w:val="0"/>
                                  <w:marRight w:val="0"/>
                                  <w:marTop w:val="0"/>
                                  <w:marBottom w:val="0"/>
                                  <w:divBdr>
                                    <w:top w:val="none" w:sz="0" w:space="0" w:color="auto"/>
                                    <w:left w:val="none" w:sz="0" w:space="0" w:color="auto"/>
                                    <w:bottom w:val="none" w:sz="0" w:space="0" w:color="auto"/>
                                    <w:right w:val="none" w:sz="0" w:space="0" w:color="auto"/>
                                  </w:divBdr>
                                  <w:divsChild>
                                    <w:div w:id="1156993549">
                                      <w:marLeft w:val="0"/>
                                      <w:marRight w:val="0"/>
                                      <w:marTop w:val="0"/>
                                      <w:marBottom w:val="0"/>
                                      <w:divBdr>
                                        <w:top w:val="none" w:sz="0" w:space="0" w:color="auto"/>
                                        <w:left w:val="none" w:sz="0" w:space="0" w:color="auto"/>
                                        <w:bottom w:val="none" w:sz="0" w:space="0" w:color="auto"/>
                                        <w:right w:val="none" w:sz="0" w:space="0" w:color="auto"/>
                                      </w:divBdr>
                                      <w:divsChild>
                                        <w:div w:id="2123189275">
                                          <w:marLeft w:val="0"/>
                                          <w:marRight w:val="0"/>
                                          <w:marTop w:val="0"/>
                                          <w:marBottom w:val="0"/>
                                          <w:divBdr>
                                            <w:top w:val="none" w:sz="0" w:space="0" w:color="auto"/>
                                            <w:left w:val="none" w:sz="0" w:space="0" w:color="auto"/>
                                            <w:bottom w:val="none" w:sz="0" w:space="0" w:color="auto"/>
                                            <w:right w:val="none" w:sz="0" w:space="0" w:color="auto"/>
                                          </w:divBdr>
                                          <w:divsChild>
                                            <w:div w:id="500198251">
                                              <w:marLeft w:val="0"/>
                                              <w:marRight w:val="0"/>
                                              <w:marTop w:val="0"/>
                                              <w:marBottom w:val="0"/>
                                              <w:divBdr>
                                                <w:top w:val="none" w:sz="0" w:space="0" w:color="auto"/>
                                                <w:left w:val="none" w:sz="0" w:space="0" w:color="auto"/>
                                                <w:bottom w:val="none" w:sz="0" w:space="0" w:color="auto"/>
                                                <w:right w:val="none" w:sz="0" w:space="0" w:color="auto"/>
                                              </w:divBdr>
                                              <w:divsChild>
                                                <w:div w:id="665672871">
                                                  <w:marLeft w:val="0"/>
                                                  <w:marRight w:val="0"/>
                                                  <w:marTop w:val="0"/>
                                                  <w:marBottom w:val="0"/>
                                                  <w:divBdr>
                                                    <w:top w:val="none" w:sz="0" w:space="0" w:color="auto"/>
                                                    <w:left w:val="none" w:sz="0" w:space="0" w:color="auto"/>
                                                    <w:bottom w:val="none" w:sz="0" w:space="0" w:color="auto"/>
                                                    <w:right w:val="none" w:sz="0" w:space="0" w:color="auto"/>
                                                  </w:divBdr>
                                                  <w:divsChild>
                                                    <w:div w:id="1493182421">
                                                      <w:marLeft w:val="0"/>
                                                      <w:marRight w:val="0"/>
                                                      <w:marTop w:val="0"/>
                                                      <w:marBottom w:val="0"/>
                                                      <w:divBdr>
                                                        <w:top w:val="none" w:sz="0" w:space="0" w:color="auto"/>
                                                        <w:left w:val="none" w:sz="0" w:space="0" w:color="auto"/>
                                                        <w:bottom w:val="none" w:sz="0" w:space="0" w:color="auto"/>
                                                        <w:right w:val="none" w:sz="0" w:space="0" w:color="auto"/>
                                                      </w:divBdr>
                                                      <w:divsChild>
                                                        <w:div w:id="1774090531">
                                                          <w:marLeft w:val="0"/>
                                                          <w:marRight w:val="0"/>
                                                          <w:marTop w:val="0"/>
                                                          <w:marBottom w:val="0"/>
                                                          <w:divBdr>
                                                            <w:top w:val="none" w:sz="0" w:space="0" w:color="auto"/>
                                                            <w:left w:val="none" w:sz="0" w:space="0" w:color="auto"/>
                                                            <w:bottom w:val="none" w:sz="0" w:space="0" w:color="auto"/>
                                                            <w:right w:val="none" w:sz="0" w:space="0" w:color="auto"/>
                                                          </w:divBdr>
                                                          <w:divsChild>
                                                            <w:div w:id="1231118829">
                                                              <w:marLeft w:val="0"/>
                                                              <w:marRight w:val="0"/>
                                                              <w:marTop w:val="0"/>
                                                              <w:marBottom w:val="0"/>
                                                              <w:divBdr>
                                                                <w:top w:val="none" w:sz="0" w:space="0" w:color="auto"/>
                                                                <w:left w:val="none" w:sz="0" w:space="0" w:color="auto"/>
                                                                <w:bottom w:val="none" w:sz="0" w:space="0" w:color="auto"/>
                                                                <w:right w:val="none" w:sz="0" w:space="0" w:color="auto"/>
                                                              </w:divBdr>
                                                              <w:divsChild>
                                                                <w:div w:id="1483814194">
                                                                  <w:marLeft w:val="0"/>
                                                                  <w:marRight w:val="0"/>
                                                                  <w:marTop w:val="0"/>
                                                                  <w:marBottom w:val="0"/>
                                                                  <w:divBdr>
                                                                    <w:top w:val="none" w:sz="0" w:space="0" w:color="auto"/>
                                                                    <w:left w:val="none" w:sz="0" w:space="0" w:color="auto"/>
                                                                    <w:bottom w:val="none" w:sz="0" w:space="0" w:color="auto"/>
                                                                    <w:right w:val="none" w:sz="0" w:space="0" w:color="auto"/>
                                                                  </w:divBdr>
                                                                  <w:divsChild>
                                                                    <w:div w:id="133209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9816064">
      <w:bodyDiv w:val="1"/>
      <w:marLeft w:val="0"/>
      <w:marRight w:val="0"/>
      <w:marTop w:val="0"/>
      <w:marBottom w:val="0"/>
      <w:divBdr>
        <w:top w:val="none" w:sz="0" w:space="0" w:color="auto"/>
        <w:left w:val="none" w:sz="0" w:space="0" w:color="auto"/>
        <w:bottom w:val="none" w:sz="0" w:space="0" w:color="auto"/>
        <w:right w:val="none" w:sz="0" w:space="0" w:color="auto"/>
      </w:divBdr>
      <w:divsChild>
        <w:div w:id="1259101611">
          <w:marLeft w:val="0"/>
          <w:marRight w:val="0"/>
          <w:marTop w:val="0"/>
          <w:marBottom w:val="0"/>
          <w:divBdr>
            <w:top w:val="none" w:sz="0" w:space="0" w:color="auto"/>
            <w:left w:val="none" w:sz="0" w:space="0" w:color="auto"/>
            <w:bottom w:val="none" w:sz="0" w:space="0" w:color="auto"/>
            <w:right w:val="none" w:sz="0" w:space="0" w:color="auto"/>
          </w:divBdr>
          <w:divsChild>
            <w:div w:id="1899196736">
              <w:marLeft w:val="0"/>
              <w:marRight w:val="0"/>
              <w:marTop w:val="0"/>
              <w:marBottom w:val="0"/>
              <w:divBdr>
                <w:top w:val="none" w:sz="0" w:space="0" w:color="auto"/>
                <w:left w:val="none" w:sz="0" w:space="0" w:color="auto"/>
                <w:bottom w:val="none" w:sz="0" w:space="0" w:color="auto"/>
                <w:right w:val="none" w:sz="0" w:space="0" w:color="auto"/>
              </w:divBdr>
              <w:divsChild>
                <w:div w:id="477655101">
                  <w:marLeft w:val="0"/>
                  <w:marRight w:val="0"/>
                  <w:marTop w:val="0"/>
                  <w:marBottom w:val="0"/>
                  <w:divBdr>
                    <w:top w:val="none" w:sz="0" w:space="0" w:color="auto"/>
                    <w:left w:val="none" w:sz="0" w:space="0" w:color="auto"/>
                    <w:bottom w:val="none" w:sz="0" w:space="0" w:color="auto"/>
                    <w:right w:val="none" w:sz="0" w:space="0" w:color="auto"/>
                  </w:divBdr>
                  <w:divsChild>
                    <w:div w:id="1541628949">
                      <w:marLeft w:val="0"/>
                      <w:marRight w:val="0"/>
                      <w:marTop w:val="0"/>
                      <w:marBottom w:val="0"/>
                      <w:divBdr>
                        <w:top w:val="none" w:sz="0" w:space="0" w:color="auto"/>
                        <w:left w:val="none" w:sz="0" w:space="0" w:color="auto"/>
                        <w:bottom w:val="none" w:sz="0" w:space="0" w:color="auto"/>
                        <w:right w:val="none" w:sz="0" w:space="0" w:color="auto"/>
                      </w:divBdr>
                      <w:divsChild>
                        <w:div w:id="421293560">
                          <w:marLeft w:val="0"/>
                          <w:marRight w:val="0"/>
                          <w:marTop w:val="0"/>
                          <w:marBottom w:val="0"/>
                          <w:divBdr>
                            <w:top w:val="none" w:sz="0" w:space="0" w:color="auto"/>
                            <w:left w:val="none" w:sz="0" w:space="0" w:color="auto"/>
                            <w:bottom w:val="none" w:sz="0" w:space="0" w:color="auto"/>
                            <w:right w:val="none" w:sz="0" w:space="0" w:color="auto"/>
                          </w:divBdr>
                          <w:divsChild>
                            <w:div w:id="2084140441">
                              <w:marLeft w:val="0"/>
                              <w:marRight w:val="0"/>
                              <w:marTop w:val="0"/>
                              <w:marBottom w:val="0"/>
                              <w:divBdr>
                                <w:top w:val="none" w:sz="0" w:space="0" w:color="auto"/>
                                <w:left w:val="none" w:sz="0" w:space="0" w:color="auto"/>
                                <w:bottom w:val="none" w:sz="0" w:space="0" w:color="auto"/>
                                <w:right w:val="none" w:sz="0" w:space="0" w:color="auto"/>
                              </w:divBdr>
                              <w:divsChild>
                                <w:div w:id="1075857620">
                                  <w:marLeft w:val="0"/>
                                  <w:marRight w:val="0"/>
                                  <w:marTop w:val="0"/>
                                  <w:marBottom w:val="0"/>
                                  <w:divBdr>
                                    <w:top w:val="none" w:sz="0" w:space="0" w:color="auto"/>
                                    <w:left w:val="none" w:sz="0" w:space="0" w:color="auto"/>
                                    <w:bottom w:val="none" w:sz="0" w:space="0" w:color="auto"/>
                                    <w:right w:val="none" w:sz="0" w:space="0" w:color="auto"/>
                                  </w:divBdr>
                                  <w:divsChild>
                                    <w:div w:id="1850636191">
                                      <w:marLeft w:val="0"/>
                                      <w:marRight w:val="0"/>
                                      <w:marTop w:val="0"/>
                                      <w:marBottom w:val="0"/>
                                      <w:divBdr>
                                        <w:top w:val="none" w:sz="0" w:space="0" w:color="auto"/>
                                        <w:left w:val="none" w:sz="0" w:space="0" w:color="auto"/>
                                        <w:bottom w:val="none" w:sz="0" w:space="0" w:color="auto"/>
                                        <w:right w:val="none" w:sz="0" w:space="0" w:color="auto"/>
                                      </w:divBdr>
                                      <w:divsChild>
                                        <w:div w:id="96950938">
                                          <w:marLeft w:val="0"/>
                                          <w:marRight w:val="0"/>
                                          <w:marTop w:val="0"/>
                                          <w:marBottom w:val="0"/>
                                          <w:divBdr>
                                            <w:top w:val="none" w:sz="0" w:space="0" w:color="auto"/>
                                            <w:left w:val="none" w:sz="0" w:space="0" w:color="auto"/>
                                            <w:bottom w:val="none" w:sz="0" w:space="0" w:color="auto"/>
                                            <w:right w:val="none" w:sz="0" w:space="0" w:color="auto"/>
                                          </w:divBdr>
                                          <w:divsChild>
                                            <w:div w:id="229777417">
                                              <w:marLeft w:val="3444"/>
                                              <w:marRight w:val="0"/>
                                              <w:marTop w:val="0"/>
                                              <w:marBottom w:val="0"/>
                                              <w:divBdr>
                                                <w:top w:val="single" w:sz="4" w:space="0" w:color="D2D5D7"/>
                                                <w:left w:val="single" w:sz="4" w:space="0" w:color="D2D5D7"/>
                                                <w:bottom w:val="none" w:sz="0" w:space="0" w:color="auto"/>
                                                <w:right w:val="single" w:sz="4" w:space="0" w:color="D2D5D7"/>
                                              </w:divBdr>
                                              <w:divsChild>
                                                <w:div w:id="796945135">
                                                  <w:marLeft w:val="0"/>
                                                  <w:marRight w:val="0"/>
                                                  <w:marTop w:val="0"/>
                                                  <w:marBottom w:val="0"/>
                                                  <w:divBdr>
                                                    <w:top w:val="none" w:sz="0" w:space="0" w:color="auto"/>
                                                    <w:left w:val="none" w:sz="0" w:space="0" w:color="auto"/>
                                                    <w:bottom w:val="none" w:sz="0" w:space="0" w:color="auto"/>
                                                    <w:right w:val="none" w:sz="0" w:space="0" w:color="auto"/>
                                                  </w:divBdr>
                                                  <w:divsChild>
                                                    <w:div w:id="403184453">
                                                      <w:marLeft w:val="0"/>
                                                      <w:marRight w:val="0"/>
                                                      <w:marTop w:val="0"/>
                                                      <w:marBottom w:val="0"/>
                                                      <w:divBdr>
                                                        <w:top w:val="none" w:sz="0" w:space="0" w:color="auto"/>
                                                        <w:left w:val="none" w:sz="0" w:space="0" w:color="auto"/>
                                                        <w:bottom w:val="none" w:sz="0" w:space="0" w:color="auto"/>
                                                        <w:right w:val="none" w:sz="0" w:space="0" w:color="auto"/>
                                                      </w:divBdr>
                                                      <w:divsChild>
                                                        <w:div w:id="463039790">
                                                          <w:marLeft w:val="0"/>
                                                          <w:marRight w:val="0"/>
                                                          <w:marTop w:val="0"/>
                                                          <w:marBottom w:val="0"/>
                                                          <w:divBdr>
                                                            <w:top w:val="none" w:sz="0" w:space="0" w:color="auto"/>
                                                            <w:left w:val="none" w:sz="0" w:space="0" w:color="auto"/>
                                                            <w:bottom w:val="none" w:sz="0" w:space="0" w:color="auto"/>
                                                            <w:right w:val="none" w:sz="0" w:space="0" w:color="auto"/>
                                                          </w:divBdr>
                                                          <w:divsChild>
                                                            <w:div w:id="923950517">
                                                              <w:marLeft w:val="0"/>
                                                              <w:marRight w:val="0"/>
                                                              <w:marTop w:val="0"/>
                                                              <w:marBottom w:val="0"/>
                                                              <w:divBdr>
                                                                <w:top w:val="none" w:sz="0" w:space="0" w:color="auto"/>
                                                                <w:left w:val="none" w:sz="0" w:space="0" w:color="auto"/>
                                                                <w:bottom w:val="none" w:sz="0" w:space="0" w:color="auto"/>
                                                                <w:right w:val="none" w:sz="0" w:space="0" w:color="auto"/>
                                                              </w:divBdr>
                                                              <w:divsChild>
                                                                <w:div w:id="570195354">
                                                                  <w:marLeft w:val="0"/>
                                                                  <w:marRight w:val="0"/>
                                                                  <w:marTop w:val="0"/>
                                                                  <w:marBottom w:val="0"/>
                                                                  <w:divBdr>
                                                                    <w:top w:val="none" w:sz="0" w:space="0" w:color="auto"/>
                                                                    <w:left w:val="none" w:sz="0" w:space="0" w:color="auto"/>
                                                                    <w:bottom w:val="none" w:sz="0" w:space="0" w:color="auto"/>
                                                                    <w:right w:val="none" w:sz="0" w:space="0" w:color="auto"/>
                                                                  </w:divBdr>
                                                                  <w:divsChild>
                                                                    <w:div w:id="2026782452">
                                                                      <w:marLeft w:val="0"/>
                                                                      <w:marRight w:val="0"/>
                                                                      <w:marTop w:val="0"/>
                                                                      <w:marBottom w:val="0"/>
                                                                      <w:divBdr>
                                                                        <w:top w:val="none" w:sz="0" w:space="0" w:color="auto"/>
                                                                        <w:left w:val="none" w:sz="0" w:space="0" w:color="auto"/>
                                                                        <w:bottom w:val="none" w:sz="0" w:space="0" w:color="auto"/>
                                                                        <w:right w:val="none" w:sz="0" w:space="0" w:color="auto"/>
                                                                      </w:divBdr>
                                                                      <w:divsChild>
                                                                        <w:div w:id="629476576">
                                                                          <w:marLeft w:val="0"/>
                                                                          <w:marRight w:val="0"/>
                                                                          <w:marTop w:val="0"/>
                                                                          <w:marBottom w:val="0"/>
                                                                          <w:divBdr>
                                                                            <w:top w:val="none" w:sz="0" w:space="0" w:color="auto"/>
                                                                            <w:left w:val="none" w:sz="0" w:space="0" w:color="auto"/>
                                                                            <w:bottom w:val="none" w:sz="0" w:space="0" w:color="auto"/>
                                                                            <w:right w:val="none" w:sz="0" w:space="0" w:color="auto"/>
                                                                          </w:divBdr>
                                                                          <w:divsChild>
                                                                            <w:div w:id="191573613">
                                                                              <w:marLeft w:val="0"/>
                                                                              <w:marRight w:val="0"/>
                                                                              <w:marTop w:val="0"/>
                                                                              <w:marBottom w:val="0"/>
                                                                              <w:divBdr>
                                                                                <w:top w:val="none" w:sz="0" w:space="0" w:color="auto"/>
                                                                                <w:left w:val="none" w:sz="0" w:space="0" w:color="auto"/>
                                                                                <w:bottom w:val="none" w:sz="0" w:space="0" w:color="auto"/>
                                                                                <w:right w:val="none" w:sz="0" w:space="0" w:color="auto"/>
                                                                              </w:divBdr>
                                                                            </w:div>
                                                                            <w:div w:id="364795276">
                                                                              <w:marLeft w:val="0"/>
                                                                              <w:marRight w:val="0"/>
                                                                              <w:marTop w:val="0"/>
                                                                              <w:marBottom w:val="0"/>
                                                                              <w:divBdr>
                                                                                <w:top w:val="none" w:sz="0" w:space="0" w:color="auto"/>
                                                                                <w:left w:val="none" w:sz="0" w:space="0" w:color="auto"/>
                                                                                <w:bottom w:val="none" w:sz="0" w:space="0" w:color="auto"/>
                                                                                <w:right w:val="none" w:sz="0" w:space="0" w:color="auto"/>
                                                                              </w:divBdr>
                                                                            </w:div>
                                                                            <w:div w:id="17957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761562">
      <w:bodyDiv w:val="1"/>
      <w:marLeft w:val="0"/>
      <w:marRight w:val="0"/>
      <w:marTop w:val="0"/>
      <w:marBottom w:val="0"/>
      <w:divBdr>
        <w:top w:val="none" w:sz="0" w:space="0" w:color="auto"/>
        <w:left w:val="none" w:sz="0" w:space="0" w:color="auto"/>
        <w:bottom w:val="none" w:sz="0" w:space="0" w:color="auto"/>
        <w:right w:val="none" w:sz="0" w:space="0" w:color="auto"/>
      </w:divBdr>
    </w:div>
    <w:div w:id="490365771">
      <w:bodyDiv w:val="1"/>
      <w:marLeft w:val="0"/>
      <w:marRight w:val="0"/>
      <w:marTop w:val="0"/>
      <w:marBottom w:val="0"/>
      <w:divBdr>
        <w:top w:val="none" w:sz="0" w:space="0" w:color="auto"/>
        <w:left w:val="none" w:sz="0" w:space="0" w:color="auto"/>
        <w:bottom w:val="none" w:sz="0" w:space="0" w:color="auto"/>
        <w:right w:val="none" w:sz="0" w:space="0" w:color="auto"/>
      </w:divBdr>
    </w:div>
    <w:div w:id="515120086">
      <w:bodyDiv w:val="1"/>
      <w:marLeft w:val="0"/>
      <w:marRight w:val="0"/>
      <w:marTop w:val="0"/>
      <w:marBottom w:val="0"/>
      <w:divBdr>
        <w:top w:val="none" w:sz="0" w:space="0" w:color="auto"/>
        <w:left w:val="none" w:sz="0" w:space="0" w:color="auto"/>
        <w:bottom w:val="none" w:sz="0" w:space="0" w:color="auto"/>
        <w:right w:val="none" w:sz="0" w:space="0" w:color="auto"/>
      </w:divBdr>
    </w:div>
    <w:div w:id="523059866">
      <w:bodyDiv w:val="1"/>
      <w:marLeft w:val="0"/>
      <w:marRight w:val="0"/>
      <w:marTop w:val="0"/>
      <w:marBottom w:val="0"/>
      <w:divBdr>
        <w:top w:val="none" w:sz="0" w:space="0" w:color="auto"/>
        <w:left w:val="none" w:sz="0" w:space="0" w:color="auto"/>
        <w:bottom w:val="none" w:sz="0" w:space="0" w:color="auto"/>
        <w:right w:val="none" w:sz="0" w:space="0" w:color="auto"/>
      </w:divBdr>
    </w:div>
    <w:div w:id="527761925">
      <w:bodyDiv w:val="1"/>
      <w:marLeft w:val="0"/>
      <w:marRight w:val="0"/>
      <w:marTop w:val="0"/>
      <w:marBottom w:val="0"/>
      <w:divBdr>
        <w:top w:val="none" w:sz="0" w:space="0" w:color="auto"/>
        <w:left w:val="none" w:sz="0" w:space="0" w:color="auto"/>
        <w:bottom w:val="none" w:sz="0" w:space="0" w:color="auto"/>
        <w:right w:val="none" w:sz="0" w:space="0" w:color="auto"/>
      </w:divBdr>
    </w:div>
    <w:div w:id="545724581">
      <w:bodyDiv w:val="1"/>
      <w:marLeft w:val="0"/>
      <w:marRight w:val="0"/>
      <w:marTop w:val="0"/>
      <w:marBottom w:val="0"/>
      <w:divBdr>
        <w:top w:val="none" w:sz="0" w:space="0" w:color="auto"/>
        <w:left w:val="none" w:sz="0" w:space="0" w:color="auto"/>
        <w:bottom w:val="none" w:sz="0" w:space="0" w:color="auto"/>
        <w:right w:val="none" w:sz="0" w:space="0" w:color="auto"/>
      </w:divBdr>
      <w:divsChild>
        <w:div w:id="2017145367">
          <w:marLeft w:val="0"/>
          <w:marRight w:val="0"/>
          <w:marTop w:val="0"/>
          <w:marBottom w:val="0"/>
          <w:divBdr>
            <w:top w:val="none" w:sz="0" w:space="0" w:color="auto"/>
            <w:left w:val="none" w:sz="0" w:space="0" w:color="auto"/>
            <w:bottom w:val="none" w:sz="0" w:space="0" w:color="auto"/>
            <w:right w:val="none" w:sz="0" w:space="0" w:color="auto"/>
          </w:divBdr>
          <w:divsChild>
            <w:div w:id="928656207">
              <w:marLeft w:val="0"/>
              <w:marRight w:val="0"/>
              <w:marTop w:val="0"/>
              <w:marBottom w:val="0"/>
              <w:divBdr>
                <w:top w:val="none" w:sz="0" w:space="0" w:color="auto"/>
                <w:left w:val="none" w:sz="0" w:space="0" w:color="auto"/>
                <w:bottom w:val="none" w:sz="0" w:space="0" w:color="auto"/>
                <w:right w:val="none" w:sz="0" w:space="0" w:color="auto"/>
              </w:divBdr>
              <w:divsChild>
                <w:div w:id="238488001">
                  <w:marLeft w:val="0"/>
                  <w:marRight w:val="0"/>
                  <w:marTop w:val="0"/>
                  <w:marBottom w:val="0"/>
                  <w:divBdr>
                    <w:top w:val="none" w:sz="0" w:space="0" w:color="auto"/>
                    <w:left w:val="none" w:sz="0" w:space="0" w:color="auto"/>
                    <w:bottom w:val="none" w:sz="0" w:space="0" w:color="auto"/>
                    <w:right w:val="none" w:sz="0" w:space="0" w:color="auto"/>
                  </w:divBdr>
                  <w:divsChild>
                    <w:div w:id="972560990">
                      <w:marLeft w:val="0"/>
                      <w:marRight w:val="0"/>
                      <w:marTop w:val="0"/>
                      <w:marBottom w:val="0"/>
                      <w:divBdr>
                        <w:top w:val="none" w:sz="0" w:space="0" w:color="auto"/>
                        <w:left w:val="none" w:sz="0" w:space="0" w:color="auto"/>
                        <w:bottom w:val="none" w:sz="0" w:space="0" w:color="auto"/>
                        <w:right w:val="none" w:sz="0" w:space="0" w:color="auto"/>
                      </w:divBdr>
                      <w:divsChild>
                        <w:div w:id="2110074705">
                          <w:marLeft w:val="0"/>
                          <w:marRight w:val="0"/>
                          <w:marTop w:val="0"/>
                          <w:marBottom w:val="0"/>
                          <w:divBdr>
                            <w:top w:val="none" w:sz="0" w:space="0" w:color="auto"/>
                            <w:left w:val="none" w:sz="0" w:space="0" w:color="auto"/>
                            <w:bottom w:val="none" w:sz="0" w:space="0" w:color="auto"/>
                            <w:right w:val="none" w:sz="0" w:space="0" w:color="auto"/>
                          </w:divBdr>
                          <w:divsChild>
                            <w:div w:id="139465712">
                              <w:marLeft w:val="0"/>
                              <w:marRight w:val="0"/>
                              <w:marTop w:val="0"/>
                              <w:marBottom w:val="0"/>
                              <w:divBdr>
                                <w:top w:val="none" w:sz="0" w:space="0" w:color="auto"/>
                                <w:left w:val="none" w:sz="0" w:space="0" w:color="auto"/>
                                <w:bottom w:val="none" w:sz="0" w:space="0" w:color="auto"/>
                                <w:right w:val="none" w:sz="0" w:space="0" w:color="auto"/>
                              </w:divBdr>
                              <w:divsChild>
                                <w:div w:id="4425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866629">
      <w:bodyDiv w:val="1"/>
      <w:marLeft w:val="0"/>
      <w:marRight w:val="0"/>
      <w:marTop w:val="0"/>
      <w:marBottom w:val="0"/>
      <w:divBdr>
        <w:top w:val="none" w:sz="0" w:space="0" w:color="auto"/>
        <w:left w:val="none" w:sz="0" w:space="0" w:color="auto"/>
        <w:bottom w:val="none" w:sz="0" w:space="0" w:color="auto"/>
        <w:right w:val="none" w:sz="0" w:space="0" w:color="auto"/>
      </w:divBdr>
    </w:div>
    <w:div w:id="579020099">
      <w:bodyDiv w:val="1"/>
      <w:marLeft w:val="0"/>
      <w:marRight w:val="0"/>
      <w:marTop w:val="0"/>
      <w:marBottom w:val="0"/>
      <w:divBdr>
        <w:top w:val="none" w:sz="0" w:space="0" w:color="auto"/>
        <w:left w:val="none" w:sz="0" w:space="0" w:color="auto"/>
        <w:bottom w:val="none" w:sz="0" w:space="0" w:color="auto"/>
        <w:right w:val="none" w:sz="0" w:space="0" w:color="auto"/>
      </w:divBdr>
    </w:div>
    <w:div w:id="624428452">
      <w:bodyDiv w:val="1"/>
      <w:marLeft w:val="0"/>
      <w:marRight w:val="0"/>
      <w:marTop w:val="0"/>
      <w:marBottom w:val="0"/>
      <w:divBdr>
        <w:top w:val="none" w:sz="0" w:space="0" w:color="auto"/>
        <w:left w:val="none" w:sz="0" w:space="0" w:color="auto"/>
        <w:bottom w:val="none" w:sz="0" w:space="0" w:color="auto"/>
        <w:right w:val="none" w:sz="0" w:space="0" w:color="auto"/>
      </w:divBdr>
    </w:div>
    <w:div w:id="684401506">
      <w:bodyDiv w:val="1"/>
      <w:marLeft w:val="0"/>
      <w:marRight w:val="0"/>
      <w:marTop w:val="0"/>
      <w:marBottom w:val="0"/>
      <w:divBdr>
        <w:top w:val="none" w:sz="0" w:space="0" w:color="auto"/>
        <w:left w:val="none" w:sz="0" w:space="0" w:color="auto"/>
        <w:bottom w:val="none" w:sz="0" w:space="0" w:color="auto"/>
        <w:right w:val="none" w:sz="0" w:space="0" w:color="auto"/>
      </w:divBdr>
    </w:div>
    <w:div w:id="697899008">
      <w:bodyDiv w:val="1"/>
      <w:marLeft w:val="0"/>
      <w:marRight w:val="0"/>
      <w:marTop w:val="0"/>
      <w:marBottom w:val="0"/>
      <w:divBdr>
        <w:top w:val="none" w:sz="0" w:space="0" w:color="auto"/>
        <w:left w:val="none" w:sz="0" w:space="0" w:color="auto"/>
        <w:bottom w:val="none" w:sz="0" w:space="0" w:color="auto"/>
        <w:right w:val="none" w:sz="0" w:space="0" w:color="auto"/>
      </w:divBdr>
    </w:div>
    <w:div w:id="717820537">
      <w:bodyDiv w:val="1"/>
      <w:marLeft w:val="0"/>
      <w:marRight w:val="0"/>
      <w:marTop w:val="0"/>
      <w:marBottom w:val="0"/>
      <w:divBdr>
        <w:top w:val="none" w:sz="0" w:space="0" w:color="auto"/>
        <w:left w:val="none" w:sz="0" w:space="0" w:color="auto"/>
        <w:bottom w:val="none" w:sz="0" w:space="0" w:color="auto"/>
        <w:right w:val="none" w:sz="0" w:space="0" w:color="auto"/>
      </w:divBdr>
      <w:divsChild>
        <w:div w:id="1102188369">
          <w:marLeft w:val="0"/>
          <w:marRight w:val="0"/>
          <w:marTop w:val="0"/>
          <w:marBottom w:val="0"/>
          <w:divBdr>
            <w:top w:val="none" w:sz="0" w:space="0" w:color="auto"/>
            <w:left w:val="none" w:sz="0" w:space="0" w:color="auto"/>
            <w:bottom w:val="none" w:sz="0" w:space="0" w:color="auto"/>
            <w:right w:val="none" w:sz="0" w:space="0" w:color="auto"/>
          </w:divBdr>
          <w:divsChild>
            <w:div w:id="2073113605">
              <w:marLeft w:val="0"/>
              <w:marRight w:val="0"/>
              <w:marTop w:val="0"/>
              <w:marBottom w:val="0"/>
              <w:divBdr>
                <w:top w:val="none" w:sz="0" w:space="0" w:color="auto"/>
                <w:left w:val="none" w:sz="0" w:space="0" w:color="auto"/>
                <w:bottom w:val="none" w:sz="0" w:space="0" w:color="auto"/>
                <w:right w:val="none" w:sz="0" w:space="0" w:color="auto"/>
              </w:divBdr>
              <w:divsChild>
                <w:div w:id="1568027585">
                  <w:marLeft w:val="0"/>
                  <w:marRight w:val="0"/>
                  <w:marTop w:val="0"/>
                  <w:marBottom w:val="0"/>
                  <w:divBdr>
                    <w:top w:val="none" w:sz="0" w:space="0" w:color="auto"/>
                    <w:left w:val="none" w:sz="0" w:space="0" w:color="auto"/>
                    <w:bottom w:val="none" w:sz="0" w:space="0" w:color="auto"/>
                    <w:right w:val="none" w:sz="0" w:space="0" w:color="auto"/>
                  </w:divBdr>
                  <w:divsChild>
                    <w:div w:id="10474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728330">
      <w:bodyDiv w:val="1"/>
      <w:marLeft w:val="0"/>
      <w:marRight w:val="0"/>
      <w:marTop w:val="0"/>
      <w:marBottom w:val="0"/>
      <w:divBdr>
        <w:top w:val="none" w:sz="0" w:space="0" w:color="auto"/>
        <w:left w:val="none" w:sz="0" w:space="0" w:color="auto"/>
        <w:bottom w:val="none" w:sz="0" w:space="0" w:color="auto"/>
        <w:right w:val="none" w:sz="0" w:space="0" w:color="auto"/>
      </w:divBdr>
    </w:div>
    <w:div w:id="742872865">
      <w:bodyDiv w:val="1"/>
      <w:marLeft w:val="0"/>
      <w:marRight w:val="0"/>
      <w:marTop w:val="0"/>
      <w:marBottom w:val="0"/>
      <w:divBdr>
        <w:top w:val="none" w:sz="0" w:space="0" w:color="auto"/>
        <w:left w:val="none" w:sz="0" w:space="0" w:color="auto"/>
        <w:bottom w:val="none" w:sz="0" w:space="0" w:color="auto"/>
        <w:right w:val="none" w:sz="0" w:space="0" w:color="auto"/>
      </w:divBdr>
    </w:div>
    <w:div w:id="755246227">
      <w:bodyDiv w:val="1"/>
      <w:marLeft w:val="0"/>
      <w:marRight w:val="0"/>
      <w:marTop w:val="0"/>
      <w:marBottom w:val="0"/>
      <w:divBdr>
        <w:top w:val="none" w:sz="0" w:space="0" w:color="auto"/>
        <w:left w:val="none" w:sz="0" w:space="0" w:color="auto"/>
        <w:bottom w:val="none" w:sz="0" w:space="0" w:color="auto"/>
        <w:right w:val="none" w:sz="0" w:space="0" w:color="auto"/>
      </w:divBdr>
    </w:div>
    <w:div w:id="756513798">
      <w:bodyDiv w:val="1"/>
      <w:marLeft w:val="0"/>
      <w:marRight w:val="0"/>
      <w:marTop w:val="0"/>
      <w:marBottom w:val="0"/>
      <w:divBdr>
        <w:top w:val="none" w:sz="0" w:space="0" w:color="auto"/>
        <w:left w:val="none" w:sz="0" w:space="0" w:color="auto"/>
        <w:bottom w:val="none" w:sz="0" w:space="0" w:color="auto"/>
        <w:right w:val="none" w:sz="0" w:space="0" w:color="auto"/>
      </w:divBdr>
    </w:div>
    <w:div w:id="758645715">
      <w:bodyDiv w:val="1"/>
      <w:marLeft w:val="0"/>
      <w:marRight w:val="0"/>
      <w:marTop w:val="0"/>
      <w:marBottom w:val="0"/>
      <w:divBdr>
        <w:top w:val="none" w:sz="0" w:space="0" w:color="auto"/>
        <w:left w:val="none" w:sz="0" w:space="0" w:color="auto"/>
        <w:bottom w:val="none" w:sz="0" w:space="0" w:color="auto"/>
        <w:right w:val="none" w:sz="0" w:space="0" w:color="auto"/>
      </w:divBdr>
    </w:div>
    <w:div w:id="760415427">
      <w:bodyDiv w:val="1"/>
      <w:marLeft w:val="0"/>
      <w:marRight w:val="0"/>
      <w:marTop w:val="0"/>
      <w:marBottom w:val="0"/>
      <w:divBdr>
        <w:top w:val="none" w:sz="0" w:space="0" w:color="auto"/>
        <w:left w:val="none" w:sz="0" w:space="0" w:color="auto"/>
        <w:bottom w:val="none" w:sz="0" w:space="0" w:color="auto"/>
        <w:right w:val="none" w:sz="0" w:space="0" w:color="auto"/>
      </w:divBdr>
    </w:div>
    <w:div w:id="769736342">
      <w:bodyDiv w:val="1"/>
      <w:marLeft w:val="0"/>
      <w:marRight w:val="0"/>
      <w:marTop w:val="0"/>
      <w:marBottom w:val="0"/>
      <w:divBdr>
        <w:top w:val="none" w:sz="0" w:space="0" w:color="auto"/>
        <w:left w:val="none" w:sz="0" w:space="0" w:color="auto"/>
        <w:bottom w:val="none" w:sz="0" w:space="0" w:color="auto"/>
        <w:right w:val="none" w:sz="0" w:space="0" w:color="auto"/>
      </w:divBdr>
    </w:div>
    <w:div w:id="783966069">
      <w:bodyDiv w:val="1"/>
      <w:marLeft w:val="0"/>
      <w:marRight w:val="0"/>
      <w:marTop w:val="0"/>
      <w:marBottom w:val="0"/>
      <w:divBdr>
        <w:top w:val="none" w:sz="0" w:space="0" w:color="auto"/>
        <w:left w:val="none" w:sz="0" w:space="0" w:color="auto"/>
        <w:bottom w:val="none" w:sz="0" w:space="0" w:color="auto"/>
        <w:right w:val="none" w:sz="0" w:space="0" w:color="auto"/>
      </w:divBdr>
    </w:div>
    <w:div w:id="790174354">
      <w:bodyDiv w:val="1"/>
      <w:marLeft w:val="0"/>
      <w:marRight w:val="0"/>
      <w:marTop w:val="0"/>
      <w:marBottom w:val="0"/>
      <w:divBdr>
        <w:top w:val="none" w:sz="0" w:space="0" w:color="auto"/>
        <w:left w:val="none" w:sz="0" w:space="0" w:color="auto"/>
        <w:bottom w:val="none" w:sz="0" w:space="0" w:color="auto"/>
        <w:right w:val="none" w:sz="0" w:space="0" w:color="auto"/>
      </w:divBdr>
      <w:divsChild>
        <w:div w:id="358434021">
          <w:marLeft w:val="0"/>
          <w:marRight w:val="0"/>
          <w:marTop w:val="0"/>
          <w:marBottom w:val="0"/>
          <w:divBdr>
            <w:top w:val="none" w:sz="0" w:space="0" w:color="auto"/>
            <w:left w:val="none" w:sz="0" w:space="0" w:color="auto"/>
            <w:bottom w:val="none" w:sz="0" w:space="0" w:color="auto"/>
            <w:right w:val="none" w:sz="0" w:space="0" w:color="auto"/>
          </w:divBdr>
          <w:divsChild>
            <w:div w:id="1583635830">
              <w:marLeft w:val="0"/>
              <w:marRight w:val="0"/>
              <w:marTop w:val="0"/>
              <w:marBottom w:val="0"/>
              <w:divBdr>
                <w:top w:val="none" w:sz="0" w:space="0" w:color="auto"/>
                <w:left w:val="none" w:sz="0" w:space="0" w:color="auto"/>
                <w:bottom w:val="none" w:sz="0" w:space="0" w:color="auto"/>
                <w:right w:val="none" w:sz="0" w:space="0" w:color="auto"/>
              </w:divBdr>
              <w:divsChild>
                <w:div w:id="1416632451">
                  <w:marLeft w:val="0"/>
                  <w:marRight w:val="0"/>
                  <w:marTop w:val="0"/>
                  <w:marBottom w:val="0"/>
                  <w:divBdr>
                    <w:top w:val="none" w:sz="0" w:space="0" w:color="auto"/>
                    <w:left w:val="none" w:sz="0" w:space="0" w:color="auto"/>
                    <w:bottom w:val="none" w:sz="0" w:space="0" w:color="auto"/>
                    <w:right w:val="none" w:sz="0" w:space="0" w:color="auto"/>
                  </w:divBdr>
                  <w:divsChild>
                    <w:div w:id="6679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7103">
      <w:bodyDiv w:val="1"/>
      <w:marLeft w:val="0"/>
      <w:marRight w:val="0"/>
      <w:marTop w:val="0"/>
      <w:marBottom w:val="0"/>
      <w:divBdr>
        <w:top w:val="none" w:sz="0" w:space="0" w:color="auto"/>
        <w:left w:val="none" w:sz="0" w:space="0" w:color="auto"/>
        <w:bottom w:val="none" w:sz="0" w:space="0" w:color="auto"/>
        <w:right w:val="none" w:sz="0" w:space="0" w:color="auto"/>
      </w:divBdr>
    </w:div>
    <w:div w:id="842159129">
      <w:bodyDiv w:val="1"/>
      <w:marLeft w:val="0"/>
      <w:marRight w:val="0"/>
      <w:marTop w:val="0"/>
      <w:marBottom w:val="0"/>
      <w:divBdr>
        <w:top w:val="none" w:sz="0" w:space="0" w:color="auto"/>
        <w:left w:val="none" w:sz="0" w:space="0" w:color="auto"/>
        <w:bottom w:val="none" w:sz="0" w:space="0" w:color="auto"/>
        <w:right w:val="none" w:sz="0" w:space="0" w:color="auto"/>
      </w:divBdr>
    </w:div>
    <w:div w:id="856426498">
      <w:bodyDiv w:val="1"/>
      <w:marLeft w:val="0"/>
      <w:marRight w:val="0"/>
      <w:marTop w:val="0"/>
      <w:marBottom w:val="0"/>
      <w:divBdr>
        <w:top w:val="none" w:sz="0" w:space="0" w:color="auto"/>
        <w:left w:val="none" w:sz="0" w:space="0" w:color="auto"/>
        <w:bottom w:val="none" w:sz="0" w:space="0" w:color="auto"/>
        <w:right w:val="none" w:sz="0" w:space="0" w:color="auto"/>
      </w:divBdr>
      <w:divsChild>
        <w:div w:id="406539576">
          <w:marLeft w:val="0"/>
          <w:marRight w:val="0"/>
          <w:marTop w:val="0"/>
          <w:marBottom w:val="0"/>
          <w:divBdr>
            <w:top w:val="none" w:sz="0" w:space="0" w:color="auto"/>
            <w:left w:val="none" w:sz="0" w:space="0" w:color="auto"/>
            <w:bottom w:val="none" w:sz="0" w:space="0" w:color="auto"/>
            <w:right w:val="none" w:sz="0" w:space="0" w:color="auto"/>
          </w:divBdr>
        </w:div>
        <w:div w:id="95102877">
          <w:marLeft w:val="0"/>
          <w:marRight w:val="0"/>
          <w:marTop w:val="0"/>
          <w:marBottom w:val="0"/>
          <w:divBdr>
            <w:top w:val="none" w:sz="0" w:space="0" w:color="auto"/>
            <w:left w:val="none" w:sz="0" w:space="0" w:color="auto"/>
            <w:bottom w:val="none" w:sz="0" w:space="0" w:color="auto"/>
            <w:right w:val="none" w:sz="0" w:space="0" w:color="auto"/>
          </w:divBdr>
        </w:div>
      </w:divsChild>
    </w:div>
    <w:div w:id="870070122">
      <w:bodyDiv w:val="1"/>
      <w:marLeft w:val="0"/>
      <w:marRight w:val="0"/>
      <w:marTop w:val="0"/>
      <w:marBottom w:val="0"/>
      <w:divBdr>
        <w:top w:val="none" w:sz="0" w:space="0" w:color="auto"/>
        <w:left w:val="none" w:sz="0" w:space="0" w:color="auto"/>
        <w:bottom w:val="none" w:sz="0" w:space="0" w:color="auto"/>
        <w:right w:val="none" w:sz="0" w:space="0" w:color="auto"/>
      </w:divBdr>
    </w:div>
    <w:div w:id="897477207">
      <w:bodyDiv w:val="1"/>
      <w:marLeft w:val="0"/>
      <w:marRight w:val="0"/>
      <w:marTop w:val="0"/>
      <w:marBottom w:val="0"/>
      <w:divBdr>
        <w:top w:val="none" w:sz="0" w:space="0" w:color="auto"/>
        <w:left w:val="none" w:sz="0" w:space="0" w:color="auto"/>
        <w:bottom w:val="none" w:sz="0" w:space="0" w:color="auto"/>
        <w:right w:val="none" w:sz="0" w:space="0" w:color="auto"/>
      </w:divBdr>
    </w:div>
    <w:div w:id="912817360">
      <w:bodyDiv w:val="1"/>
      <w:marLeft w:val="0"/>
      <w:marRight w:val="0"/>
      <w:marTop w:val="0"/>
      <w:marBottom w:val="0"/>
      <w:divBdr>
        <w:top w:val="none" w:sz="0" w:space="0" w:color="auto"/>
        <w:left w:val="none" w:sz="0" w:space="0" w:color="auto"/>
        <w:bottom w:val="none" w:sz="0" w:space="0" w:color="auto"/>
        <w:right w:val="none" w:sz="0" w:space="0" w:color="auto"/>
      </w:divBdr>
    </w:div>
    <w:div w:id="935601540">
      <w:bodyDiv w:val="1"/>
      <w:marLeft w:val="0"/>
      <w:marRight w:val="0"/>
      <w:marTop w:val="0"/>
      <w:marBottom w:val="0"/>
      <w:divBdr>
        <w:top w:val="none" w:sz="0" w:space="0" w:color="auto"/>
        <w:left w:val="none" w:sz="0" w:space="0" w:color="auto"/>
        <w:bottom w:val="none" w:sz="0" w:space="0" w:color="auto"/>
        <w:right w:val="none" w:sz="0" w:space="0" w:color="auto"/>
      </w:divBdr>
    </w:div>
    <w:div w:id="958032099">
      <w:bodyDiv w:val="1"/>
      <w:marLeft w:val="0"/>
      <w:marRight w:val="0"/>
      <w:marTop w:val="0"/>
      <w:marBottom w:val="0"/>
      <w:divBdr>
        <w:top w:val="none" w:sz="0" w:space="0" w:color="auto"/>
        <w:left w:val="none" w:sz="0" w:space="0" w:color="auto"/>
        <w:bottom w:val="none" w:sz="0" w:space="0" w:color="auto"/>
        <w:right w:val="none" w:sz="0" w:space="0" w:color="auto"/>
      </w:divBdr>
    </w:div>
    <w:div w:id="958880971">
      <w:bodyDiv w:val="1"/>
      <w:marLeft w:val="0"/>
      <w:marRight w:val="0"/>
      <w:marTop w:val="0"/>
      <w:marBottom w:val="0"/>
      <w:divBdr>
        <w:top w:val="none" w:sz="0" w:space="0" w:color="auto"/>
        <w:left w:val="none" w:sz="0" w:space="0" w:color="auto"/>
        <w:bottom w:val="none" w:sz="0" w:space="0" w:color="auto"/>
        <w:right w:val="none" w:sz="0" w:space="0" w:color="auto"/>
      </w:divBdr>
      <w:divsChild>
        <w:div w:id="1200434234">
          <w:marLeft w:val="0"/>
          <w:marRight w:val="0"/>
          <w:marTop w:val="0"/>
          <w:marBottom w:val="0"/>
          <w:divBdr>
            <w:top w:val="none" w:sz="0" w:space="0" w:color="auto"/>
            <w:left w:val="none" w:sz="0" w:space="0" w:color="auto"/>
            <w:bottom w:val="none" w:sz="0" w:space="0" w:color="auto"/>
            <w:right w:val="none" w:sz="0" w:space="0" w:color="auto"/>
          </w:divBdr>
          <w:divsChild>
            <w:div w:id="1566141299">
              <w:marLeft w:val="0"/>
              <w:marRight w:val="0"/>
              <w:marTop w:val="0"/>
              <w:marBottom w:val="0"/>
              <w:divBdr>
                <w:top w:val="none" w:sz="0" w:space="0" w:color="auto"/>
                <w:left w:val="none" w:sz="0" w:space="0" w:color="auto"/>
                <w:bottom w:val="none" w:sz="0" w:space="0" w:color="auto"/>
                <w:right w:val="none" w:sz="0" w:space="0" w:color="auto"/>
              </w:divBdr>
              <w:divsChild>
                <w:div w:id="5803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9761">
      <w:bodyDiv w:val="1"/>
      <w:marLeft w:val="0"/>
      <w:marRight w:val="0"/>
      <w:marTop w:val="0"/>
      <w:marBottom w:val="0"/>
      <w:divBdr>
        <w:top w:val="none" w:sz="0" w:space="0" w:color="auto"/>
        <w:left w:val="none" w:sz="0" w:space="0" w:color="auto"/>
        <w:bottom w:val="none" w:sz="0" w:space="0" w:color="auto"/>
        <w:right w:val="none" w:sz="0" w:space="0" w:color="auto"/>
      </w:divBdr>
      <w:divsChild>
        <w:div w:id="393243083">
          <w:marLeft w:val="0"/>
          <w:marRight w:val="0"/>
          <w:marTop w:val="0"/>
          <w:marBottom w:val="0"/>
          <w:divBdr>
            <w:top w:val="none" w:sz="0" w:space="0" w:color="auto"/>
            <w:left w:val="none" w:sz="0" w:space="0" w:color="auto"/>
            <w:bottom w:val="none" w:sz="0" w:space="0" w:color="auto"/>
            <w:right w:val="none" w:sz="0" w:space="0" w:color="auto"/>
          </w:divBdr>
          <w:divsChild>
            <w:div w:id="868221632">
              <w:marLeft w:val="0"/>
              <w:marRight w:val="0"/>
              <w:marTop w:val="0"/>
              <w:marBottom w:val="0"/>
              <w:divBdr>
                <w:top w:val="none" w:sz="0" w:space="0" w:color="auto"/>
                <w:left w:val="none" w:sz="0" w:space="0" w:color="auto"/>
                <w:bottom w:val="none" w:sz="0" w:space="0" w:color="auto"/>
                <w:right w:val="none" w:sz="0" w:space="0" w:color="auto"/>
              </w:divBdr>
              <w:divsChild>
                <w:div w:id="488712867">
                  <w:marLeft w:val="0"/>
                  <w:marRight w:val="0"/>
                  <w:marTop w:val="0"/>
                  <w:marBottom w:val="0"/>
                  <w:divBdr>
                    <w:top w:val="none" w:sz="0" w:space="0" w:color="auto"/>
                    <w:left w:val="none" w:sz="0" w:space="0" w:color="auto"/>
                    <w:bottom w:val="none" w:sz="0" w:space="0" w:color="auto"/>
                    <w:right w:val="none" w:sz="0" w:space="0" w:color="auto"/>
                  </w:divBdr>
                  <w:divsChild>
                    <w:div w:id="16572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4290">
      <w:bodyDiv w:val="1"/>
      <w:marLeft w:val="0"/>
      <w:marRight w:val="0"/>
      <w:marTop w:val="0"/>
      <w:marBottom w:val="0"/>
      <w:divBdr>
        <w:top w:val="none" w:sz="0" w:space="0" w:color="auto"/>
        <w:left w:val="none" w:sz="0" w:space="0" w:color="auto"/>
        <w:bottom w:val="none" w:sz="0" w:space="0" w:color="auto"/>
        <w:right w:val="none" w:sz="0" w:space="0" w:color="auto"/>
      </w:divBdr>
    </w:div>
    <w:div w:id="1031221051">
      <w:bodyDiv w:val="1"/>
      <w:marLeft w:val="0"/>
      <w:marRight w:val="0"/>
      <w:marTop w:val="0"/>
      <w:marBottom w:val="0"/>
      <w:divBdr>
        <w:top w:val="none" w:sz="0" w:space="0" w:color="auto"/>
        <w:left w:val="none" w:sz="0" w:space="0" w:color="auto"/>
        <w:bottom w:val="none" w:sz="0" w:space="0" w:color="auto"/>
        <w:right w:val="none" w:sz="0" w:space="0" w:color="auto"/>
      </w:divBdr>
      <w:divsChild>
        <w:div w:id="97337710">
          <w:marLeft w:val="0"/>
          <w:marRight w:val="0"/>
          <w:marTop w:val="0"/>
          <w:marBottom w:val="0"/>
          <w:divBdr>
            <w:top w:val="none" w:sz="0" w:space="0" w:color="auto"/>
            <w:left w:val="none" w:sz="0" w:space="0" w:color="auto"/>
            <w:bottom w:val="none" w:sz="0" w:space="0" w:color="auto"/>
            <w:right w:val="none" w:sz="0" w:space="0" w:color="auto"/>
          </w:divBdr>
        </w:div>
      </w:divsChild>
    </w:div>
    <w:div w:id="1035427166">
      <w:bodyDiv w:val="1"/>
      <w:marLeft w:val="0"/>
      <w:marRight w:val="0"/>
      <w:marTop w:val="0"/>
      <w:marBottom w:val="0"/>
      <w:divBdr>
        <w:top w:val="none" w:sz="0" w:space="0" w:color="auto"/>
        <w:left w:val="none" w:sz="0" w:space="0" w:color="auto"/>
        <w:bottom w:val="none" w:sz="0" w:space="0" w:color="auto"/>
        <w:right w:val="none" w:sz="0" w:space="0" w:color="auto"/>
      </w:divBdr>
    </w:div>
    <w:div w:id="1040395038">
      <w:bodyDiv w:val="1"/>
      <w:marLeft w:val="0"/>
      <w:marRight w:val="0"/>
      <w:marTop w:val="0"/>
      <w:marBottom w:val="0"/>
      <w:divBdr>
        <w:top w:val="none" w:sz="0" w:space="0" w:color="auto"/>
        <w:left w:val="none" w:sz="0" w:space="0" w:color="auto"/>
        <w:bottom w:val="none" w:sz="0" w:space="0" w:color="auto"/>
        <w:right w:val="none" w:sz="0" w:space="0" w:color="auto"/>
      </w:divBdr>
    </w:div>
    <w:div w:id="1061635372">
      <w:bodyDiv w:val="1"/>
      <w:marLeft w:val="0"/>
      <w:marRight w:val="0"/>
      <w:marTop w:val="0"/>
      <w:marBottom w:val="0"/>
      <w:divBdr>
        <w:top w:val="none" w:sz="0" w:space="0" w:color="auto"/>
        <w:left w:val="none" w:sz="0" w:space="0" w:color="auto"/>
        <w:bottom w:val="none" w:sz="0" w:space="0" w:color="auto"/>
        <w:right w:val="none" w:sz="0" w:space="0" w:color="auto"/>
      </w:divBdr>
      <w:divsChild>
        <w:div w:id="630592064">
          <w:marLeft w:val="0"/>
          <w:marRight w:val="0"/>
          <w:marTop w:val="0"/>
          <w:marBottom w:val="0"/>
          <w:divBdr>
            <w:top w:val="none" w:sz="0" w:space="0" w:color="auto"/>
            <w:left w:val="none" w:sz="0" w:space="0" w:color="auto"/>
            <w:bottom w:val="none" w:sz="0" w:space="0" w:color="auto"/>
            <w:right w:val="none" w:sz="0" w:space="0" w:color="auto"/>
          </w:divBdr>
          <w:divsChild>
            <w:div w:id="71851612">
              <w:marLeft w:val="0"/>
              <w:marRight w:val="0"/>
              <w:marTop w:val="0"/>
              <w:marBottom w:val="0"/>
              <w:divBdr>
                <w:top w:val="none" w:sz="0" w:space="0" w:color="auto"/>
                <w:left w:val="none" w:sz="0" w:space="0" w:color="auto"/>
                <w:bottom w:val="none" w:sz="0" w:space="0" w:color="auto"/>
                <w:right w:val="none" w:sz="0" w:space="0" w:color="auto"/>
              </w:divBdr>
              <w:divsChild>
                <w:div w:id="8465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7667">
      <w:bodyDiv w:val="1"/>
      <w:marLeft w:val="0"/>
      <w:marRight w:val="0"/>
      <w:marTop w:val="0"/>
      <w:marBottom w:val="0"/>
      <w:divBdr>
        <w:top w:val="none" w:sz="0" w:space="0" w:color="auto"/>
        <w:left w:val="none" w:sz="0" w:space="0" w:color="auto"/>
        <w:bottom w:val="none" w:sz="0" w:space="0" w:color="auto"/>
        <w:right w:val="none" w:sz="0" w:space="0" w:color="auto"/>
      </w:divBdr>
      <w:divsChild>
        <w:div w:id="1560167564">
          <w:marLeft w:val="0"/>
          <w:marRight w:val="0"/>
          <w:marTop w:val="0"/>
          <w:marBottom w:val="0"/>
          <w:divBdr>
            <w:top w:val="none" w:sz="0" w:space="0" w:color="auto"/>
            <w:left w:val="none" w:sz="0" w:space="0" w:color="auto"/>
            <w:bottom w:val="none" w:sz="0" w:space="0" w:color="auto"/>
            <w:right w:val="none" w:sz="0" w:space="0" w:color="auto"/>
          </w:divBdr>
          <w:divsChild>
            <w:div w:id="907885201">
              <w:marLeft w:val="0"/>
              <w:marRight w:val="0"/>
              <w:marTop w:val="0"/>
              <w:marBottom w:val="0"/>
              <w:divBdr>
                <w:top w:val="none" w:sz="0" w:space="0" w:color="auto"/>
                <w:left w:val="none" w:sz="0" w:space="0" w:color="auto"/>
                <w:bottom w:val="none" w:sz="0" w:space="0" w:color="auto"/>
                <w:right w:val="none" w:sz="0" w:space="0" w:color="auto"/>
              </w:divBdr>
              <w:divsChild>
                <w:div w:id="209460991">
                  <w:marLeft w:val="0"/>
                  <w:marRight w:val="0"/>
                  <w:marTop w:val="0"/>
                  <w:marBottom w:val="0"/>
                  <w:divBdr>
                    <w:top w:val="none" w:sz="0" w:space="0" w:color="auto"/>
                    <w:left w:val="none" w:sz="0" w:space="0" w:color="auto"/>
                    <w:bottom w:val="none" w:sz="0" w:space="0" w:color="auto"/>
                    <w:right w:val="none" w:sz="0" w:space="0" w:color="auto"/>
                  </w:divBdr>
                  <w:divsChild>
                    <w:div w:id="947274960">
                      <w:marLeft w:val="2325"/>
                      <w:marRight w:val="0"/>
                      <w:marTop w:val="0"/>
                      <w:marBottom w:val="0"/>
                      <w:divBdr>
                        <w:top w:val="none" w:sz="0" w:space="0" w:color="auto"/>
                        <w:left w:val="none" w:sz="0" w:space="0" w:color="auto"/>
                        <w:bottom w:val="none" w:sz="0" w:space="0" w:color="auto"/>
                        <w:right w:val="none" w:sz="0" w:space="0" w:color="auto"/>
                      </w:divBdr>
                      <w:divsChild>
                        <w:div w:id="817458478">
                          <w:marLeft w:val="0"/>
                          <w:marRight w:val="0"/>
                          <w:marTop w:val="0"/>
                          <w:marBottom w:val="0"/>
                          <w:divBdr>
                            <w:top w:val="none" w:sz="0" w:space="0" w:color="auto"/>
                            <w:left w:val="none" w:sz="0" w:space="0" w:color="auto"/>
                            <w:bottom w:val="none" w:sz="0" w:space="0" w:color="auto"/>
                            <w:right w:val="none" w:sz="0" w:space="0" w:color="auto"/>
                          </w:divBdr>
                          <w:divsChild>
                            <w:div w:id="1681274665">
                              <w:marLeft w:val="0"/>
                              <w:marRight w:val="0"/>
                              <w:marTop w:val="0"/>
                              <w:marBottom w:val="0"/>
                              <w:divBdr>
                                <w:top w:val="none" w:sz="0" w:space="0" w:color="auto"/>
                                <w:left w:val="none" w:sz="0" w:space="0" w:color="auto"/>
                                <w:bottom w:val="none" w:sz="0" w:space="0" w:color="auto"/>
                                <w:right w:val="none" w:sz="0" w:space="0" w:color="auto"/>
                              </w:divBdr>
                              <w:divsChild>
                                <w:div w:id="1587571539">
                                  <w:marLeft w:val="0"/>
                                  <w:marRight w:val="0"/>
                                  <w:marTop w:val="0"/>
                                  <w:marBottom w:val="0"/>
                                  <w:divBdr>
                                    <w:top w:val="none" w:sz="0" w:space="0" w:color="auto"/>
                                    <w:left w:val="none" w:sz="0" w:space="0" w:color="auto"/>
                                    <w:bottom w:val="none" w:sz="0" w:space="0" w:color="auto"/>
                                    <w:right w:val="none" w:sz="0" w:space="0" w:color="auto"/>
                                  </w:divBdr>
                                  <w:divsChild>
                                    <w:div w:id="88964706">
                                      <w:marLeft w:val="0"/>
                                      <w:marRight w:val="0"/>
                                      <w:marTop w:val="0"/>
                                      <w:marBottom w:val="0"/>
                                      <w:divBdr>
                                        <w:top w:val="none" w:sz="0" w:space="0" w:color="auto"/>
                                        <w:left w:val="none" w:sz="0" w:space="0" w:color="auto"/>
                                        <w:bottom w:val="none" w:sz="0" w:space="0" w:color="auto"/>
                                        <w:right w:val="none" w:sz="0" w:space="0" w:color="auto"/>
                                      </w:divBdr>
                                      <w:divsChild>
                                        <w:div w:id="2071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054307">
      <w:bodyDiv w:val="1"/>
      <w:marLeft w:val="0"/>
      <w:marRight w:val="0"/>
      <w:marTop w:val="0"/>
      <w:marBottom w:val="0"/>
      <w:divBdr>
        <w:top w:val="none" w:sz="0" w:space="0" w:color="auto"/>
        <w:left w:val="none" w:sz="0" w:space="0" w:color="auto"/>
        <w:bottom w:val="none" w:sz="0" w:space="0" w:color="auto"/>
        <w:right w:val="none" w:sz="0" w:space="0" w:color="auto"/>
      </w:divBdr>
    </w:div>
    <w:div w:id="1085111432">
      <w:bodyDiv w:val="1"/>
      <w:marLeft w:val="0"/>
      <w:marRight w:val="0"/>
      <w:marTop w:val="0"/>
      <w:marBottom w:val="0"/>
      <w:divBdr>
        <w:top w:val="none" w:sz="0" w:space="0" w:color="auto"/>
        <w:left w:val="none" w:sz="0" w:space="0" w:color="auto"/>
        <w:bottom w:val="none" w:sz="0" w:space="0" w:color="auto"/>
        <w:right w:val="none" w:sz="0" w:space="0" w:color="auto"/>
      </w:divBdr>
    </w:div>
    <w:div w:id="1101950685">
      <w:bodyDiv w:val="1"/>
      <w:marLeft w:val="0"/>
      <w:marRight w:val="0"/>
      <w:marTop w:val="0"/>
      <w:marBottom w:val="0"/>
      <w:divBdr>
        <w:top w:val="none" w:sz="0" w:space="0" w:color="auto"/>
        <w:left w:val="none" w:sz="0" w:space="0" w:color="auto"/>
        <w:bottom w:val="none" w:sz="0" w:space="0" w:color="auto"/>
        <w:right w:val="none" w:sz="0" w:space="0" w:color="auto"/>
      </w:divBdr>
    </w:div>
    <w:div w:id="1168250635">
      <w:bodyDiv w:val="1"/>
      <w:marLeft w:val="0"/>
      <w:marRight w:val="0"/>
      <w:marTop w:val="0"/>
      <w:marBottom w:val="0"/>
      <w:divBdr>
        <w:top w:val="none" w:sz="0" w:space="0" w:color="auto"/>
        <w:left w:val="none" w:sz="0" w:space="0" w:color="auto"/>
        <w:bottom w:val="none" w:sz="0" w:space="0" w:color="auto"/>
        <w:right w:val="none" w:sz="0" w:space="0" w:color="auto"/>
      </w:divBdr>
    </w:div>
    <w:div w:id="1172792048">
      <w:bodyDiv w:val="1"/>
      <w:marLeft w:val="0"/>
      <w:marRight w:val="0"/>
      <w:marTop w:val="0"/>
      <w:marBottom w:val="0"/>
      <w:divBdr>
        <w:top w:val="none" w:sz="0" w:space="0" w:color="auto"/>
        <w:left w:val="none" w:sz="0" w:space="0" w:color="auto"/>
        <w:bottom w:val="none" w:sz="0" w:space="0" w:color="auto"/>
        <w:right w:val="none" w:sz="0" w:space="0" w:color="auto"/>
      </w:divBdr>
    </w:div>
    <w:div w:id="1195773699">
      <w:bodyDiv w:val="1"/>
      <w:marLeft w:val="0"/>
      <w:marRight w:val="0"/>
      <w:marTop w:val="0"/>
      <w:marBottom w:val="0"/>
      <w:divBdr>
        <w:top w:val="none" w:sz="0" w:space="0" w:color="auto"/>
        <w:left w:val="none" w:sz="0" w:space="0" w:color="auto"/>
        <w:bottom w:val="none" w:sz="0" w:space="0" w:color="auto"/>
        <w:right w:val="none" w:sz="0" w:space="0" w:color="auto"/>
      </w:divBdr>
    </w:div>
    <w:div w:id="1211309324">
      <w:bodyDiv w:val="1"/>
      <w:marLeft w:val="0"/>
      <w:marRight w:val="0"/>
      <w:marTop w:val="0"/>
      <w:marBottom w:val="0"/>
      <w:divBdr>
        <w:top w:val="none" w:sz="0" w:space="0" w:color="auto"/>
        <w:left w:val="none" w:sz="0" w:space="0" w:color="auto"/>
        <w:bottom w:val="none" w:sz="0" w:space="0" w:color="auto"/>
        <w:right w:val="none" w:sz="0" w:space="0" w:color="auto"/>
      </w:divBdr>
    </w:div>
    <w:div w:id="1269118810">
      <w:bodyDiv w:val="1"/>
      <w:marLeft w:val="0"/>
      <w:marRight w:val="0"/>
      <w:marTop w:val="0"/>
      <w:marBottom w:val="0"/>
      <w:divBdr>
        <w:top w:val="none" w:sz="0" w:space="0" w:color="auto"/>
        <w:left w:val="none" w:sz="0" w:space="0" w:color="auto"/>
        <w:bottom w:val="none" w:sz="0" w:space="0" w:color="auto"/>
        <w:right w:val="none" w:sz="0" w:space="0" w:color="auto"/>
      </w:divBdr>
      <w:divsChild>
        <w:div w:id="1742602969">
          <w:marLeft w:val="0"/>
          <w:marRight w:val="0"/>
          <w:marTop w:val="0"/>
          <w:marBottom w:val="0"/>
          <w:divBdr>
            <w:top w:val="none" w:sz="0" w:space="0" w:color="auto"/>
            <w:left w:val="none" w:sz="0" w:space="0" w:color="auto"/>
            <w:bottom w:val="none" w:sz="0" w:space="0" w:color="auto"/>
            <w:right w:val="none" w:sz="0" w:space="0" w:color="auto"/>
          </w:divBdr>
          <w:divsChild>
            <w:div w:id="1237012191">
              <w:marLeft w:val="0"/>
              <w:marRight w:val="0"/>
              <w:marTop w:val="0"/>
              <w:marBottom w:val="0"/>
              <w:divBdr>
                <w:top w:val="none" w:sz="0" w:space="0" w:color="auto"/>
                <w:left w:val="none" w:sz="0" w:space="0" w:color="auto"/>
                <w:bottom w:val="none" w:sz="0" w:space="0" w:color="auto"/>
                <w:right w:val="none" w:sz="0" w:space="0" w:color="auto"/>
              </w:divBdr>
              <w:divsChild>
                <w:div w:id="464348839">
                  <w:marLeft w:val="0"/>
                  <w:marRight w:val="0"/>
                  <w:marTop w:val="0"/>
                  <w:marBottom w:val="0"/>
                  <w:divBdr>
                    <w:top w:val="none" w:sz="0" w:space="0" w:color="auto"/>
                    <w:left w:val="none" w:sz="0" w:space="0" w:color="auto"/>
                    <w:bottom w:val="none" w:sz="0" w:space="0" w:color="auto"/>
                    <w:right w:val="none" w:sz="0" w:space="0" w:color="auto"/>
                  </w:divBdr>
                  <w:divsChild>
                    <w:div w:id="8526307">
                      <w:marLeft w:val="0"/>
                      <w:marRight w:val="0"/>
                      <w:marTop w:val="0"/>
                      <w:marBottom w:val="0"/>
                      <w:divBdr>
                        <w:top w:val="none" w:sz="0" w:space="0" w:color="auto"/>
                        <w:left w:val="none" w:sz="0" w:space="0" w:color="auto"/>
                        <w:bottom w:val="none" w:sz="0" w:space="0" w:color="auto"/>
                        <w:right w:val="none" w:sz="0" w:space="0" w:color="auto"/>
                      </w:divBdr>
                      <w:divsChild>
                        <w:div w:id="242839847">
                          <w:marLeft w:val="0"/>
                          <w:marRight w:val="0"/>
                          <w:marTop w:val="0"/>
                          <w:marBottom w:val="0"/>
                          <w:divBdr>
                            <w:top w:val="none" w:sz="0" w:space="0" w:color="auto"/>
                            <w:left w:val="none" w:sz="0" w:space="0" w:color="auto"/>
                            <w:bottom w:val="none" w:sz="0" w:space="0" w:color="auto"/>
                            <w:right w:val="none" w:sz="0" w:space="0" w:color="auto"/>
                          </w:divBdr>
                          <w:divsChild>
                            <w:div w:id="1520662703">
                              <w:marLeft w:val="0"/>
                              <w:marRight w:val="0"/>
                              <w:marTop w:val="0"/>
                              <w:marBottom w:val="0"/>
                              <w:divBdr>
                                <w:top w:val="none" w:sz="0" w:space="0" w:color="auto"/>
                                <w:left w:val="none" w:sz="0" w:space="0" w:color="auto"/>
                                <w:bottom w:val="none" w:sz="0" w:space="0" w:color="auto"/>
                                <w:right w:val="none" w:sz="0" w:space="0" w:color="auto"/>
                              </w:divBdr>
                              <w:divsChild>
                                <w:div w:id="647902621">
                                  <w:marLeft w:val="0"/>
                                  <w:marRight w:val="0"/>
                                  <w:marTop w:val="0"/>
                                  <w:marBottom w:val="0"/>
                                  <w:divBdr>
                                    <w:top w:val="none" w:sz="0" w:space="0" w:color="auto"/>
                                    <w:left w:val="none" w:sz="0" w:space="0" w:color="auto"/>
                                    <w:bottom w:val="none" w:sz="0" w:space="0" w:color="auto"/>
                                    <w:right w:val="none" w:sz="0" w:space="0" w:color="auto"/>
                                  </w:divBdr>
                                  <w:divsChild>
                                    <w:div w:id="1756240061">
                                      <w:marLeft w:val="0"/>
                                      <w:marRight w:val="0"/>
                                      <w:marTop w:val="0"/>
                                      <w:marBottom w:val="0"/>
                                      <w:divBdr>
                                        <w:top w:val="none" w:sz="0" w:space="0" w:color="auto"/>
                                        <w:left w:val="none" w:sz="0" w:space="0" w:color="auto"/>
                                        <w:bottom w:val="none" w:sz="0" w:space="0" w:color="auto"/>
                                        <w:right w:val="none" w:sz="0" w:space="0" w:color="auto"/>
                                      </w:divBdr>
                                      <w:divsChild>
                                        <w:div w:id="1882935541">
                                          <w:marLeft w:val="0"/>
                                          <w:marRight w:val="0"/>
                                          <w:marTop w:val="0"/>
                                          <w:marBottom w:val="0"/>
                                          <w:divBdr>
                                            <w:top w:val="none" w:sz="0" w:space="0" w:color="auto"/>
                                            <w:left w:val="none" w:sz="0" w:space="0" w:color="auto"/>
                                            <w:bottom w:val="none" w:sz="0" w:space="0" w:color="auto"/>
                                            <w:right w:val="none" w:sz="0" w:space="0" w:color="auto"/>
                                          </w:divBdr>
                                          <w:divsChild>
                                            <w:div w:id="926815290">
                                              <w:marLeft w:val="3444"/>
                                              <w:marRight w:val="0"/>
                                              <w:marTop w:val="0"/>
                                              <w:marBottom w:val="0"/>
                                              <w:divBdr>
                                                <w:top w:val="single" w:sz="4" w:space="0" w:color="D2D5D7"/>
                                                <w:left w:val="single" w:sz="4" w:space="0" w:color="D2D5D7"/>
                                                <w:bottom w:val="none" w:sz="0" w:space="0" w:color="auto"/>
                                                <w:right w:val="single" w:sz="4" w:space="0" w:color="D2D5D7"/>
                                              </w:divBdr>
                                              <w:divsChild>
                                                <w:div w:id="1970041645">
                                                  <w:marLeft w:val="0"/>
                                                  <w:marRight w:val="0"/>
                                                  <w:marTop w:val="0"/>
                                                  <w:marBottom w:val="0"/>
                                                  <w:divBdr>
                                                    <w:top w:val="none" w:sz="0" w:space="0" w:color="auto"/>
                                                    <w:left w:val="none" w:sz="0" w:space="0" w:color="auto"/>
                                                    <w:bottom w:val="none" w:sz="0" w:space="0" w:color="auto"/>
                                                    <w:right w:val="none" w:sz="0" w:space="0" w:color="auto"/>
                                                  </w:divBdr>
                                                  <w:divsChild>
                                                    <w:div w:id="1034814757">
                                                      <w:marLeft w:val="0"/>
                                                      <w:marRight w:val="0"/>
                                                      <w:marTop w:val="0"/>
                                                      <w:marBottom w:val="0"/>
                                                      <w:divBdr>
                                                        <w:top w:val="none" w:sz="0" w:space="0" w:color="auto"/>
                                                        <w:left w:val="none" w:sz="0" w:space="0" w:color="auto"/>
                                                        <w:bottom w:val="none" w:sz="0" w:space="0" w:color="auto"/>
                                                        <w:right w:val="none" w:sz="0" w:space="0" w:color="auto"/>
                                                      </w:divBdr>
                                                      <w:divsChild>
                                                        <w:div w:id="555243030">
                                                          <w:marLeft w:val="0"/>
                                                          <w:marRight w:val="0"/>
                                                          <w:marTop w:val="0"/>
                                                          <w:marBottom w:val="0"/>
                                                          <w:divBdr>
                                                            <w:top w:val="none" w:sz="0" w:space="0" w:color="auto"/>
                                                            <w:left w:val="none" w:sz="0" w:space="0" w:color="auto"/>
                                                            <w:bottom w:val="none" w:sz="0" w:space="0" w:color="auto"/>
                                                            <w:right w:val="none" w:sz="0" w:space="0" w:color="auto"/>
                                                          </w:divBdr>
                                                          <w:divsChild>
                                                            <w:div w:id="2017730383">
                                                              <w:marLeft w:val="0"/>
                                                              <w:marRight w:val="0"/>
                                                              <w:marTop w:val="0"/>
                                                              <w:marBottom w:val="0"/>
                                                              <w:divBdr>
                                                                <w:top w:val="none" w:sz="0" w:space="0" w:color="auto"/>
                                                                <w:left w:val="none" w:sz="0" w:space="0" w:color="auto"/>
                                                                <w:bottom w:val="none" w:sz="0" w:space="0" w:color="auto"/>
                                                                <w:right w:val="none" w:sz="0" w:space="0" w:color="auto"/>
                                                              </w:divBdr>
                                                              <w:divsChild>
                                                                <w:div w:id="706443923">
                                                                  <w:marLeft w:val="0"/>
                                                                  <w:marRight w:val="0"/>
                                                                  <w:marTop w:val="0"/>
                                                                  <w:marBottom w:val="0"/>
                                                                  <w:divBdr>
                                                                    <w:top w:val="none" w:sz="0" w:space="0" w:color="auto"/>
                                                                    <w:left w:val="none" w:sz="0" w:space="0" w:color="auto"/>
                                                                    <w:bottom w:val="none" w:sz="0" w:space="0" w:color="auto"/>
                                                                    <w:right w:val="none" w:sz="0" w:space="0" w:color="auto"/>
                                                                  </w:divBdr>
                                                                  <w:divsChild>
                                                                    <w:div w:id="6348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90551962">
      <w:bodyDiv w:val="1"/>
      <w:marLeft w:val="0"/>
      <w:marRight w:val="0"/>
      <w:marTop w:val="0"/>
      <w:marBottom w:val="0"/>
      <w:divBdr>
        <w:top w:val="none" w:sz="0" w:space="0" w:color="auto"/>
        <w:left w:val="none" w:sz="0" w:space="0" w:color="auto"/>
        <w:bottom w:val="none" w:sz="0" w:space="0" w:color="auto"/>
        <w:right w:val="none" w:sz="0" w:space="0" w:color="auto"/>
      </w:divBdr>
      <w:divsChild>
        <w:div w:id="1474787772">
          <w:marLeft w:val="0"/>
          <w:marRight w:val="0"/>
          <w:marTop w:val="0"/>
          <w:marBottom w:val="0"/>
          <w:divBdr>
            <w:top w:val="none" w:sz="0" w:space="0" w:color="auto"/>
            <w:left w:val="none" w:sz="0" w:space="0" w:color="auto"/>
            <w:bottom w:val="none" w:sz="0" w:space="0" w:color="auto"/>
            <w:right w:val="none" w:sz="0" w:space="0" w:color="auto"/>
          </w:divBdr>
          <w:divsChild>
            <w:div w:id="1762557419">
              <w:marLeft w:val="0"/>
              <w:marRight w:val="0"/>
              <w:marTop w:val="0"/>
              <w:marBottom w:val="0"/>
              <w:divBdr>
                <w:top w:val="none" w:sz="0" w:space="0" w:color="auto"/>
                <w:left w:val="none" w:sz="0" w:space="0" w:color="auto"/>
                <w:bottom w:val="none" w:sz="0" w:space="0" w:color="auto"/>
                <w:right w:val="none" w:sz="0" w:space="0" w:color="auto"/>
              </w:divBdr>
              <w:divsChild>
                <w:div w:id="73091580">
                  <w:marLeft w:val="0"/>
                  <w:marRight w:val="0"/>
                  <w:marTop w:val="0"/>
                  <w:marBottom w:val="0"/>
                  <w:divBdr>
                    <w:top w:val="none" w:sz="0" w:space="0" w:color="auto"/>
                    <w:left w:val="none" w:sz="0" w:space="0" w:color="auto"/>
                    <w:bottom w:val="none" w:sz="0" w:space="0" w:color="auto"/>
                    <w:right w:val="none" w:sz="0" w:space="0" w:color="auto"/>
                  </w:divBdr>
                  <w:divsChild>
                    <w:div w:id="15689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453855">
      <w:bodyDiv w:val="1"/>
      <w:marLeft w:val="0"/>
      <w:marRight w:val="0"/>
      <w:marTop w:val="0"/>
      <w:marBottom w:val="0"/>
      <w:divBdr>
        <w:top w:val="none" w:sz="0" w:space="0" w:color="auto"/>
        <w:left w:val="none" w:sz="0" w:space="0" w:color="auto"/>
        <w:bottom w:val="none" w:sz="0" w:space="0" w:color="auto"/>
        <w:right w:val="none" w:sz="0" w:space="0" w:color="auto"/>
      </w:divBdr>
      <w:divsChild>
        <w:div w:id="486440907">
          <w:marLeft w:val="0"/>
          <w:marRight w:val="0"/>
          <w:marTop w:val="0"/>
          <w:marBottom w:val="0"/>
          <w:divBdr>
            <w:top w:val="none" w:sz="0" w:space="0" w:color="auto"/>
            <w:left w:val="none" w:sz="0" w:space="0" w:color="auto"/>
            <w:bottom w:val="none" w:sz="0" w:space="0" w:color="auto"/>
            <w:right w:val="none" w:sz="0" w:space="0" w:color="auto"/>
          </w:divBdr>
          <w:divsChild>
            <w:div w:id="769473978">
              <w:marLeft w:val="0"/>
              <w:marRight w:val="0"/>
              <w:marTop w:val="0"/>
              <w:marBottom w:val="0"/>
              <w:divBdr>
                <w:top w:val="none" w:sz="0" w:space="0" w:color="auto"/>
                <w:left w:val="none" w:sz="0" w:space="0" w:color="auto"/>
                <w:bottom w:val="none" w:sz="0" w:space="0" w:color="auto"/>
                <w:right w:val="none" w:sz="0" w:space="0" w:color="auto"/>
              </w:divBdr>
              <w:divsChild>
                <w:div w:id="775369656">
                  <w:marLeft w:val="0"/>
                  <w:marRight w:val="0"/>
                  <w:marTop w:val="0"/>
                  <w:marBottom w:val="0"/>
                  <w:divBdr>
                    <w:top w:val="none" w:sz="0" w:space="0" w:color="auto"/>
                    <w:left w:val="none" w:sz="0" w:space="0" w:color="auto"/>
                    <w:bottom w:val="none" w:sz="0" w:space="0" w:color="auto"/>
                    <w:right w:val="none" w:sz="0" w:space="0" w:color="auto"/>
                  </w:divBdr>
                  <w:divsChild>
                    <w:div w:id="12676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94571">
      <w:bodyDiv w:val="1"/>
      <w:marLeft w:val="0"/>
      <w:marRight w:val="0"/>
      <w:marTop w:val="0"/>
      <w:marBottom w:val="0"/>
      <w:divBdr>
        <w:top w:val="none" w:sz="0" w:space="0" w:color="auto"/>
        <w:left w:val="none" w:sz="0" w:space="0" w:color="auto"/>
        <w:bottom w:val="none" w:sz="0" w:space="0" w:color="auto"/>
        <w:right w:val="none" w:sz="0" w:space="0" w:color="auto"/>
      </w:divBdr>
      <w:divsChild>
        <w:div w:id="1778328634">
          <w:marLeft w:val="0"/>
          <w:marRight w:val="0"/>
          <w:marTop w:val="0"/>
          <w:marBottom w:val="0"/>
          <w:divBdr>
            <w:top w:val="none" w:sz="0" w:space="0" w:color="auto"/>
            <w:left w:val="none" w:sz="0" w:space="0" w:color="auto"/>
            <w:bottom w:val="none" w:sz="0" w:space="0" w:color="auto"/>
            <w:right w:val="none" w:sz="0" w:space="0" w:color="auto"/>
          </w:divBdr>
          <w:divsChild>
            <w:div w:id="61487908">
              <w:marLeft w:val="0"/>
              <w:marRight w:val="0"/>
              <w:marTop w:val="0"/>
              <w:marBottom w:val="0"/>
              <w:divBdr>
                <w:top w:val="none" w:sz="0" w:space="0" w:color="auto"/>
                <w:left w:val="none" w:sz="0" w:space="0" w:color="auto"/>
                <w:bottom w:val="none" w:sz="0" w:space="0" w:color="auto"/>
                <w:right w:val="none" w:sz="0" w:space="0" w:color="auto"/>
              </w:divBdr>
              <w:divsChild>
                <w:div w:id="2146385584">
                  <w:marLeft w:val="0"/>
                  <w:marRight w:val="0"/>
                  <w:marTop w:val="0"/>
                  <w:marBottom w:val="0"/>
                  <w:divBdr>
                    <w:top w:val="none" w:sz="0" w:space="0" w:color="auto"/>
                    <w:left w:val="none" w:sz="0" w:space="0" w:color="auto"/>
                    <w:bottom w:val="none" w:sz="0" w:space="0" w:color="auto"/>
                    <w:right w:val="none" w:sz="0" w:space="0" w:color="auto"/>
                  </w:divBdr>
                  <w:divsChild>
                    <w:div w:id="11642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89180">
      <w:bodyDiv w:val="1"/>
      <w:marLeft w:val="0"/>
      <w:marRight w:val="0"/>
      <w:marTop w:val="0"/>
      <w:marBottom w:val="0"/>
      <w:divBdr>
        <w:top w:val="none" w:sz="0" w:space="0" w:color="auto"/>
        <w:left w:val="none" w:sz="0" w:space="0" w:color="auto"/>
        <w:bottom w:val="none" w:sz="0" w:space="0" w:color="auto"/>
        <w:right w:val="none" w:sz="0" w:space="0" w:color="auto"/>
      </w:divBdr>
      <w:divsChild>
        <w:div w:id="1876427618">
          <w:marLeft w:val="0"/>
          <w:marRight w:val="0"/>
          <w:marTop w:val="0"/>
          <w:marBottom w:val="0"/>
          <w:divBdr>
            <w:top w:val="none" w:sz="0" w:space="0" w:color="auto"/>
            <w:left w:val="none" w:sz="0" w:space="0" w:color="auto"/>
            <w:bottom w:val="none" w:sz="0" w:space="0" w:color="auto"/>
            <w:right w:val="none" w:sz="0" w:space="0" w:color="auto"/>
          </w:divBdr>
          <w:divsChild>
            <w:div w:id="2139644624">
              <w:marLeft w:val="0"/>
              <w:marRight w:val="0"/>
              <w:marTop w:val="0"/>
              <w:marBottom w:val="0"/>
              <w:divBdr>
                <w:top w:val="none" w:sz="0" w:space="0" w:color="auto"/>
                <w:left w:val="none" w:sz="0" w:space="0" w:color="auto"/>
                <w:bottom w:val="none" w:sz="0" w:space="0" w:color="auto"/>
                <w:right w:val="none" w:sz="0" w:space="0" w:color="auto"/>
              </w:divBdr>
              <w:divsChild>
                <w:div w:id="2170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51447">
      <w:bodyDiv w:val="1"/>
      <w:marLeft w:val="0"/>
      <w:marRight w:val="0"/>
      <w:marTop w:val="0"/>
      <w:marBottom w:val="0"/>
      <w:divBdr>
        <w:top w:val="none" w:sz="0" w:space="0" w:color="auto"/>
        <w:left w:val="none" w:sz="0" w:space="0" w:color="auto"/>
        <w:bottom w:val="none" w:sz="0" w:space="0" w:color="auto"/>
        <w:right w:val="none" w:sz="0" w:space="0" w:color="auto"/>
      </w:divBdr>
    </w:div>
    <w:div w:id="1320231025">
      <w:bodyDiv w:val="1"/>
      <w:marLeft w:val="0"/>
      <w:marRight w:val="0"/>
      <w:marTop w:val="0"/>
      <w:marBottom w:val="0"/>
      <w:divBdr>
        <w:top w:val="none" w:sz="0" w:space="0" w:color="auto"/>
        <w:left w:val="none" w:sz="0" w:space="0" w:color="auto"/>
        <w:bottom w:val="none" w:sz="0" w:space="0" w:color="auto"/>
        <w:right w:val="none" w:sz="0" w:space="0" w:color="auto"/>
      </w:divBdr>
    </w:div>
    <w:div w:id="1331252759">
      <w:bodyDiv w:val="1"/>
      <w:marLeft w:val="0"/>
      <w:marRight w:val="0"/>
      <w:marTop w:val="0"/>
      <w:marBottom w:val="0"/>
      <w:divBdr>
        <w:top w:val="none" w:sz="0" w:space="0" w:color="auto"/>
        <w:left w:val="none" w:sz="0" w:space="0" w:color="auto"/>
        <w:bottom w:val="none" w:sz="0" w:space="0" w:color="auto"/>
        <w:right w:val="none" w:sz="0" w:space="0" w:color="auto"/>
      </w:divBdr>
    </w:div>
    <w:div w:id="1338849430">
      <w:bodyDiv w:val="1"/>
      <w:marLeft w:val="0"/>
      <w:marRight w:val="0"/>
      <w:marTop w:val="0"/>
      <w:marBottom w:val="0"/>
      <w:divBdr>
        <w:top w:val="none" w:sz="0" w:space="0" w:color="auto"/>
        <w:left w:val="none" w:sz="0" w:space="0" w:color="auto"/>
        <w:bottom w:val="none" w:sz="0" w:space="0" w:color="auto"/>
        <w:right w:val="none" w:sz="0" w:space="0" w:color="auto"/>
      </w:divBdr>
    </w:div>
    <w:div w:id="1345207292">
      <w:bodyDiv w:val="1"/>
      <w:marLeft w:val="0"/>
      <w:marRight w:val="0"/>
      <w:marTop w:val="0"/>
      <w:marBottom w:val="0"/>
      <w:divBdr>
        <w:top w:val="none" w:sz="0" w:space="0" w:color="auto"/>
        <w:left w:val="none" w:sz="0" w:space="0" w:color="auto"/>
        <w:bottom w:val="none" w:sz="0" w:space="0" w:color="auto"/>
        <w:right w:val="none" w:sz="0" w:space="0" w:color="auto"/>
      </w:divBdr>
    </w:div>
    <w:div w:id="1357468543">
      <w:bodyDiv w:val="1"/>
      <w:marLeft w:val="0"/>
      <w:marRight w:val="0"/>
      <w:marTop w:val="0"/>
      <w:marBottom w:val="0"/>
      <w:divBdr>
        <w:top w:val="none" w:sz="0" w:space="0" w:color="auto"/>
        <w:left w:val="none" w:sz="0" w:space="0" w:color="auto"/>
        <w:bottom w:val="none" w:sz="0" w:space="0" w:color="auto"/>
        <w:right w:val="none" w:sz="0" w:space="0" w:color="auto"/>
      </w:divBdr>
    </w:div>
    <w:div w:id="1395665249">
      <w:bodyDiv w:val="1"/>
      <w:marLeft w:val="0"/>
      <w:marRight w:val="0"/>
      <w:marTop w:val="0"/>
      <w:marBottom w:val="0"/>
      <w:divBdr>
        <w:top w:val="none" w:sz="0" w:space="0" w:color="auto"/>
        <w:left w:val="none" w:sz="0" w:space="0" w:color="auto"/>
        <w:bottom w:val="none" w:sz="0" w:space="0" w:color="auto"/>
        <w:right w:val="none" w:sz="0" w:space="0" w:color="auto"/>
      </w:divBdr>
    </w:div>
    <w:div w:id="1412502090">
      <w:bodyDiv w:val="1"/>
      <w:marLeft w:val="0"/>
      <w:marRight w:val="0"/>
      <w:marTop w:val="0"/>
      <w:marBottom w:val="0"/>
      <w:divBdr>
        <w:top w:val="none" w:sz="0" w:space="0" w:color="auto"/>
        <w:left w:val="none" w:sz="0" w:space="0" w:color="auto"/>
        <w:bottom w:val="none" w:sz="0" w:space="0" w:color="auto"/>
        <w:right w:val="none" w:sz="0" w:space="0" w:color="auto"/>
      </w:divBdr>
      <w:divsChild>
        <w:div w:id="1252204205">
          <w:marLeft w:val="0"/>
          <w:marRight w:val="0"/>
          <w:marTop w:val="0"/>
          <w:marBottom w:val="0"/>
          <w:divBdr>
            <w:top w:val="none" w:sz="0" w:space="0" w:color="auto"/>
            <w:left w:val="none" w:sz="0" w:space="0" w:color="auto"/>
            <w:bottom w:val="none" w:sz="0" w:space="0" w:color="auto"/>
            <w:right w:val="none" w:sz="0" w:space="0" w:color="auto"/>
          </w:divBdr>
          <w:divsChild>
            <w:div w:id="1422533069">
              <w:marLeft w:val="0"/>
              <w:marRight w:val="0"/>
              <w:marTop w:val="0"/>
              <w:marBottom w:val="0"/>
              <w:divBdr>
                <w:top w:val="none" w:sz="0" w:space="0" w:color="auto"/>
                <w:left w:val="none" w:sz="0" w:space="0" w:color="auto"/>
                <w:bottom w:val="none" w:sz="0" w:space="0" w:color="auto"/>
                <w:right w:val="none" w:sz="0" w:space="0" w:color="auto"/>
              </w:divBdr>
              <w:divsChild>
                <w:div w:id="9950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6791">
      <w:bodyDiv w:val="1"/>
      <w:marLeft w:val="0"/>
      <w:marRight w:val="0"/>
      <w:marTop w:val="0"/>
      <w:marBottom w:val="0"/>
      <w:divBdr>
        <w:top w:val="none" w:sz="0" w:space="0" w:color="auto"/>
        <w:left w:val="none" w:sz="0" w:space="0" w:color="auto"/>
        <w:bottom w:val="none" w:sz="0" w:space="0" w:color="auto"/>
        <w:right w:val="none" w:sz="0" w:space="0" w:color="auto"/>
      </w:divBdr>
    </w:div>
    <w:div w:id="1479033083">
      <w:bodyDiv w:val="1"/>
      <w:marLeft w:val="0"/>
      <w:marRight w:val="0"/>
      <w:marTop w:val="0"/>
      <w:marBottom w:val="0"/>
      <w:divBdr>
        <w:top w:val="none" w:sz="0" w:space="0" w:color="auto"/>
        <w:left w:val="none" w:sz="0" w:space="0" w:color="auto"/>
        <w:bottom w:val="none" w:sz="0" w:space="0" w:color="auto"/>
        <w:right w:val="none" w:sz="0" w:space="0" w:color="auto"/>
      </w:divBdr>
    </w:div>
    <w:div w:id="1546985380">
      <w:bodyDiv w:val="1"/>
      <w:marLeft w:val="0"/>
      <w:marRight w:val="0"/>
      <w:marTop w:val="0"/>
      <w:marBottom w:val="0"/>
      <w:divBdr>
        <w:top w:val="none" w:sz="0" w:space="0" w:color="auto"/>
        <w:left w:val="none" w:sz="0" w:space="0" w:color="auto"/>
        <w:bottom w:val="none" w:sz="0" w:space="0" w:color="auto"/>
        <w:right w:val="none" w:sz="0" w:space="0" w:color="auto"/>
      </w:divBdr>
      <w:divsChild>
        <w:div w:id="1593396645">
          <w:marLeft w:val="0"/>
          <w:marRight w:val="0"/>
          <w:marTop w:val="0"/>
          <w:marBottom w:val="0"/>
          <w:divBdr>
            <w:top w:val="none" w:sz="0" w:space="0" w:color="auto"/>
            <w:left w:val="none" w:sz="0" w:space="0" w:color="auto"/>
            <w:bottom w:val="none" w:sz="0" w:space="0" w:color="auto"/>
            <w:right w:val="none" w:sz="0" w:space="0" w:color="auto"/>
          </w:divBdr>
          <w:divsChild>
            <w:div w:id="379212842">
              <w:marLeft w:val="0"/>
              <w:marRight w:val="0"/>
              <w:marTop w:val="0"/>
              <w:marBottom w:val="0"/>
              <w:divBdr>
                <w:top w:val="none" w:sz="0" w:space="0" w:color="auto"/>
                <w:left w:val="none" w:sz="0" w:space="0" w:color="auto"/>
                <w:bottom w:val="none" w:sz="0" w:space="0" w:color="auto"/>
                <w:right w:val="none" w:sz="0" w:space="0" w:color="auto"/>
              </w:divBdr>
              <w:divsChild>
                <w:div w:id="111175327">
                  <w:marLeft w:val="0"/>
                  <w:marRight w:val="0"/>
                  <w:marTop w:val="0"/>
                  <w:marBottom w:val="0"/>
                  <w:divBdr>
                    <w:top w:val="none" w:sz="0" w:space="0" w:color="auto"/>
                    <w:left w:val="none" w:sz="0" w:space="0" w:color="auto"/>
                    <w:bottom w:val="none" w:sz="0" w:space="0" w:color="auto"/>
                    <w:right w:val="none" w:sz="0" w:space="0" w:color="auto"/>
                  </w:divBdr>
                  <w:divsChild>
                    <w:div w:id="661202883">
                      <w:marLeft w:val="0"/>
                      <w:marRight w:val="0"/>
                      <w:marTop w:val="0"/>
                      <w:marBottom w:val="0"/>
                      <w:divBdr>
                        <w:top w:val="none" w:sz="0" w:space="0" w:color="auto"/>
                        <w:left w:val="none" w:sz="0" w:space="0" w:color="auto"/>
                        <w:bottom w:val="none" w:sz="0" w:space="0" w:color="auto"/>
                        <w:right w:val="none" w:sz="0" w:space="0" w:color="auto"/>
                      </w:divBdr>
                      <w:divsChild>
                        <w:div w:id="455409722">
                          <w:marLeft w:val="0"/>
                          <w:marRight w:val="0"/>
                          <w:marTop w:val="0"/>
                          <w:marBottom w:val="0"/>
                          <w:divBdr>
                            <w:top w:val="none" w:sz="0" w:space="0" w:color="auto"/>
                            <w:left w:val="none" w:sz="0" w:space="0" w:color="auto"/>
                            <w:bottom w:val="none" w:sz="0" w:space="0" w:color="auto"/>
                            <w:right w:val="none" w:sz="0" w:space="0" w:color="auto"/>
                          </w:divBdr>
                          <w:divsChild>
                            <w:div w:id="460466757">
                              <w:marLeft w:val="0"/>
                              <w:marRight w:val="0"/>
                              <w:marTop w:val="0"/>
                              <w:marBottom w:val="0"/>
                              <w:divBdr>
                                <w:top w:val="none" w:sz="0" w:space="0" w:color="auto"/>
                                <w:left w:val="none" w:sz="0" w:space="0" w:color="auto"/>
                                <w:bottom w:val="none" w:sz="0" w:space="0" w:color="auto"/>
                                <w:right w:val="none" w:sz="0" w:space="0" w:color="auto"/>
                              </w:divBdr>
                              <w:divsChild>
                                <w:div w:id="981420555">
                                  <w:marLeft w:val="0"/>
                                  <w:marRight w:val="0"/>
                                  <w:marTop w:val="0"/>
                                  <w:marBottom w:val="0"/>
                                  <w:divBdr>
                                    <w:top w:val="none" w:sz="0" w:space="0" w:color="auto"/>
                                    <w:left w:val="none" w:sz="0" w:space="0" w:color="auto"/>
                                    <w:bottom w:val="none" w:sz="0" w:space="0" w:color="auto"/>
                                    <w:right w:val="none" w:sz="0" w:space="0" w:color="auto"/>
                                  </w:divBdr>
                                  <w:divsChild>
                                    <w:div w:id="988439490">
                                      <w:marLeft w:val="0"/>
                                      <w:marRight w:val="0"/>
                                      <w:marTop w:val="0"/>
                                      <w:marBottom w:val="0"/>
                                      <w:divBdr>
                                        <w:top w:val="none" w:sz="0" w:space="0" w:color="auto"/>
                                        <w:left w:val="none" w:sz="0" w:space="0" w:color="auto"/>
                                        <w:bottom w:val="none" w:sz="0" w:space="0" w:color="auto"/>
                                        <w:right w:val="none" w:sz="0" w:space="0" w:color="auto"/>
                                      </w:divBdr>
                                      <w:divsChild>
                                        <w:div w:id="1639995103">
                                          <w:marLeft w:val="0"/>
                                          <w:marRight w:val="0"/>
                                          <w:marTop w:val="0"/>
                                          <w:marBottom w:val="0"/>
                                          <w:divBdr>
                                            <w:top w:val="none" w:sz="0" w:space="0" w:color="auto"/>
                                            <w:left w:val="none" w:sz="0" w:space="0" w:color="auto"/>
                                            <w:bottom w:val="none" w:sz="0" w:space="0" w:color="auto"/>
                                            <w:right w:val="none" w:sz="0" w:space="0" w:color="auto"/>
                                          </w:divBdr>
                                          <w:divsChild>
                                            <w:div w:id="209196686">
                                              <w:marLeft w:val="3444"/>
                                              <w:marRight w:val="0"/>
                                              <w:marTop w:val="0"/>
                                              <w:marBottom w:val="0"/>
                                              <w:divBdr>
                                                <w:top w:val="single" w:sz="4" w:space="0" w:color="D2D5D7"/>
                                                <w:left w:val="single" w:sz="4" w:space="0" w:color="D2D5D7"/>
                                                <w:bottom w:val="none" w:sz="0" w:space="0" w:color="auto"/>
                                                <w:right w:val="single" w:sz="4" w:space="0" w:color="D2D5D7"/>
                                              </w:divBdr>
                                              <w:divsChild>
                                                <w:div w:id="526454729">
                                                  <w:marLeft w:val="0"/>
                                                  <w:marRight w:val="0"/>
                                                  <w:marTop w:val="0"/>
                                                  <w:marBottom w:val="0"/>
                                                  <w:divBdr>
                                                    <w:top w:val="none" w:sz="0" w:space="0" w:color="auto"/>
                                                    <w:left w:val="none" w:sz="0" w:space="0" w:color="auto"/>
                                                    <w:bottom w:val="none" w:sz="0" w:space="0" w:color="auto"/>
                                                    <w:right w:val="none" w:sz="0" w:space="0" w:color="auto"/>
                                                  </w:divBdr>
                                                  <w:divsChild>
                                                    <w:div w:id="1763598063">
                                                      <w:marLeft w:val="0"/>
                                                      <w:marRight w:val="0"/>
                                                      <w:marTop w:val="0"/>
                                                      <w:marBottom w:val="0"/>
                                                      <w:divBdr>
                                                        <w:top w:val="none" w:sz="0" w:space="0" w:color="auto"/>
                                                        <w:left w:val="none" w:sz="0" w:space="0" w:color="auto"/>
                                                        <w:bottom w:val="none" w:sz="0" w:space="0" w:color="auto"/>
                                                        <w:right w:val="none" w:sz="0" w:space="0" w:color="auto"/>
                                                      </w:divBdr>
                                                      <w:divsChild>
                                                        <w:div w:id="480998861">
                                                          <w:marLeft w:val="0"/>
                                                          <w:marRight w:val="0"/>
                                                          <w:marTop w:val="0"/>
                                                          <w:marBottom w:val="0"/>
                                                          <w:divBdr>
                                                            <w:top w:val="none" w:sz="0" w:space="0" w:color="auto"/>
                                                            <w:left w:val="none" w:sz="0" w:space="0" w:color="auto"/>
                                                            <w:bottom w:val="none" w:sz="0" w:space="0" w:color="auto"/>
                                                            <w:right w:val="none" w:sz="0" w:space="0" w:color="auto"/>
                                                          </w:divBdr>
                                                          <w:divsChild>
                                                            <w:div w:id="670792850">
                                                              <w:marLeft w:val="0"/>
                                                              <w:marRight w:val="0"/>
                                                              <w:marTop w:val="0"/>
                                                              <w:marBottom w:val="0"/>
                                                              <w:divBdr>
                                                                <w:top w:val="none" w:sz="0" w:space="0" w:color="auto"/>
                                                                <w:left w:val="none" w:sz="0" w:space="0" w:color="auto"/>
                                                                <w:bottom w:val="none" w:sz="0" w:space="0" w:color="auto"/>
                                                                <w:right w:val="none" w:sz="0" w:space="0" w:color="auto"/>
                                                              </w:divBdr>
                                                              <w:divsChild>
                                                                <w:div w:id="377050729">
                                                                  <w:marLeft w:val="0"/>
                                                                  <w:marRight w:val="0"/>
                                                                  <w:marTop w:val="0"/>
                                                                  <w:marBottom w:val="0"/>
                                                                  <w:divBdr>
                                                                    <w:top w:val="none" w:sz="0" w:space="0" w:color="auto"/>
                                                                    <w:left w:val="none" w:sz="0" w:space="0" w:color="auto"/>
                                                                    <w:bottom w:val="none" w:sz="0" w:space="0" w:color="auto"/>
                                                                    <w:right w:val="none" w:sz="0" w:space="0" w:color="auto"/>
                                                                  </w:divBdr>
                                                                  <w:divsChild>
                                                                    <w:div w:id="859466680">
                                                                      <w:marLeft w:val="0"/>
                                                                      <w:marRight w:val="0"/>
                                                                      <w:marTop w:val="0"/>
                                                                      <w:marBottom w:val="0"/>
                                                                      <w:divBdr>
                                                                        <w:top w:val="none" w:sz="0" w:space="0" w:color="auto"/>
                                                                        <w:left w:val="none" w:sz="0" w:space="0" w:color="auto"/>
                                                                        <w:bottom w:val="none" w:sz="0" w:space="0" w:color="auto"/>
                                                                        <w:right w:val="none" w:sz="0" w:space="0" w:color="auto"/>
                                                                      </w:divBdr>
                                                                      <w:divsChild>
                                                                        <w:div w:id="377171604">
                                                                          <w:marLeft w:val="0"/>
                                                                          <w:marRight w:val="0"/>
                                                                          <w:marTop w:val="0"/>
                                                                          <w:marBottom w:val="0"/>
                                                                          <w:divBdr>
                                                                            <w:top w:val="none" w:sz="0" w:space="0" w:color="auto"/>
                                                                            <w:left w:val="none" w:sz="0" w:space="0" w:color="auto"/>
                                                                            <w:bottom w:val="none" w:sz="0" w:space="0" w:color="auto"/>
                                                                            <w:right w:val="none" w:sz="0" w:space="0" w:color="auto"/>
                                                                          </w:divBdr>
                                                                        </w:div>
                                                                        <w:div w:id="434906519">
                                                                          <w:marLeft w:val="0"/>
                                                                          <w:marRight w:val="0"/>
                                                                          <w:marTop w:val="0"/>
                                                                          <w:marBottom w:val="0"/>
                                                                          <w:divBdr>
                                                                            <w:top w:val="none" w:sz="0" w:space="0" w:color="auto"/>
                                                                            <w:left w:val="none" w:sz="0" w:space="0" w:color="auto"/>
                                                                            <w:bottom w:val="none" w:sz="0" w:space="0" w:color="auto"/>
                                                                            <w:right w:val="none" w:sz="0" w:space="0" w:color="auto"/>
                                                                          </w:divBdr>
                                                                        </w:div>
                                                                        <w:div w:id="465203978">
                                                                          <w:marLeft w:val="0"/>
                                                                          <w:marRight w:val="0"/>
                                                                          <w:marTop w:val="0"/>
                                                                          <w:marBottom w:val="0"/>
                                                                          <w:divBdr>
                                                                            <w:top w:val="none" w:sz="0" w:space="0" w:color="auto"/>
                                                                            <w:left w:val="none" w:sz="0" w:space="0" w:color="auto"/>
                                                                            <w:bottom w:val="none" w:sz="0" w:space="0" w:color="auto"/>
                                                                            <w:right w:val="none" w:sz="0" w:space="0" w:color="auto"/>
                                                                          </w:divBdr>
                                                                          <w:divsChild>
                                                                            <w:div w:id="124665785">
                                                                              <w:marLeft w:val="0"/>
                                                                              <w:marRight w:val="0"/>
                                                                              <w:marTop w:val="0"/>
                                                                              <w:marBottom w:val="0"/>
                                                                              <w:divBdr>
                                                                                <w:top w:val="none" w:sz="0" w:space="0" w:color="auto"/>
                                                                                <w:left w:val="none" w:sz="0" w:space="0" w:color="auto"/>
                                                                                <w:bottom w:val="none" w:sz="0" w:space="0" w:color="auto"/>
                                                                                <w:right w:val="none" w:sz="0" w:space="0" w:color="auto"/>
                                                                              </w:divBdr>
                                                                            </w:div>
                                                                            <w:div w:id="173539839">
                                                                              <w:marLeft w:val="0"/>
                                                                              <w:marRight w:val="0"/>
                                                                              <w:marTop w:val="0"/>
                                                                              <w:marBottom w:val="0"/>
                                                                              <w:divBdr>
                                                                                <w:top w:val="none" w:sz="0" w:space="0" w:color="auto"/>
                                                                                <w:left w:val="none" w:sz="0" w:space="0" w:color="auto"/>
                                                                                <w:bottom w:val="none" w:sz="0" w:space="0" w:color="auto"/>
                                                                                <w:right w:val="none" w:sz="0" w:space="0" w:color="auto"/>
                                                                              </w:divBdr>
                                                                            </w:div>
                                                                            <w:div w:id="546382327">
                                                                              <w:marLeft w:val="0"/>
                                                                              <w:marRight w:val="0"/>
                                                                              <w:marTop w:val="0"/>
                                                                              <w:marBottom w:val="0"/>
                                                                              <w:divBdr>
                                                                                <w:top w:val="none" w:sz="0" w:space="0" w:color="auto"/>
                                                                                <w:left w:val="none" w:sz="0" w:space="0" w:color="auto"/>
                                                                                <w:bottom w:val="none" w:sz="0" w:space="0" w:color="auto"/>
                                                                                <w:right w:val="none" w:sz="0" w:space="0" w:color="auto"/>
                                                                              </w:divBdr>
                                                                            </w:div>
                                                                            <w:div w:id="608047993">
                                                                              <w:marLeft w:val="0"/>
                                                                              <w:marRight w:val="0"/>
                                                                              <w:marTop w:val="0"/>
                                                                              <w:marBottom w:val="0"/>
                                                                              <w:divBdr>
                                                                                <w:top w:val="none" w:sz="0" w:space="0" w:color="auto"/>
                                                                                <w:left w:val="none" w:sz="0" w:space="0" w:color="auto"/>
                                                                                <w:bottom w:val="none" w:sz="0" w:space="0" w:color="auto"/>
                                                                                <w:right w:val="none" w:sz="0" w:space="0" w:color="auto"/>
                                                                              </w:divBdr>
                                                                            </w:div>
                                                                            <w:div w:id="787092767">
                                                                              <w:marLeft w:val="0"/>
                                                                              <w:marRight w:val="0"/>
                                                                              <w:marTop w:val="0"/>
                                                                              <w:marBottom w:val="0"/>
                                                                              <w:divBdr>
                                                                                <w:top w:val="none" w:sz="0" w:space="0" w:color="auto"/>
                                                                                <w:left w:val="none" w:sz="0" w:space="0" w:color="auto"/>
                                                                                <w:bottom w:val="none" w:sz="0" w:space="0" w:color="auto"/>
                                                                                <w:right w:val="none" w:sz="0" w:space="0" w:color="auto"/>
                                                                              </w:divBdr>
                                                                            </w:div>
                                                                            <w:div w:id="1196692319">
                                                                              <w:marLeft w:val="0"/>
                                                                              <w:marRight w:val="0"/>
                                                                              <w:marTop w:val="0"/>
                                                                              <w:marBottom w:val="0"/>
                                                                              <w:divBdr>
                                                                                <w:top w:val="none" w:sz="0" w:space="0" w:color="auto"/>
                                                                                <w:left w:val="none" w:sz="0" w:space="0" w:color="auto"/>
                                                                                <w:bottom w:val="none" w:sz="0" w:space="0" w:color="auto"/>
                                                                                <w:right w:val="none" w:sz="0" w:space="0" w:color="auto"/>
                                                                              </w:divBdr>
                                                                            </w:div>
                                                                            <w:div w:id="1307203658">
                                                                              <w:marLeft w:val="0"/>
                                                                              <w:marRight w:val="0"/>
                                                                              <w:marTop w:val="0"/>
                                                                              <w:marBottom w:val="0"/>
                                                                              <w:divBdr>
                                                                                <w:top w:val="none" w:sz="0" w:space="0" w:color="auto"/>
                                                                                <w:left w:val="none" w:sz="0" w:space="0" w:color="auto"/>
                                                                                <w:bottom w:val="none" w:sz="0" w:space="0" w:color="auto"/>
                                                                                <w:right w:val="none" w:sz="0" w:space="0" w:color="auto"/>
                                                                              </w:divBdr>
                                                                            </w:div>
                                                                            <w:div w:id="1318726222">
                                                                              <w:marLeft w:val="0"/>
                                                                              <w:marRight w:val="0"/>
                                                                              <w:marTop w:val="0"/>
                                                                              <w:marBottom w:val="0"/>
                                                                              <w:divBdr>
                                                                                <w:top w:val="none" w:sz="0" w:space="0" w:color="auto"/>
                                                                                <w:left w:val="none" w:sz="0" w:space="0" w:color="auto"/>
                                                                                <w:bottom w:val="none" w:sz="0" w:space="0" w:color="auto"/>
                                                                                <w:right w:val="none" w:sz="0" w:space="0" w:color="auto"/>
                                                                              </w:divBdr>
                                                                            </w:div>
                                                                            <w:div w:id="1570967475">
                                                                              <w:marLeft w:val="0"/>
                                                                              <w:marRight w:val="0"/>
                                                                              <w:marTop w:val="0"/>
                                                                              <w:marBottom w:val="0"/>
                                                                              <w:divBdr>
                                                                                <w:top w:val="none" w:sz="0" w:space="0" w:color="auto"/>
                                                                                <w:left w:val="none" w:sz="0" w:space="0" w:color="auto"/>
                                                                                <w:bottom w:val="none" w:sz="0" w:space="0" w:color="auto"/>
                                                                                <w:right w:val="none" w:sz="0" w:space="0" w:color="auto"/>
                                                                              </w:divBdr>
                                                                            </w:div>
                                                                            <w:div w:id="1718779431">
                                                                              <w:marLeft w:val="0"/>
                                                                              <w:marRight w:val="0"/>
                                                                              <w:marTop w:val="0"/>
                                                                              <w:marBottom w:val="0"/>
                                                                              <w:divBdr>
                                                                                <w:top w:val="none" w:sz="0" w:space="0" w:color="auto"/>
                                                                                <w:left w:val="none" w:sz="0" w:space="0" w:color="auto"/>
                                                                                <w:bottom w:val="none" w:sz="0" w:space="0" w:color="auto"/>
                                                                                <w:right w:val="none" w:sz="0" w:space="0" w:color="auto"/>
                                                                              </w:divBdr>
                                                                            </w:div>
                                                                          </w:divsChild>
                                                                        </w:div>
                                                                        <w:div w:id="496843513">
                                                                          <w:marLeft w:val="0"/>
                                                                          <w:marRight w:val="0"/>
                                                                          <w:marTop w:val="0"/>
                                                                          <w:marBottom w:val="0"/>
                                                                          <w:divBdr>
                                                                            <w:top w:val="none" w:sz="0" w:space="0" w:color="auto"/>
                                                                            <w:left w:val="none" w:sz="0" w:space="0" w:color="auto"/>
                                                                            <w:bottom w:val="none" w:sz="0" w:space="0" w:color="auto"/>
                                                                            <w:right w:val="none" w:sz="0" w:space="0" w:color="auto"/>
                                                                          </w:divBdr>
                                                                          <w:divsChild>
                                                                            <w:div w:id="525675040">
                                                                              <w:marLeft w:val="0"/>
                                                                              <w:marRight w:val="0"/>
                                                                              <w:marTop w:val="0"/>
                                                                              <w:marBottom w:val="0"/>
                                                                              <w:divBdr>
                                                                                <w:top w:val="none" w:sz="0" w:space="0" w:color="auto"/>
                                                                                <w:left w:val="none" w:sz="0" w:space="0" w:color="auto"/>
                                                                                <w:bottom w:val="none" w:sz="0" w:space="0" w:color="auto"/>
                                                                                <w:right w:val="none" w:sz="0" w:space="0" w:color="auto"/>
                                                                              </w:divBdr>
                                                                            </w:div>
                                                                            <w:div w:id="615411299">
                                                                              <w:marLeft w:val="0"/>
                                                                              <w:marRight w:val="0"/>
                                                                              <w:marTop w:val="0"/>
                                                                              <w:marBottom w:val="0"/>
                                                                              <w:divBdr>
                                                                                <w:top w:val="none" w:sz="0" w:space="0" w:color="auto"/>
                                                                                <w:left w:val="none" w:sz="0" w:space="0" w:color="auto"/>
                                                                                <w:bottom w:val="none" w:sz="0" w:space="0" w:color="auto"/>
                                                                                <w:right w:val="none" w:sz="0" w:space="0" w:color="auto"/>
                                                                              </w:divBdr>
                                                                            </w:div>
                                                                            <w:div w:id="693462070">
                                                                              <w:marLeft w:val="0"/>
                                                                              <w:marRight w:val="0"/>
                                                                              <w:marTop w:val="0"/>
                                                                              <w:marBottom w:val="0"/>
                                                                              <w:divBdr>
                                                                                <w:top w:val="none" w:sz="0" w:space="0" w:color="auto"/>
                                                                                <w:left w:val="none" w:sz="0" w:space="0" w:color="auto"/>
                                                                                <w:bottom w:val="none" w:sz="0" w:space="0" w:color="auto"/>
                                                                                <w:right w:val="none" w:sz="0" w:space="0" w:color="auto"/>
                                                                              </w:divBdr>
                                                                            </w:div>
                                                                            <w:div w:id="861937180">
                                                                              <w:marLeft w:val="0"/>
                                                                              <w:marRight w:val="0"/>
                                                                              <w:marTop w:val="0"/>
                                                                              <w:marBottom w:val="0"/>
                                                                              <w:divBdr>
                                                                                <w:top w:val="none" w:sz="0" w:space="0" w:color="auto"/>
                                                                                <w:left w:val="none" w:sz="0" w:space="0" w:color="auto"/>
                                                                                <w:bottom w:val="none" w:sz="0" w:space="0" w:color="auto"/>
                                                                                <w:right w:val="none" w:sz="0" w:space="0" w:color="auto"/>
                                                                              </w:divBdr>
                                                                            </w:div>
                                                                            <w:div w:id="1142039399">
                                                                              <w:marLeft w:val="0"/>
                                                                              <w:marRight w:val="0"/>
                                                                              <w:marTop w:val="0"/>
                                                                              <w:marBottom w:val="0"/>
                                                                              <w:divBdr>
                                                                                <w:top w:val="none" w:sz="0" w:space="0" w:color="auto"/>
                                                                                <w:left w:val="none" w:sz="0" w:space="0" w:color="auto"/>
                                                                                <w:bottom w:val="none" w:sz="0" w:space="0" w:color="auto"/>
                                                                                <w:right w:val="none" w:sz="0" w:space="0" w:color="auto"/>
                                                                              </w:divBdr>
                                                                            </w:div>
                                                                            <w:div w:id="1369645363">
                                                                              <w:marLeft w:val="0"/>
                                                                              <w:marRight w:val="0"/>
                                                                              <w:marTop w:val="0"/>
                                                                              <w:marBottom w:val="0"/>
                                                                              <w:divBdr>
                                                                                <w:top w:val="none" w:sz="0" w:space="0" w:color="auto"/>
                                                                                <w:left w:val="none" w:sz="0" w:space="0" w:color="auto"/>
                                                                                <w:bottom w:val="none" w:sz="0" w:space="0" w:color="auto"/>
                                                                                <w:right w:val="none" w:sz="0" w:space="0" w:color="auto"/>
                                                                              </w:divBdr>
                                                                            </w:div>
                                                                            <w:div w:id="1971207419">
                                                                              <w:marLeft w:val="0"/>
                                                                              <w:marRight w:val="0"/>
                                                                              <w:marTop w:val="0"/>
                                                                              <w:marBottom w:val="0"/>
                                                                              <w:divBdr>
                                                                                <w:top w:val="none" w:sz="0" w:space="0" w:color="auto"/>
                                                                                <w:left w:val="none" w:sz="0" w:space="0" w:color="auto"/>
                                                                                <w:bottom w:val="none" w:sz="0" w:space="0" w:color="auto"/>
                                                                                <w:right w:val="none" w:sz="0" w:space="0" w:color="auto"/>
                                                                              </w:divBdr>
                                                                            </w:div>
                                                                            <w:div w:id="2082092849">
                                                                              <w:marLeft w:val="0"/>
                                                                              <w:marRight w:val="0"/>
                                                                              <w:marTop w:val="0"/>
                                                                              <w:marBottom w:val="0"/>
                                                                              <w:divBdr>
                                                                                <w:top w:val="none" w:sz="0" w:space="0" w:color="auto"/>
                                                                                <w:left w:val="none" w:sz="0" w:space="0" w:color="auto"/>
                                                                                <w:bottom w:val="none" w:sz="0" w:space="0" w:color="auto"/>
                                                                                <w:right w:val="none" w:sz="0" w:space="0" w:color="auto"/>
                                                                              </w:divBdr>
                                                                            </w:div>
                                                                          </w:divsChild>
                                                                        </w:div>
                                                                        <w:div w:id="649020978">
                                                                          <w:marLeft w:val="0"/>
                                                                          <w:marRight w:val="0"/>
                                                                          <w:marTop w:val="0"/>
                                                                          <w:marBottom w:val="0"/>
                                                                          <w:divBdr>
                                                                            <w:top w:val="none" w:sz="0" w:space="0" w:color="auto"/>
                                                                            <w:left w:val="none" w:sz="0" w:space="0" w:color="auto"/>
                                                                            <w:bottom w:val="none" w:sz="0" w:space="0" w:color="auto"/>
                                                                            <w:right w:val="none" w:sz="0" w:space="0" w:color="auto"/>
                                                                          </w:divBdr>
                                                                        </w:div>
                                                                        <w:div w:id="1571964000">
                                                                          <w:marLeft w:val="0"/>
                                                                          <w:marRight w:val="0"/>
                                                                          <w:marTop w:val="0"/>
                                                                          <w:marBottom w:val="0"/>
                                                                          <w:divBdr>
                                                                            <w:top w:val="none" w:sz="0" w:space="0" w:color="auto"/>
                                                                            <w:left w:val="none" w:sz="0" w:space="0" w:color="auto"/>
                                                                            <w:bottom w:val="none" w:sz="0" w:space="0" w:color="auto"/>
                                                                            <w:right w:val="none" w:sz="0" w:space="0" w:color="auto"/>
                                                                          </w:divBdr>
                                                                          <w:divsChild>
                                                                            <w:div w:id="128983582">
                                                                              <w:marLeft w:val="0"/>
                                                                              <w:marRight w:val="0"/>
                                                                              <w:marTop w:val="0"/>
                                                                              <w:marBottom w:val="0"/>
                                                                              <w:divBdr>
                                                                                <w:top w:val="none" w:sz="0" w:space="0" w:color="auto"/>
                                                                                <w:left w:val="none" w:sz="0" w:space="0" w:color="auto"/>
                                                                                <w:bottom w:val="none" w:sz="0" w:space="0" w:color="auto"/>
                                                                                <w:right w:val="none" w:sz="0" w:space="0" w:color="auto"/>
                                                                              </w:divBdr>
                                                                            </w:div>
                                                                            <w:div w:id="605890910">
                                                                              <w:marLeft w:val="0"/>
                                                                              <w:marRight w:val="0"/>
                                                                              <w:marTop w:val="0"/>
                                                                              <w:marBottom w:val="0"/>
                                                                              <w:divBdr>
                                                                                <w:top w:val="none" w:sz="0" w:space="0" w:color="auto"/>
                                                                                <w:left w:val="none" w:sz="0" w:space="0" w:color="auto"/>
                                                                                <w:bottom w:val="none" w:sz="0" w:space="0" w:color="auto"/>
                                                                                <w:right w:val="none" w:sz="0" w:space="0" w:color="auto"/>
                                                                              </w:divBdr>
                                                                            </w:div>
                                                                            <w:div w:id="1464076449">
                                                                              <w:marLeft w:val="0"/>
                                                                              <w:marRight w:val="0"/>
                                                                              <w:marTop w:val="0"/>
                                                                              <w:marBottom w:val="0"/>
                                                                              <w:divBdr>
                                                                                <w:top w:val="none" w:sz="0" w:space="0" w:color="auto"/>
                                                                                <w:left w:val="none" w:sz="0" w:space="0" w:color="auto"/>
                                                                                <w:bottom w:val="none" w:sz="0" w:space="0" w:color="auto"/>
                                                                                <w:right w:val="none" w:sz="0" w:space="0" w:color="auto"/>
                                                                              </w:divBdr>
                                                                            </w:div>
                                                                            <w:div w:id="21349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252371">
      <w:bodyDiv w:val="1"/>
      <w:marLeft w:val="0"/>
      <w:marRight w:val="0"/>
      <w:marTop w:val="0"/>
      <w:marBottom w:val="0"/>
      <w:divBdr>
        <w:top w:val="none" w:sz="0" w:space="0" w:color="auto"/>
        <w:left w:val="none" w:sz="0" w:space="0" w:color="auto"/>
        <w:bottom w:val="none" w:sz="0" w:space="0" w:color="auto"/>
        <w:right w:val="none" w:sz="0" w:space="0" w:color="auto"/>
      </w:divBdr>
    </w:div>
    <w:div w:id="1551574189">
      <w:bodyDiv w:val="1"/>
      <w:marLeft w:val="0"/>
      <w:marRight w:val="0"/>
      <w:marTop w:val="0"/>
      <w:marBottom w:val="0"/>
      <w:divBdr>
        <w:top w:val="none" w:sz="0" w:space="0" w:color="auto"/>
        <w:left w:val="none" w:sz="0" w:space="0" w:color="auto"/>
        <w:bottom w:val="none" w:sz="0" w:space="0" w:color="auto"/>
        <w:right w:val="none" w:sz="0" w:space="0" w:color="auto"/>
      </w:divBdr>
      <w:divsChild>
        <w:div w:id="1911037866">
          <w:marLeft w:val="0"/>
          <w:marRight w:val="0"/>
          <w:marTop w:val="0"/>
          <w:marBottom w:val="0"/>
          <w:divBdr>
            <w:top w:val="none" w:sz="0" w:space="0" w:color="auto"/>
            <w:left w:val="none" w:sz="0" w:space="0" w:color="auto"/>
            <w:bottom w:val="none" w:sz="0" w:space="0" w:color="auto"/>
            <w:right w:val="none" w:sz="0" w:space="0" w:color="auto"/>
          </w:divBdr>
        </w:div>
      </w:divsChild>
    </w:div>
    <w:div w:id="1565293252">
      <w:bodyDiv w:val="1"/>
      <w:marLeft w:val="0"/>
      <w:marRight w:val="0"/>
      <w:marTop w:val="0"/>
      <w:marBottom w:val="0"/>
      <w:divBdr>
        <w:top w:val="none" w:sz="0" w:space="0" w:color="auto"/>
        <w:left w:val="none" w:sz="0" w:space="0" w:color="auto"/>
        <w:bottom w:val="none" w:sz="0" w:space="0" w:color="auto"/>
        <w:right w:val="none" w:sz="0" w:space="0" w:color="auto"/>
      </w:divBdr>
    </w:div>
    <w:div w:id="1577595697">
      <w:bodyDiv w:val="1"/>
      <w:marLeft w:val="0"/>
      <w:marRight w:val="0"/>
      <w:marTop w:val="0"/>
      <w:marBottom w:val="0"/>
      <w:divBdr>
        <w:top w:val="none" w:sz="0" w:space="0" w:color="auto"/>
        <w:left w:val="none" w:sz="0" w:space="0" w:color="auto"/>
        <w:bottom w:val="none" w:sz="0" w:space="0" w:color="auto"/>
        <w:right w:val="none" w:sz="0" w:space="0" w:color="auto"/>
      </w:divBdr>
    </w:div>
    <w:div w:id="1597906779">
      <w:bodyDiv w:val="1"/>
      <w:marLeft w:val="0"/>
      <w:marRight w:val="0"/>
      <w:marTop w:val="0"/>
      <w:marBottom w:val="0"/>
      <w:divBdr>
        <w:top w:val="none" w:sz="0" w:space="0" w:color="auto"/>
        <w:left w:val="none" w:sz="0" w:space="0" w:color="auto"/>
        <w:bottom w:val="none" w:sz="0" w:space="0" w:color="auto"/>
        <w:right w:val="none" w:sz="0" w:space="0" w:color="auto"/>
      </w:divBdr>
      <w:divsChild>
        <w:div w:id="65961509">
          <w:marLeft w:val="0"/>
          <w:marRight w:val="0"/>
          <w:marTop w:val="0"/>
          <w:marBottom w:val="0"/>
          <w:divBdr>
            <w:top w:val="none" w:sz="0" w:space="0" w:color="auto"/>
            <w:left w:val="none" w:sz="0" w:space="0" w:color="auto"/>
            <w:bottom w:val="none" w:sz="0" w:space="0" w:color="auto"/>
            <w:right w:val="none" w:sz="0" w:space="0" w:color="auto"/>
          </w:divBdr>
          <w:divsChild>
            <w:div w:id="292059389">
              <w:marLeft w:val="0"/>
              <w:marRight w:val="0"/>
              <w:marTop w:val="0"/>
              <w:marBottom w:val="0"/>
              <w:divBdr>
                <w:top w:val="none" w:sz="0" w:space="0" w:color="auto"/>
                <w:left w:val="none" w:sz="0" w:space="0" w:color="auto"/>
                <w:bottom w:val="none" w:sz="0" w:space="0" w:color="auto"/>
                <w:right w:val="none" w:sz="0" w:space="0" w:color="auto"/>
              </w:divBdr>
            </w:div>
            <w:div w:id="553471413">
              <w:marLeft w:val="0"/>
              <w:marRight w:val="0"/>
              <w:marTop w:val="0"/>
              <w:marBottom w:val="0"/>
              <w:divBdr>
                <w:top w:val="none" w:sz="0" w:space="0" w:color="auto"/>
                <w:left w:val="none" w:sz="0" w:space="0" w:color="auto"/>
                <w:bottom w:val="none" w:sz="0" w:space="0" w:color="auto"/>
                <w:right w:val="none" w:sz="0" w:space="0" w:color="auto"/>
              </w:divBdr>
            </w:div>
            <w:div w:id="646130532">
              <w:marLeft w:val="0"/>
              <w:marRight w:val="0"/>
              <w:marTop w:val="0"/>
              <w:marBottom w:val="0"/>
              <w:divBdr>
                <w:top w:val="none" w:sz="0" w:space="0" w:color="auto"/>
                <w:left w:val="none" w:sz="0" w:space="0" w:color="auto"/>
                <w:bottom w:val="none" w:sz="0" w:space="0" w:color="auto"/>
                <w:right w:val="none" w:sz="0" w:space="0" w:color="auto"/>
              </w:divBdr>
            </w:div>
            <w:div w:id="800683846">
              <w:marLeft w:val="0"/>
              <w:marRight w:val="0"/>
              <w:marTop w:val="0"/>
              <w:marBottom w:val="0"/>
              <w:divBdr>
                <w:top w:val="none" w:sz="0" w:space="0" w:color="auto"/>
                <w:left w:val="none" w:sz="0" w:space="0" w:color="auto"/>
                <w:bottom w:val="none" w:sz="0" w:space="0" w:color="auto"/>
                <w:right w:val="none" w:sz="0" w:space="0" w:color="auto"/>
              </w:divBdr>
            </w:div>
            <w:div w:id="1956059922">
              <w:marLeft w:val="0"/>
              <w:marRight w:val="0"/>
              <w:marTop w:val="0"/>
              <w:marBottom w:val="0"/>
              <w:divBdr>
                <w:top w:val="none" w:sz="0" w:space="0" w:color="auto"/>
                <w:left w:val="none" w:sz="0" w:space="0" w:color="auto"/>
                <w:bottom w:val="none" w:sz="0" w:space="0" w:color="auto"/>
                <w:right w:val="none" w:sz="0" w:space="0" w:color="auto"/>
              </w:divBdr>
            </w:div>
            <w:div w:id="505562192">
              <w:marLeft w:val="0"/>
              <w:marRight w:val="0"/>
              <w:marTop w:val="0"/>
              <w:marBottom w:val="0"/>
              <w:divBdr>
                <w:top w:val="none" w:sz="0" w:space="0" w:color="auto"/>
                <w:left w:val="none" w:sz="0" w:space="0" w:color="auto"/>
                <w:bottom w:val="none" w:sz="0" w:space="0" w:color="auto"/>
                <w:right w:val="none" w:sz="0" w:space="0" w:color="auto"/>
              </w:divBdr>
            </w:div>
            <w:div w:id="1221674983">
              <w:marLeft w:val="0"/>
              <w:marRight w:val="0"/>
              <w:marTop w:val="0"/>
              <w:marBottom w:val="0"/>
              <w:divBdr>
                <w:top w:val="none" w:sz="0" w:space="0" w:color="auto"/>
                <w:left w:val="none" w:sz="0" w:space="0" w:color="auto"/>
                <w:bottom w:val="none" w:sz="0" w:space="0" w:color="auto"/>
                <w:right w:val="none" w:sz="0" w:space="0" w:color="auto"/>
              </w:divBdr>
            </w:div>
            <w:div w:id="2092849682">
              <w:marLeft w:val="0"/>
              <w:marRight w:val="0"/>
              <w:marTop w:val="0"/>
              <w:marBottom w:val="0"/>
              <w:divBdr>
                <w:top w:val="none" w:sz="0" w:space="0" w:color="auto"/>
                <w:left w:val="none" w:sz="0" w:space="0" w:color="auto"/>
                <w:bottom w:val="none" w:sz="0" w:space="0" w:color="auto"/>
                <w:right w:val="none" w:sz="0" w:space="0" w:color="auto"/>
              </w:divBdr>
            </w:div>
            <w:div w:id="375934924">
              <w:marLeft w:val="0"/>
              <w:marRight w:val="0"/>
              <w:marTop w:val="0"/>
              <w:marBottom w:val="0"/>
              <w:divBdr>
                <w:top w:val="none" w:sz="0" w:space="0" w:color="auto"/>
                <w:left w:val="none" w:sz="0" w:space="0" w:color="auto"/>
                <w:bottom w:val="none" w:sz="0" w:space="0" w:color="auto"/>
                <w:right w:val="none" w:sz="0" w:space="0" w:color="auto"/>
              </w:divBdr>
            </w:div>
            <w:div w:id="1993636165">
              <w:marLeft w:val="0"/>
              <w:marRight w:val="0"/>
              <w:marTop w:val="0"/>
              <w:marBottom w:val="0"/>
              <w:divBdr>
                <w:top w:val="none" w:sz="0" w:space="0" w:color="auto"/>
                <w:left w:val="none" w:sz="0" w:space="0" w:color="auto"/>
                <w:bottom w:val="none" w:sz="0" w:space="0" w:color="auto"/>
                <w:right w:val="none" w:sz="0" w:space="0" w:color="auto"/>
              </w:divBdr>
            </w:div>
            <w:div w:id="64185425">
              <w:marLeft w:val="0"/>
              <w:marRight w:val="0"/>
              <w:marTop w:val="0"/>
              <w:marBottom w:val="0"/>
              <w:divBdr>
                <w:top w:val="none" w:sz="0" w:space="0" w:color="auto"/>
                <w:left w:val="none" w:sz="0" w:space="0" w:color="auto"/>
                <w:bottom w:val="none" w:sz="0" w:space="0" w:color="auto"/>
                <w:right w:val="none" w:sz="0" w:space="0" w:color="auto"/>
              </w:divBdr>
            </w:div>
            <w:div w:id="239948084">
              <w:marLeft w:val="0"/>
              <w:marRight w:val="0"/>
              <w:marTop w:val="0"/>
              <w:marBottom w:val="0"/>
              <w:divBdr>
                <w:top w:val="none" w:sz="0" w:space="0" w:color="auto"/>
                <w:left w:val="none" w:sz="0" w:space="0" w:color="auto"/>
                <w:bottom w:val="none" w:sz="0" w:space="0" w:color="auto"/>
                <w:right w:val="none" w:sz="0" w:space="0" w:color="auto"/>
              </w:divBdr>
            </w:div>
            <w:div w:id="1603150535">
              <w:marLeft w:val="0"/>
              <w:marRight w:val="0"/>
              <w:marTop w:val="0"/>
              <w:marBottom w:val="0"/>
              <w:divBdr>
                <w:top w:val="none" w:sz="0" w:space="0" w:color="auto"/>
                <w:left w:val="none" w:sz="0" w:space="0" w:color="auto"/>
                <w:bottom w:val="none" w:sz="0" w:space="0" w:color="auto"/>
                <w:right w:val="none" w:sz="0" w:space="0" w:color="auto"/>
              </w:divBdr>
            </w:div>
            <w:div w:id="1195770778">
              <w:marLeft w:val="0"/>
              <w:marRight w:val="0"/>
              <w:marTop w:val="0"/>
              <w:marBottom w:val="0"/>
              <w:divBdr>
                <w:top w:val="none" w:sz="0" w:space="0" w:color="auto"/>
                <w:left w:val="none" w:sz="0" w:space="0" w:color="auto"/>
                <w:bottom w:val="none" w:sz="0" w:space="0" w:color="auto"/>
                <w:right w:val="none" w:sz="0" w:space="0" w:color="auto"/>
              </w:divBdr>
            </w:div>
            <w:div w:id="762845722">
              <w:marLeft w:val="0"/>
              <w:marRight w:val="0"/>
              <w:marTop w:val="0"/>
              <w:marBottom w:val="0"/>
              <w:divBdr>
                <w:top w:val="none" w:sz="0" w:space="0" w:color="auto"/>
                <w:left w:val="none" w:sz="0" w:space="0" w:color="auto"/>
                <w:bottom w:val="none" w:sz="0" w:space="0" w:color="auto"/>
                <w:right w:val="none" w:sz="0" w:space="0" w:color="auto"/>
              </w:divBdr>
            </w:div>
            <w:div w:id="1986664623">
              <w:marLeft w:val="0"/>
              <w:marRight w:val="0"/>
              <w:marTop w:val="0"/>
              <w:marBottom w:val="0"/>
              <w:divBdr>
                <w:top w:val="none" w:sz="0" w:space="0" w:color="auto"/>
                <w:left w:val="none" w:sz="0" w:space="0" w:color="auto"/>
                <w:bottom w:val="none" w:sz="0" w:space="0" w:color="auto"/>
                <w:right w:val="none" w:sz="0" w:space="0" w:color="auto"/>
              </w:divBdr>
            </w:div>
            <w:div w:id="1918126209">
              <w:marLeft w:val="0"/>
              <w:marRight w:val="0"/>
              <w:marTop w:val="0"/>
              <w:marBottom w:val="0"/>
              <w:divBdr>
                <w:top w:val="none" w:sz="0" w:space="0" w:color="auto"/>
                <w:left w:val="none" w:sz="0" w:space="0" w:color="auto"/>
                <w:bottom w:val="none" w:sz="0" w:space="0" w:color="auto"/>
                <w:right w:val="none" w:sz="0" w:space="0" w:color="auto"/>
              </w:divBdr>
            </w:div>
            <w:div w:id="556598589">
              <w:marLeft w:val="0"/>
              <w:marRight w:val="0"/>
              <w:marTop w:val="0"/>
              <w:marBottom w:val="0"/>
              <w:divBdr>
                <w:top w:val="none" w:sz="0" w:space="0" w:color="auto"/>
                <w:left w:val="none" w:sz="0" w:space="0" w:color="auto"/>
                <w:bottom w:val="none" w:sz="0" w:space="0" w:color="auto"/>
                <w:right w:val="none" w:sz="0" w:space="0" w:color="auto"/>
              </w:divBdr>
            </w:div>
            <w:div w:id="1885675022">
              <w:marLeft w:val="0"/>
              <w:marRight w:val="0"/>
              <w:marTop w:val="0"/>
              <w:marBottom w:val="0"/>
              <w:divBdr>
                <w:top w:val="none" w:sz="0" w:space="0" w:color="auto"/>
                <w:left w:val="none" w:sz="0" w:space="0" w:color="auto"/>
                <w:bottom w:val="none" w:sz="0" w:space="0" w:color="auto"/>
                <w:right w:val="none" w:sz="0" w:space="0" w:color="auto"/>
              </w:divBdr>
            </w:div>
          </w:divsChild>
        </w:div>
        <w:div w:id="240988150">
          <w:marLeft w:val="0"/>
          <w:marRight w:val="0"/>
          <w:marTop w:val="0"/>
          <w:marBottom w:val="0"/>
          <w:divBdr>
            <w:top w:val="none" w:sz="0" w:space="0" w:color="auto"/>
            <w:left w:val="none" w:sz="0" w:space="0" w:color="auto"/>
            <w:bottom w:val="none" w:sz="0" w:space="0" w:color="auto"/>
            <w:right w:val="none" w:sz="0" w:space="0" w:color="auto"/>
          </w:divBdr>
        </w:div>
        <w:div w:id="1833833716">
          <w:marLeft w:val="0"/>
          <w:marRight w:val="0"/>
          <w:marTop w:val="0"/>
          <w:marBottom w:val="0"/>
          <w:divBdr>
            <w:top w:val="none" w:sz="0" w:space="0" w:color="auto"/>
            <w:left w:val="none" w:sz="0" w:space="0" w:color="auto"/>
            <w:bottom w:val="none" w:sz="0" w:space="0" w:color="auto"/>
            <w:right w:val="none" w:sz="0" w:space="0" w:color="auto"/>
          </w:divBdr>
          <w:divsChild>
            <w:div w:id="241330019">
              <w:marLeft w:val="0"/>
              <w:marRight w:val="0"/>
              <w:marTop w:val="0"/>
              <w:marBottom w:val="0"/>
              <w:divBdr>
                <w:top w:val="none" w:sz="0" w:space="0" w:color="auto"/>
                <w:left w:val="none" w:sz="0" w:space="0" w:color="auto"/>
                <w:bottom w:val="none" w:sz="0" w:space="0" w:color="auto"/>
                <w:right w:val="none" w:sz="0" w:space="0" w:color="auto"/>
              </w:divBdr>
            </w:div>
            <w:div w:id="19648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8909">
      <w:bodyDiv w:val="1"/>
      <w:marLeft w:val="0"/>
      <w:marRight w:val="0"/>
      <w:marTop w:val="0"/>
      <w:marBottom w:val="0"/>
      <w:divBdr>
        <w:top w:val="none" w:sz="0" w:space="0" w:color="auto"/>
        <w:left w:val="none" w:sz="0" w:space="0" w:color="auto"/>
        <w:bottom w:val="none" w:sz="0" w:space="0" w:color="auto"/>
        <w:right w:val="none" w:sz="0" w:space="0" w:color="auto"/>
      </w:divBdr>
    </w:div>
    <w:div w:id="1662928586">
      <w:bodyDiv w:val="1"/>
      <w:marLeft w:val="0"/>
      <w:marRight w:val="0"/>
      <w:marTop w:val="0"/>
      <w:marBottom w:val="0"/>
      <w:divBdr>
        <w:top w:val="none" w:sz="0" w:space="0" w:color="auto"/>
        <w:left w:val="none" w:sz="0" w:space="0" w:color="auto"/>
        <w:bottom w:val="none" w:sz="0" w:space="0" w:color="auto"/>
        <w:right w:val="none" w:sz="0" w:space="0" w:color="auto"/>
      </w:divBdr>
    </w:div>
    <w:div w:id="1687438568">
      <w:bodyDiv w:val="1"/>
      <w:marLeft w:val="0"/>
      <w:marRight w:val="0"/>
      <w:marTop w:val="0"/>
      <w:marBottom w:val="0"/>
      <w:divBdr>
        <w:top w:val="none" w:sz="0" w:space="0" w:color="auto"/>
        <w:left w:val="none" w:sz="0" w:space="0" w:color="auto"/>
        <w:bottom w:val="none" w:sz="0" w:space="0" w:color="auto"/>
        <w:right w:val="none" w:sz="0" w:space="0" w:color="auto"/>
      </w:divBdr>
    </w:div>
    <w:div w:id="1695305078">
      <w:bodyDiv w:val="1"/>
      <w:marLeft w:val="0"/>
      <w:marRight w:val="0"/>
      <w:marTop w:val="0"/>
      <w:marBottom w:val="0"/>
      <w:divBdr>
        <w:top w:val="none" w:sz="0" w:space="0" w:color="auto"/>
        <w:left w:val="none" w:sz="0" w:space="0" w:color="auto"/>
        <w:bottom w:val="none" w:sz="0" w:space="0" w:color="auto"/>
        <w:right w:val="none" w:sz="0" w:space="0" w:color="auto"/>
      </w:divBdr>
    </w:div>
    <w:div w:id="1702053215">
      <w:bodyDiv w:val="1"/>
      <w:marLeft w:val="0"/>
      <w:marRight w:val="0"/>
      <w:marTop w:val="0"/>
      <w:marBottom w:val="0"/>
      <w:divBdr>
        <w:top w:val="none" w:sz="0" w:space="0" w:color="auto"/>
        <w:left w:val="none" w:sz="0" w:space="0" w:color="auto"/>
        <w:bottom w:val="none" w:sz="0" w:space="0" w:color="auto"/>
        <w:right w:val="none" w:sz="0" w:space="0" w:color="auto"/>
      </w:divBdr>
    </w:div>
    <w:div w:id="1705213348">
      <w:bodyDiv w:val="1"/>
      <w:marLeft w:val="0"/>
      <w:marRight w:val="0"/>
      <w:marTop w:val="0"/>
      <w:marBottom w:val="0"/>
      <w:divBdr>
        <w:top w:val="none" w:sz="0" w:space="0" w:color="auto"/>
        <w:left w:val="none" w:sz="0" w:space="0" w:color="auto"/>
        <w:bottom w:val="none" w:sz="0" w:space="0" w:color="auto"/>
        <w:right w:val="none" w:sz="0" w:space="0" w:color="auto"/>
      </w:divBdr>
    </w:div>
    <w:div w:id="1786532623">
      <w:bodyDiv w:val="1"/>
      <w:marLeft w:val="0"/>
      <w:marRight w:val="0"/>
      <w:marTop w:val="0"/>
      <w:marBottom w:val="0"/>
      <w:divBdr>
        <w:top w:val="none" w:sz="0" w:space="0" w:color="auto"/>
        <w:left w:val="none" w:sz="0" w:space="0" w:color="auto"/>
        <w:bottom w:val="none" w:sz="0" w:space="0" w:color="auto"/>
        <w:right w:val="none" w:sz="0" w:space="0" w:color="auto"/>
      </w:divBdr>
    </w:div>
    <w:div w:id="1799765040">
      <w:bodyDiv w:val="1"/>
      <w:marLeft w:val="0"/>
      <w:marRight w:val="0"/>
      <w:marTop w:val="0"/>
      <w:marBottom w:val="0"/>
      <w:divBdr>
        <w:top w:val="none" w:sz="0" w:space="0" w:color="auto"/>
        <w:left w:val="none" w:sz="0" w:space="0" w:color="auto"/>
        <w:bottom w:val="none" w:sz="0" w:space="0" w:color="auto"/>
        <w:right w:val="none" w:sz="0" w:space="0" w:color="auto"/>
      </w:divBdr>
    </w:div>
    <w:div w:id="1812674503">
      <w:bodyDiv w:val="1"/>
      <w:marLeft w:val="0"/>
      <w:marRight w:val="0"/>
      <w:marTop w:val="0"/>
      <w:marBottom w:val="0"/>
      <w:divBdr>
        <w:top w:val="none" w:sz="0" w:space="0" w:color="auto"/>
        <w:left w:val="none" w:sz="0" w:space="0" w:color="auto"/>
        <w:bottom w:val="none" w:sz="0" w:space="0" w:color="auto"/>
        <w:right w:val="none" w:sz="0" w:space="0" w:color="auto"/>
      </w:divBdr>
    </w:div>
    <w:div w:id="1856923257">
      <w:bodyDiv w:val="1"/>
      <w:marLeft w:val="0"/>
      <w:marRight w:val="0"/>
      <w:marTop w:val="0"/>
      <w:marBottom w:val="0"/>
      <w:divBdr>
        <w:top w:val="none" w:sz="0" w:space="0" w:color="auto"/>
        <w:left w:val="none" w:sz="0" w:space="0" w:color="auto"/>
        <w:bottom w:val="none" w:sz="0" w:space="0" w:color="auto"/>
        <w:right w:val="none" w:sz="0" w:space="0" w:color="auto"/>
      </w:divBdr>
    </w:div>
    <w:div w:id="1896624077">
      <w:bodyDiv w:val="1"/>
      <w:marLeft w:val="0"/>
      <w:marRight w:val="0"/>
      <w:marTop w:val="0"/>
      <w:marBottom w:val="0"/>
      <w:divBdr>
        <w:top w:val="none" w:sz="0" w:space="0" w:color="auto"/>
        <w:left w:val="none" w:sz="0" w:space="0" w:color="auto"/>
        <w:bottom w:val="none" w:sz="0" w:space="0" w:color="auto"/>
        <w:right w:val="none" w:sz="0" w:space="0" w:color="auto"/>
      </w:divBdr>
      <w:divsChild>
        <w:div w:id="831602061">
          <w:marLeft w:val="0"/>
          <w:marRight w:val="0"/>
          <w:marTop w:val="0"/>
          <w:marBottom w:val="0"/>
          <w:divBdr>
            <w:top w:val="none" w:sz="0" w:space="0" w:color="auto"/>
            <w:left w:val="none" w:sz="0" w:space="0" w:color="auto"/>
            <w:bottom w:val="none" w:sz="0" w:space="0" w:color="auto"/>
            <w:right w:val="none" w:sz="0" w:space="0" w:color="auto"/>
          </w:divBdr>
        </w:div>
      </w:divsChild>
    </w:div>
    <w:div w:id="1916085533">
      <w:bodyDiv w:val="1"/>
      <w:marLeft w:val="0"/>
      <w:marRight w:val="0"/>
      <w:marTop w:val="0"/>
      <w:marBottom w:val="0"/>
      <w:divBdr>
        <w:top w:val="none" w:sz="0" w:space="0" w:color="auto"/>
        <w:left w:val="none" w:sz="0" w:space="0" w:color="auto"/>
        <w:bottom w:val="none" w:sz="0" w:space="0" w:color="auto"/>
        <w:right w:val="none" w:sz="0" w:space="0" w:color="auto"/>
      </w:divBdr>
    </w:div>
    <w:div w:id="1919241031">
      <w:bodyDiv w:val="1"/>
      <w:marLeft w:val="0"/>
      <w:marRight w:val="0"/>
      <w:marTop w:val="0"/>
      <w:marBottom w:val="0"/>
      <w:divBdr>
        <w:top w:val="none" w:sz="0" w:space="0" w:color="auto"/>
        <w:left w:val="none" w:sz="0" w:space="0" w:color="auto"/>
        <w:bottom w:val="none" w:sz="0" w:space="0" w:color="auto"/>
        <w:right w:val="none" w:sz="0" w:space="0" w:color="auto"/>
      </w:divBdr>
      <w:divsChild>
        <w:div w:id="1071734583">
          <w:marLeft w:val="0"/>
          <w:marRight w:val="0"/>
          <w:marTop w:val="0"/>
          <w:marBottom w:val="0"/>
          <w:divBdr>
            <w:top w:val="none" w:sz="0" w:space="0" w:color="auto"/>
            <w:left w:val="none" w:sz="0" w:space="0" w:color="auto"/>
            <w:bottom w:val="none" w:sz="0" w:space="0" w:color="auto"/>
            <w:right w:val="none" w:sz="0" w:space="0" w:color="auto"/>
          </w:divBdr>
          <w:divsChild>
            <w:div w:id="207188918">
              <w:marLeft w:val="0"/>
              <w:marRight w:val="0"/>
              <w:marTop w:val="0"/>
              <w:marBottom w:val="0"/>
              <w:divBdr>
                <w:top w:val="none" w:sz="0" w:space="0" w:color="auto"/>
                <w:left w:val="none" w:sz="0" w:space="0" w:color="auto"/>
                <w:bottom w:val="none" w:sz="0" w:space="0" w:color="auto"/>
                <w:right w:val="none" w:sz="0" w:space="0" w:color="auto"/>
              </w:divBdr>
              <w:divsChild>
                <w:div w:id="89944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56742">
      <w:bodyDiv w:val="1"/>
      <w:marLeft w:val="0"/>
      <w:marRight w:val="0"/>
      <w:marTop w:val="0"/>
      <w:marBottom w:val="0"/>
      <w:divBdr>
        <w:top w:val="none" w:sz="0" w:space="0" w:color="auto"/>
        <w:left w:val="none" w:sz="0" w:space="0" w:color="auto"/>
        <w:bottom w:val="none" w:sz="0" w:space="0" w:color="auto"/>
        <w:right w:val="none" w:sz="0" w:space="0" w:color="auto"/>
      </w:divBdr>
    </w:div>
    <w:div w:id="1974283759">
      <w:bodyDiv w:val="1"/>
      <w:marLeft w:val="0"/>
      <w:marRight w:val="0"/>
      <w:marTop w:val="0"/>
      <w:marBottom w:val="0"/>
      <w:divBdr>
        <w:top w:val="none" w:sz="0" w:space="0" w:color="auto"/>
        <w:left w:val="none" w:sz="0" w:space="0" w:color="auto"/>
        <w:bottom w:val="none" w:sz="0" w:space="0" w:color="auto"/>
        <w:right w:val="none" w:sz="0" w:space="0" w:color="auto"/>
      </w:divBdr>
    </w:div>
    <w:div w:id="1979794675">
      <w:bodyDiv w:val="1"/>
      <w:marLeft w:val="0"/>
      <w:marRight w:val="0"/>
      <w:marTop w:val="0"/>
      <w:marBottom w:val="0"/>
      <w:divBdr>
        <w:top w:val="none" w:sz="0" w:space="0" w:color="auto"/>
        <w:left w:val="none" w:sz="0" w:space="0" w:color="auto"/>
        <w:bottom w:val="none" w:sz="0" w:space="0" w:color="auto"/>
        <w:right w:val="none" w:sz="0" w:space="0" w:color="auto"/>
      </w:divBdr>
      <w:divsChild>
        <w:div w:id="506602685">
          <w:marLeft w:val="0"/>
          <w:marRight w:val="0"/>
          <w:marTop w:val="0"/>
          <w:marBottom w:val="0"/>
          <w:divBdr>
            <w:top w:val="none" w:sz="0" w:space="0" w:color="auto"/>
            <w:left w:val="none" w:sz="0" w:space="0" w:color="auto"/>
            <w:bottom w:val="none" w:sz="0" w:space="0" w:color="auto"/>
            <w:right w:val="none" w:sz="0" w:space="0" w:color="auto"/>
          </w:divBdr>
          <w:divsChild>
            <w:div w:id="191918465">
              <w:marLeft w:val="0"/>
              <w:marRight w:val="0"/>
              <w:marTop w:val="0"/>
              <w:marBottom w:val="0"/>
              <w:divBdr>
                <w:top w:val="none" w:sz="0" w:space="0" w:color="auto"/>
                <w:left w:val="none" w:sz="0" w:space="0" w:color="auto"/>
                <w:bottom w:val="none" w:sz="0" w:space="0" w:color="auto"/>
                <w:right w:val="none" w:sz="0" w:space="0" w:color="auto"/>
              </w:divBdr>
              <w:divsChild>
                <w:div w:id="1436748758">
                  <w:marLeft w:val="0"/>
                  <w:marRight w:val="0"/>
                  <w:marTop w:val="0"/>
                  <w:marBottom w:val="0"/>
                  <w:divBdr>
                    <w:top w:val="none" w:sz="0" w:space="0" w:color="auto"/>
                    <w:left w:val="none" w:sz="0" w:space="0" w:color="auto"/>
                    <w:bottom w:val="none" w:sz="0" w:space="0" w:color="auto"/>
                    <w:right w:val="none" w:sz="0" w:space="0" w:color="auto"/>
                  </w:divBdr>
                  <w:divsChild>
                    <w:div w:id="20692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77930">
      <w:bodyDiv w:val="1"/>
      <w:marLeft w:val="0"/>
      <w:marRight w:val="0"/>
      <w:marTop w:val="0"/>
      <w:marBottom w:val="0"/>
      <w:divBdr>
        <w:top w:val="none" w:sz="0" w:space="0" w:color="auto"/>
        <w:left w:val="none" w:sz="0" w:space="0" w:color="auto"/>
        <w:bottom w:val="none" w:sz="0" w:space="0" w:color="auto"/>
        <w:right w:val="none" w:sz="0" w:space="0" w:color="auto"/>
      </w:divBdr>
      <w:divsChild>
        <w:div w:id="696470429">
          <w:marLeft w:val="0"/>
          <w:marRight w:val="0"/>
          <w:marTop w:val="0"/>
          <w:marBottom w:val="0"/>
          <w:divBdr>
            <w:top w:val="none" w:sz="0" w:space="0" w:color="auto"/>
            <w:left w:val="none" w:sz="0" w:space="0" w:color="auto"/>
            <w:bottom w:val="none" w:sz="0" w:space="0" w:color="auto"/>
            <w:right w:val="none" w:sz="0" w:space="0" w:color="auto"/>
          </w:divBdr>
          <w:divsChild>
            <w:div w:id="125516735">
              <w:marLeft w:val="0"/>
              <w:marRight w:val="0"/>
              <w:marTop w:val="0"/>
              <w:marBottom w:val="0"/>
              <w:divBdr>
                <w:top w:val="none" w:sz="0" w:space="0" w:color="auto"/>
                <w:left w:val="none" w:sz="0" w:space="0" w:color="auto"/>
                <w:bottom w:val="none" w:sz="0" w:space="0" w:color="auto"/>
                <w:right w:val="none" w:sz="0" w:space="0" w:color="auto"/>
              </w:divBdr>
              <w:divsChild>
                <w:div w:id="23104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7881">
      <w:bodyDiv w:val="1"/>
      <w:marLeft w:val="0"/>
      <w:marRight w:val="0"/>
      <w:marTop w:val="0"/>
      <w:marBottom w:val="0"/>
      <w:divBdr>
        <w:top w:val="none" w:sz="0" w:space="0" w:color="auto"/>
        <w:left w:val="none" w:sz="0" w:space="0" w:color="auto"/>
        <w:bottom w:val="none" w:sz="0" w:space="0" w:color="auto"/>
        <w:right w:val="none" w:sz="0" w:space="0" w:color="auto"/>
      </w:divBdr>
      <w:divsChild>
        <w:div w:id="599945150">
          <w:marLeft w:val="0"/>
          <w:marRight w:val="0"/>
          <w:marTop w:val="0"/>
          <w:marBottom w:val="0"/>
          <w:divBdr>
            <w:top w:val="none" w:sz="0" w:space="0" w:color="auto"/>
            <w:left w:val="none" w:sz="0" w:space="0" w:color="auto"/>
            <w:bottom w:val="none" w:sz="0" w:space="0" w:color="auto"/>
            <w:right w:val="none" w:sz="0" w:space="0" w:color="auto"/>
          </w:divBdr>
          <w:divsChild>
            <w:div w:id="384959496">
              <w:marLeft w:val="0"/>
              <w:marRight w:val="0"/>
              <w:marTop w:val="0"/>
              <w:marBottom w:val="0"/>
              <w:divBdr>
                <w:top w:val="none" w:sz="0" w:space="0" w:color="auto"/>
                <w:left w:val="none" w:sz="0" w:space="0" w:color="auto"/>
                <w:bottom w:val="none" w:sz="0" w:space="0" w:color="auto"/>
                <w:right w:val="none" w:sz="0" w:space="0" w:color="auto"/>
              </w:divBdr>
              <w:divsChild>
                <w:div w:id="1378358791">
                  <w:marLeft w:val="0"/>
                  <w:marRight w:val="0"/>
                  <w:marTop w:val="0"/>
                  <w:marBottom w:val="0"/>
                  <w:divBdr>
                    <w:top w:val="none" w:sz="0" w:space="0" w:color="auto"/>
                    <w:left w:val="none" w:sz="0" w:space="0" w:color="auto"/>
                    <w:bottom w:val="none" w:sz="0" w:space="0" w:color="auto"/>
                    <w:right w:val="none" w:sz="0" w:space="0" w:color="auto"/>
                  </w:divBdr>
                  <w:divsChild>
                    <w:div w:id="473987526">
                      <w:marLeft w:val="2325"/>
                      <w:marRight w:val="0"/>
                      <w:marTop w:val="0"/>
                      <w:marBottom w:val="0"/>
                      <w:divBdr>
                        <w:top w:val="none" w:sz="0" w:space="0" w:color="auto"/>
                        <w:left w:val="none" w:sz="0" w:space="0" w:color="auto"/>
                        <w:bottom w:val="none" w:sz="0" w:space="0" w:color="auto"/>
                        <w:right w:val="none" w:sz="0" w:space="0" w:color="auto"/>
                      </w:divBdr>
                      <w:divsChild>
                        <w:div w:id="867060058">
                          <w:marLeft w:val="0"/>
                          <w:marRight w:val="0"/>
                          <w:marTop w:val="0"/>
                          <w:marBottom w:val="0"/>
                          <w:divBdr>
                            <w:top w:val="none" w:sz="0" w:space="0" w:color="auto"/>
                            <w:left w:val="none" w:sz="0" w:space="0" w:color="auto"/>
                            <w:bottom w:val="none" w:sz="0" w:space="0" w:color="auto"/>
                            <w:right w:val="none" w:sz="0" w:space="0" w:color="auto"/>
                          </w:divBdr>
                          <w:divsChild>
                            <w:div w:id="1460605514">
                              <w:marLeft w:val="0"/>
                              <w:marRight w:val="0"/>
                              <w:marTop w:val="0"/>
                              <w:marBottom w:val="0"/>
                              <w:divBdr>
                                <w:top w:val="none" w:sz="0" w:space="0" w:color="auto"/>
                                <w:left w:val="none" w:sz="0" w:space="0" w:color="auto"/>
                                <w:bottom w:val="none" w:sz="0" w:space="0" w:color="auto"/>
                                <w:right w:val="none" w:sz="0" w:space="0" w:color="auto"/>
                              </w:divBdr>
                              <w:divsChild>
                                <w:div w:id="1554122841">
                                  <w:marLeft w:val="0"/>
                                  <w:marRight w:val="0"/>
                                  <w:marTop w:val="0"/>
                                  <w:marBottom w:val="0"/>
                                  <w:divBdr>
                                    <w:top w:val="none" w:sz="0" w:space="0" w:color="auto"/>
                                    <w:left w:val="none" w:sz="0" w:space="0" w:color="auto"/>
                                    <w:bottom w:val="none" w:sz="0" w:space="0" w:color="auto"/>
                                    <w:right w:val="none" w:sz="0" w:space="0" w:color="auto"/>
                                  </w:divBdr>
                                  <w:divsChild>
                                    <w:div w:id="1797017494">
                                      <w:marLeft w:val="0"/>
                                      <w:marRight w:val="0"/>
                                      <w:marTop w:val="0"/>
                                      <w:marBottom w:val="0"/>
                                      <w:divBdr>
                                        <w:top w:val="none" w:sz="0" w:space="0" w:color="auto"/>
                                        <w:left w:val="none" w:sz="0" w:space="0" w:color="auto"/>
                                        <w:bottom w:val="none" w:sz="0" w:space="0" w:color="auto"/>
                                        <w:right w:val="none" w:sz="0" w:space="0" w:color="auto"/>
                                      </w:divBdr>
                                      <w:divsChild>
                                        <w:div w:id="1963611782">
                                          <w:marLeft w:val="0"/>
                                          <w:marRight w:val="0"/>
                                          <w:marTop w:val="0"/>
                                          <w:marBottom w:val="0"/>
                                          <w:divBdr>
                                            <w:top w:val="none" w:sz="0" w:space="0" w:color="auto"/>
                                            <w:left w:val="none" w:sz="0" w:space="0" w:color="auto"/>
                                            <w:bottom w:val="none" w:sz="0" w:space="0" w:color="auto"/>
                                            <w:right w:val="none" w:sz="0" w:space="0" w:color="auto"/>
                                          </w:divBdr>
                                          <w:divsChild>
                                            <w:div w:id="1892569953">
                                              <w:marLeft w:val="0"/>
                                              <w:marRight w:val="0"/>
                                              <w:marTop w:val="0"/>
                                              <w:marBottom w:val="0"/>
                                              <w:divBdr>
                                                <w:top w:val="none" w:sz="0" w:space="0" w:color="auto"/>
                                                <w:left w:val="none" w:sz="0" w:space="0" w:color="auto"/>
                                                <w:bottom w:val="none" w:sz="0" w:space="0" w:color="auto"/>
                                                <w:right w:val="none" w:sz="0" w:space="0" w:color="auto"/>
                                              </w:divBdr>
                                              <w:divsChild>
                                                <w:div w:id="374621735">
                                                  <w:marLeft w:val="0"/>
                                                  <w:marRight w:val="0"/>
                                                  <w:marTop w:val="0"/>
                                                  <w:marBottom w:val="0"/>
                                                  <w:divBdr>
                                                    <w:top w:val="none" w:sz="0" w:space="0" w:color="auto"/>
                                                    <w:left w:val="none" w:sz="0" w:space="0" w:color="auto"/>
                                                    <w:bottom w:val="none" w:sz="0" w:space="0" w:color="auto"/>
                                                    <w:right w:val="none" w:sz="0" w:space="0" w:color="auto"/>
                                                  </w:divBdr>
                                                  <w:divsChild>
                                                    <w:div w:id="110321658">
                                                      <w:marLeft w:val="0"/>
                                                      <w:marRight w:val="0"/>
                                                      <w:marTop w:val="0"/>
                                                      <w:marBottom w:val="0"/>
                                                      <w:divBdr>
                                                        <w:top w:val="none" w:sz="0" w:space="0" w:color="auto"/>
                                                        <w:left w:val="none" w:sz="0" w:space="0" w:color="auto"/>
                                                        <w:bottom w:val="none" w:sz="0" w:space="0" w:color="auto"/>
                                                        <w:right w:val="none" w:sz="0" w:space="0" w:color="auto"/>
                                                      </w:divBdr>
                                                    </w:div>
                                                    <w:div w:id="3421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311510">
      <w:bodyDiv w:val="1"/>
      <w:marLeft w:val="0"/>
      <w:marRight w:val="0"/>
      <w:marTop w:val="0"/>
      <w:marBottom w:val="0"/>
      <w:divBdr>
        <w:top w:val="none" w:sz="0" w:space="0" w:color="auto"/>
        <w:left w:val="none" w:sz="0" w:space="0" w:color="auto"/>
        <w:bottom w:val="none" w:sz="0" w:space="0" w:color="auto"/>
        <w:right w:val="none" w:sz="0" w:space="0" w:color="auto"/>
      </w:divBdr>
    </w:div>
    <w:div w:id="2067945497">
      <w:bodyDiv w:val="1"/>
      <w:marLeft w:val="0"/>
      <w:marRight w:val="0"/>
      <w:marTop w:val="0"/>
      <w:marBottom w:val="0"/>
      <w:divBdr>
        <w:top w:val="none" w:sz="0" w:space="0" w:color="auto"/>
        <w:left w:val="none" w:sz="0" w:space="0" w:color="auto"/>
        <w:bottom w:val="none" w:sz="0" w:space="0" w:color="auto"/>
        <w:right w:val="none" w:sz="0" w:space="0" w:color="auto"/>
      </w:divBdr>
    </w:div>
    <w:div w:id="2073116353">
      <w:bodyDiv w:val="1"/>
      <w:marLeft w:val="0"/>
      <w:marRight w:val="0"/>
      <w:marTop w:val="0"/>
      <w:marBottom w:val="0"/>
      <w:divBdr>
        <w:top w:val="none" w:sz="0" w:space="0" w:color="auto"/>
        <w:left w:val="none" w:sz="0" w:space="0" w:color="auto"/>
        <w:bottom w:val="none" w:sz="0" w:space="0" w:color="auto"/>
        <w:right w:val="none" w:sz="0" w:space="0" w:color="auto"/>
      </w:divBdr>
      <w:divsChild>
        <w:div w:id="1752196106">
          <w:marLeft w:val="0"/>
          <w:marRight w:val="0"/>
          <w:marTop w:val="0"/>
          <w:marBottom w:val="0"/>
          <w:divBdr>
            <w:top w:val="none" w:sz="0" w:space="0" w:color="auto"/>
            <w:left w:val="none" w:sz="0" w:space="0" w:color="auto"/>
            <w:bottom w:val="none" w:sz="0" w:space="0" w:color="auto"/>
            <w:right w:val="none" w:sz="0" w:space="0" w:color="auto"/>
          </w:divBdr>
          <w:divsChild>
            <w:div w:id="587228063">
              <w:marLeft w:val="0"/>
              <w:marRight w:val="0"/>
              <w:marTop w:val="0"/>
              <w:marBottom w:val="0"/>
              <w:divBdr>
                <w:top w:val="none" w:sz="0" w:space="0" w:color="auto"/>
                <w:left w:val="none" w:sz="0" w:space="0" w:color="auto"/>
                <w:bottom w:val="none" w:sz="0" w:space="0" w:color="auto"/>
                <w:right w:val="none" w:sz="0" w:space="0" w:color="auto"/>
              </w:divBdr>
              <w:divsChild>
                <w:div w:id="1150054125">
                  <w:marLeft w:val="0"/>
                  <w:marRight w:val="0"/>
                  <w:marTop w:val="0"/>
                  <w:marBottom w:val="0"/>
                  <w:divBdr>
                    <w:top w:val="none" w:sz="0" w:space="0" w:color="auto"/>
                    <w:left w:val="none" w:sz="0" w:space="0" w:color="auto"/>
                    <w:bottom w:val="none" w:sz="0" w:space="0" w:color="auto"/>
                    <w:right w:val="none" w:sz="0" w:space="0" w:color="auto"/>
                  </w:divBdr>
                  <w:divsChild>
                    <w:div w:id="198138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79393">
      <w:bodyDiv w:val="1"/>
      <w:marLeft w:val="0"/>
      <w:marRight w:val="0"/>
      <w:marTop w:val="0"/>
      <w:marBottom w:val="0"/>
      <w:divBdr>
        <w:top w:val="none" w:sz="0" w:space="0" w:color="auto"/>
        <w:left w:val="none" w:sz="0" w:space="0" w:color="auto"/>
        <w:bottom w:val="none" w:sz="0" w:space="0" w:color="auto"/>
        <w:right w:val="none" w:sz="0" w:space="0" w:color="auto"/>
      </w:divBdr>
    </w:div>
    <w:div w:id="2087260149">
      <w:bodyDiv w:val="1"/>
      <w:marLeft w:val="0"/>
      <w:marRight w:val="0"/>
      <w:marTop w:val="0"/>
      <w:marBottom w:val="0"/>
      <w:divBdr>
        <w:top w:val="none" w:sz="0" w:space="0" w:color="auto"/>
        <w:left w:val="none" w:sz="0" w:space="0" w:color="auto"/>
        <w:bottom w:val="none" w:sz="0" w:space="0" w:color="auto"/>
        <w:right w:val="none" w:sz="0" w:space="0" w:color="auto"/>
      </w:divBdr>
    </w:div>
    <w:div w:id="2094357373">
      <w:bodyDiv w:val="1"/>
      <w:marLeft w:val="0"/>
      <w:marRight w:val="0"/>
      <w:marTop w:val="0"/>
      <w:marBottom w:val="0"/>
      <w:divBdr>
        <w:top w:val="none" w:sz="0" w:space="0" w:color="auto"/>
        <w:left w:val="none" w:sz="0" w:space="0" w:color="auto"/>
        <w:bottom w:val="none" w:sz="0" w:space="0" w:color="auto"/>
        <w:right w:val="none" w:sz="0" w:space="0" w:color="auto"/>
      </w:divBdr>
    </w:div>
    <w:div w:id="2095007865">
      <w:bodyDiv w:val="1"/>
      <w:marLeft w:val="0"/>
      <w:marRight w:val="0"/>
      <w:marTop w:val="0"/>
      <w:marBottom w:val="0"/>
      <w:divBdr>
        <w:top w:val="none" w:sz="0" w:space="0" w:color="auto"/>
        <w:left w:val="none" w:sz="0" w:space="0" w:color="auto"/>
        <w:bottom w:val="none" w:sz="0" w:space="0" w:color="auto"/>
        <w:right w:val="none" w:sz="0" w:space="0" w:color="auto"/>
      </w:divBdr>
    </w:div>
    <w:div w:id="2107075370">
      <w:bodyDiv w:val="1"/>
      <w:marLeft w:val="0"/>
      <w:marRight w:val="0"/>
      <w:marTop w:val="0"/>
      <w:marBottom w:val="0"/>
      <w:divBdr>
        <w:top w:val="none" w:sz="0" w:space="0" w:color="auto"/>
        <w:left w:val="none" w:sz="0" w:space="0" w:color="auto"/>
        <w:bottom w:val="none" w:sz="0" w:space="0" w:color="auto"/>
        <w:right w:val="none" w:sz="0" w:space="0" w:color="auto"/>
      </w:divBdr>
    </w:div>
    <w:div w:id="2118019280">
      <w:bodyDiv w:val="1"/>
      <w:marLeft w:val="0"/>
      <w:marRight w:val="0"/>
      <w:marTop w:val="0"/>
      <w:marBottom w:val="0"/>
      <w:divBdr>
        <w:top w:val="none" w:sz="0" w:space="0" w:color="auto"/>
        <w:left w:val="none" w:sz="0" w:space="0" w:color="auto"/>
        <w:bottom w:val="none" w:sz="0" w:space="0" w:color="auto"/>
        <w:right w:val="none" w:sz="0" w:space="0" w:color="auto"/>
      </w:divBdr>
    </w:div>
    <w:div w:id="2118090268">
      <w:bodyDiv w:val="1"/>
      <w:marLeft w:val="0"/>
      <w:marRight w:val="0"/>
      <w:marTop w:val="0"/>
      <w:marBottom w:val="0"/>
      <w:divBdr>
        <w:top w:val="none" w:sz="0" w:space="0" w:color="auto"/>
        <w:left w:val="none" w:sz="0" w:space="0" w:color="auto"/>
        <w:bottom w:val="none" w:sz="0" w:space="0" w:color="auto"/>
        <w:right w:val="none" w:sz="0" w:space="0" w:color="auto"/>
      </w:divBdr>
    </w:div>
    <w:div w:id="212834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gatesfoundation.org/how-we-work/general-information/open-access-policy" TargetMode="External"/><Relationship Id="rId21" Type="http://schemas.openxmlformats.org/officeDocument/2006/relationships/hyperlink" Target="mailto:landon.myer@uct.ac.za" TargetMode="External"/><Relationship Id="rId42" Type="http://schemas.openxmlformats.org/officeDocument/2006/relationships/hyperlink" Target="mailto:jjt@sun.ac.za" TargetMode="External"/><Relationship Id="rId47" Type="http://schemas.openxmlformats.org/officeDocument/2006/relationships/hyperlink" Target="mailto:georgef@sun.ac.za" TargetMode="External"/><Relationship Id="rId63" Type="http://schemas.openxmlformats.org/officeDocument/2006/relationships/header" Target="header2.xml"/><Relationship Id="rId68"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endnotes" Target="endnotes.xml"/><Relationship Id="rId29" Type="http://schemas.openxmlformats.org/officeDocument/2006/relationships/hyperlink" Target="https://www.who.int/news-room/detail/03-03-2020-shortage-of-personal-protective-equipment-endangering-health-workers-worldwide" TargetMode="External"/><Relationship Id="rId11" Type="http://schemas.openxmlformats.org/officeDocument/2006/relationships/numbering" Target="numbering.xml"/><Relationship Id="rId24" Type="http://schemas.openxmlformats.org/officeDocument/2006/relationships/hyperlink" Target="https://www.who.int/emergencies/diseases/novel-coronavirus-2019/global-research-on-novel-coronavirus-2019-ncov" TargetMode="External"/><Relationship Id="rId32" Type="http://schemas.openxmlformats.org/officeDocument/2006/relationships/image" Target="media/image1.emf"/><Relationship Id="rId37" Type="http://schemas.openxmlformats.org/officeDocument/2006/relationships/hyperlink" Target="mailto:rolandmed@gmail.com" TargetMode="External"/><Relationship Id="rId40" Type="http://schemas.openxmlformats.org/officeDocument/2006/relationships/hyperlink" Target="mailto:hr@sun.ac.za" TargetMode="External"/><Relationship Id="rId45" Type="http://schemas.openxmlformats.org/officeDocument/2006/relationships/hyperlink" Target="mailto:barnabas@sun.ac.za" TargetMode="External"/><Relationship Id="rId53" Type="http://schemas.openxmlformats.org/officeDocument/2006/relationships/hyperlink" Target="mailto:janeshaw@sun.ac.za" TargetMode="External"/><Relationship Id="rId58" Type="http://schemas.openxmlformats.org/officeDocument/2006/relationships/hyperlink" Target="http://www.famcru.org.za/" TargetMode="External"/><Relationship Id="rId66" Type="http://schemas.openxmlformats.org/officeDocument/2006/relationships/header" Target="header3.xml"/><Relationship Id="rId74" Type="http://schemas.openxmlformats.org/officeDocument/2006/relationships/hyperlink" Target="https://doi.org/10.1101/2020.04.03.023846" TargetMode="External"/><Relationship Id="rId5" Type="http://schemas.openxmlformats.org/officeDocument/2006/relationships/customXml" Target="../customXml/item4.xml"/><Relationship Id="rId61" Type="http://schemas.openxmlformats.org/officeDocument/2006/relationships/hyperlink" Target="http://www.famcru.org.za/" TargetMode="External"/><Relationship Id="rId19" Type="http://schemas.openxmlformats.org/officeDocument/2006/relationships/hyperlink" Target="mailto:edecloedt@sun.ac.za" TargetMode="External"/><Relationship Id="rId14" Type="http://schemas.openxmlformats.org/officeDocument/2006/relationships/webSettings" Target="webSettings.xml"/><Relationship Id="rId22" Type="http://schemas.openxmlformats.org/officeDocument/2006/relationships/hyperlink" Target="http://www.covid19-trials.org" TargetMode="External"/><Relationship Id="rId27" Type="http://schemas.openxmlformats.org/officeDocument/2006/relationships/hyperlink" Target="https://www.sahpra.org.za/wp-content/uploads/2020/02/7_Clinical-Trial-Participant-Time-Inconvenience-and-Expense_TIE_Compensation_Model_May18_v1-1.pdf" TargetMode="External"/><Relationship Id="rId30" Type="http://schemas.openxmlformats.org/officeDocument/2006/relationships/hyperlink" Target="https://doi.org/10.1101/2020.03.29.008631" TargetMode="External"/><Relationship Id="rId35" Type="http://schemas.openxmlformats.org/officeDocument/2006/relationships/hyperlink" Target="mailto:jnacheg1@jhu.edu" TargetMode="External"/><Relationship Id="rId43" Type="http://schemas.openxmlformats.org/officeDocument/2006/relationships/hyperlink" Target="mailto:hwp@sun.ac.za" TargetMode="External"/><Relationship Id="rId48" Type="http://schemas.openxmlformats.org/officeDocument/2006/relationships/hyperlink" Target="mailto:sonjap@sun.ac.za" TargetMode="External"/><Relationship Id="rId56" Type="http://schemas.openxmlformats.org/officeDocument/2006/relationships/hyperlink" Target="mailto:preiser@sun.ac.za" TargetMode="External"/><Relationship Id="rId64" Type="http://schemas.openxmlformats.org/officeDocument/2006/relationships/footer" Target="footer1.xml"/><Relationship Id="rId69" Type="http://schemas.openxmlformats.org/officeDocument/2006/relationships/hyperlink" Target="https://dailymed.nlm.nih.gov/dailymed/drugInfo.cfm?setid=b82bbda6-64f2-4426-b4ec-254eeea895ae" TargetMode="External"/><Relationship Id="rId8" Type="http://schemas.openxmlformats.org/officeDocument/2006/relationships/customXml" Target="../customXml/item7.xml"/><Relationship Id="rId51" Type="http://schemas.openxmlformats.org/officeDocument/2006/relationships/hyperlink" Target="mailto:smith@sun.ac.za" TargetMode="External"/><Relationship Id="rId72" Type="http://schemas.openxmlformats.org/officeDocument/2006/relationships/image" Target="media/image4.png"/><Relationship Id="rId3" Type="http://schemas.openxmlformats.org/officeDocument/2006/relationships/customXml" Target="../customXml/item2.xml"/><Relationship Id="rId12" Type="http://schemas.openxmlformats.org/officeDocument/2006/relationships/styles" Target="styles.xml"/><Relationship Id="rId17" Type="http://schemas.openxmlformats.org/officeDocument/2006/relationships/hyperlink" Target="mailto:millsej@mcmaster.ca" TargetMode="External"/><Relationship Id="rId25" Type="http://schemas.openxmlformats.org/officeDocument/2006/relationships/hyperlink" Target="https://rsc.tech-res.com/docs/default-source/safety/division-of-aids-(daids)-table-for-grading-the-severity-of-adult-and-pediatric-adverse-events-corrected-v-2-1.pdf" TargetMode="External"/><Relationship Id="rId33" Type="http://schemas.openxmlformats.org/officeDocument/2006/relationships/hyperlink" Target="mailto:mcot@sun.ac.za" TargetMode="External"/><Relationship Id="rId38" Type="http://schemas.openxmlformats.org/officeDocument/2006/relationships/hyperlink" Target="mailto:14847795@sun.ac.za" TargetMode="External"/><Relationship Id="rId46" Type="http://schemas.openxmlformats.org/officeDocument/2006/relationships/hyperlink" Target="mailto:fry@sun.ac.za" TargetMode="External"/><Relationship Id="rId59" Type="http://schemas.openxmlformats.org/officeDocument/2006/relationships/hyperlink" Target="https://eur03.safelinks.protection.outlook.com/?url=https%3A%2F%2Fwww.who.int%2Fdocs%2Fdefault-source%2Fcoronaviruse%2Fprotocol-v2-1.pdf&amp;data=02%7C01%7C%7C4240142180e14a19af7e08d7e08a5001%7Ca6fa3b030a3c42588433a120dffcd348%7C0%7C0%7C637224757013713338&amp;sdata=89Lq7qV41WPdZO%2FyfDVfrK2oYlEMa9efUswjlfr%2FUSo%3D&amp;reserved=0" TargetMode="External"/><Relationship Id="rId67" Type="http://schemas.openxmlformats.org/officeDocument/2006/relationships/footer" Target="footer3.xml"/><Relationship Id="rId20" Type="http://schemas.openxmlformats.org/officeDocument/2006/relationships/hyperlink" Target="mailto:ericdecloedt@sun.ac.za" TargetMode="External"/><Relationship Id="rId41" Type="http://schemas.openxmlformats.org/officeDocument/2006/relationships/hyperlink" Target="mailto:hrabie@sun.ac.za" TargetMode="External"/><Relationship Id="rId54" Type="http://schemas.openxmlformats.org/officeDocument/2006/relationships/hyperlink" Target="mailto:donaldsimon@sun.ac.za" TargetMode="External"/><Relationship Id="rId62" Type="http://schemas.openxmlformats.org/officeDocument/2006/relationships/header" Target="header1.xml"/><Relationship Id="rId70" Type="http://schemas.openxmlformats.org/officeDocument/2006/relationships/image" Target="media/image3.png"/><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https://www.who.int/emergencies/diseases/novel-coronavirus-2019/global-research-on-novel-coronavirus-2019-ncov" TargetMode="External"/><Relationship Id="rId28" Type="http://schemas.openxmlformats.org/officeDocument/2006/relationships/hyperlink" Target="https://www.who.int/news-room/detail/30-01-2020-statement-on-the-second-meeting-of-the-international-health-regulations-(2005)-emergency-committee-regarding-the-outbreak-of-novel-coronavirus-(2019-ncov" TargetMode="External"/><Relationship Id="rId36" Type="http://schemas.openxmlformats.org/officeDocument/2006/relationships/hyperlink" Target="mailto:landon.myer@uct.ac.za" TargetMode="External"/><Relationship Id="rId49" Type="http://schemas.openxmlformats.org/officeDocument/2006/relationships/hyperlink" Target="mailto:neal@sun.ac.za" TargetMode="External"/><Relationship Id="rId57" Type="http://schemas.openxmlformats.org/officeDocument/2006/relationships/hyperlink" Target="mailto:mariekevdzalm@sun.ac.za" TargetMode="External"/><Relationship Id="rId10" Type="http://schemas.openxmlformats.org/officeDocument/2006/relationships/customXml" Target="../customXml/item9.xml"/><Relationship Id="rId31" Type="http://schemas.openxmlformats.org/officeDocument/2006/relationships/hyperlink" Target="https://www.un3373.com/category-biological-substances/category-b" TargetMode="External"/><Relationship Id="rId44" Type="http://schemas.openxmlformats.org/officeDocument/2006/relationships/hyperlink" Target="mailto:marije@sun.ac.za" TargetMode="External"/><Relationship Id="rId52" Type="http://schemas.openxmlformats.org/officeDocument/2006/relationships/hyperlink" Target="mailto:macdonald@sun.ac.za" TargetMode="External"/><Relationship Id="rId60" Type="http://schemas.openxmlformats.org/officeDocument/2006/relationships/hyperlink" Target="https://eur03.safelinks.protection.outlook.com/?url=https%3A%2F%2Fwww.who.int%2Femergencies%2Fdiseases%2Fnovel-coronavirus-2019%2Ftechnical-guidance%2Flaboratory-guidance&amp;data=02%7C01%7C%7C4240142180e14a19af7e08d7e08a5001%7Ca6fa3b030a3c42588433a120dffcd348%7C0%7C0%7C637224757013713338&amp;sdata=8yIVQgsjVW5GN5qToumd5lqDv8%2FvwCzDUODHMqEVbsY%3D&amp;reserved=0" TargetMode="External"/><Relationship Id="rId65" Type="http://schemas.openxmlformats.org/officeDocument/2006/relationships/footer" Target="footer2.xml"/><Relationship Id="rId73" Type="http://schemas.openxmlformats.org/officeDocument/2006/relationships/hyperlink" Target="https://dailymed.nlm.nih.gov/dailymed/drugInfo.cfm?setid=41e2163b-af61-4323-8b9c-2d44fc122fd9" TargetMode="External"/><Relationship Id="rId4" Type="http://schemas.openxmlformats.org/officeDocument/2006/relationships/customXml" Target="../customXml/item3.xml"/><Relationship Id="rId9"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yperlink" Target="mailto:edecloedt@sun.ac.za" TargetMode="External"/><Relationship Id="rId39" Type="http://schemas.openxmlformats.org/officeDocument/2006/relationships/hyperlink" Target="mailto:tkellermann@sun.ac.za" TargetMode="External"/><Relationship Id="rId34" Type="http://schemas.openxmlformats.org/officeDocument/2006/relationships/hyperlink" Target="mailto:ericdecloedt@sun.ac.za" TargetMode="External"/><Relationship Id="rId50" Type="http://schemas.openxmlformats.org/officeDocument/2006/relationships/hyperlink" Target="https://eur03.safelinks.protection.outlook.com/?url=http%3A%2F%2Fbriang%40sun.ac.za%2F&amp;data=02%7C01%7C%7C02ca10d135d644e30dd008d7f40daaca%7Ca6fa3b030a3c42588433a120dffcd348%7C0%7C0%7C637246211858393699&amp;sdata=V%2B4NCXXov2cbkHNXiqvLpgeF7ekTCMcx2veREFjv2D8%3D&amp;reserved=0" TargetMode="External"/><Relationship Id="rId55" Type="http://schemas.openxmlformats.org/officeDocument/2006/relationships/hyperlink" Target="mailto:cummins@sun.ac.za" TargetMode="External"/><Relationship Id="rId76" Type="http://schemas.openxmlformats.org/officeDocument/2006/relationships/theme" Target="theme/theme1.xml"/><Relationship Id="rId7" Type="http://schemas.openxmlformats.org/officeDocument/2006/relationships/customXml" Target="../customXml/item6.xml"/><Relationship Id="rId71" Type="http://schemas.openxmlformats.org/officeDocument/2006/relationships/hyperlink" Target="https://dailymed.nlm.nih.gov/dailymed/drugInfo.cfm?setid=8290add3-4449-4e58-6c97-8fe1eec972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Variables xmlns="urn:cpt:variables" xmlns:xsi="http://www.w3.org/2001/XMLSchema-instance" xmlns:xsd="http://www.w3.org/2001/XMLSchema">
  <Variable CustomXMLPartID="{3BFD8BA7-525A-4EB4-9E91-C5C8F8459E43}" Name="CPT:AgencyID" DisplayName="Agency ID" Type="Variable_DataType_Text" XPath="/ns:ClinicalStudy[1]/ns:Metadata[1]/ns:AgencyId[1]" IsActive="false" Description="" AllowCCEditing="true" AllowCCDeletion="false" AllowUserInput="false" Tags="AgencyID" ShowPlaceholderText="true" PlaceholderText="regulatory agency identification number(s) as appropriate" TextLength="0" AllowMultiple="false" RepeatingSectionName="" AllowCarriageReturn="false" Choices="" Linked="false" LinkedSection="" SyncXMLOnDocumentSave="false"/>
  <Variable CustomXMLPartID="{3BFD8BA7-525A-4EB4-9E91-C5C8F8459E43}" Name="CPT:ProtocolNumber" DisplayName="Protocol Number" Type="Variable_DataType_Text" XPath="/ns:ClinicalStudy[1]/ns:Metadata[1]/ns:StudyNumber[1]" IsActive="true" Description="" AllowCCEditing="true" AllowCCDeletion="true" AllowUserInput="false" Tags="ProtocolNumber" ShowPlaceholderText="true" PlaceholderText="protocol number" TextLength="0" AllowMultiple="false" RepeatingSectionName="" AllowCarriageReturn="false" Choices="" Linked="false" LinkedSection="" SyncXMLOnDocumentSave="false"/>
  <Variable CustomXMLPartID="{3BFD8BA7-525A-4EB4-9E91-C5C8F8459E43}" Name="CPT:CompoundNumber" DisplayName="Compound Number" Type="Variable_DataType_Text" XPath="/ns:ClinicalStudy[1]/ns:Metadata[1]/ns:ProductCode[1]" IsActive="true" Description="" AllowCCEditing="true" AllowCCDeletion="false" AllowUserInput="false" Tags="CompoundNumber" ShowPlaceholderText="true" PlaceholderText="compound number" TextLength="0" AllowMultiple="false" RepeatingSectionName="" AllowCarriageReturn="false" Choices="" Linked="false" LinkedSection="" SyncXMLOnDocumentSave="false"/>
  <Variable CustomXMLPartID="{3BFD8BA7-525A-4EB4-9E91-C5C8F8459E43}" Name="CPT:ProtocolTitle" DisplayName="Protocol Title" Type="Variable_DataType_Text" XPath="/ns:ClinicalStudy[1]/ns:Metadata[1]/ns:LongTitle[1]" IsActive="true" Description="" AllowCCEditing="true" AllowCCDeletion="false" AllowUserInput="false" Tags="ProtocolTitle" ShowPlaceholderText="true" PlaceholderText="title" TextLength="0" AllowMultiple="false" RepeatingSectionName="" AllowCarriageReturn="false" Choices="" Linked="false" LinkedSection="" SyncXMLOnDocumentSave="false"/>
  <Variable CustomXMLPartID="{3BFD8BA7-525A-4EB4-9E91-C5C8F8459E43}" Name="CPT:SponsorName" DisplayName="Sponsor Name" Type="Variable_DataType_Text" XPath="/ns:ClinicalStudy[1]/ns:Metadata[1]/ns:SponsorName[1]" IsActive="false" Description="" AllowCCEditing="true" AllowCCDeletion="false" AllowUserInput="false" Tags="SponsorName" ShowPlaceholderText="true" PlaceholderText="insert sponsor name and address" TextLength="0" AllowMultiple="false" RepeatingSectionName="" AllowCarriageReturn="false" Choices="" Linked="false" LinkedSection="" SyncXMLOnDocumentSave="false"/>
  <Variable CustomXMLPartID="{3BFD8BA7-525A-4EB4-9E91-C5C8F8459E43}" Name="CPT:ApprovalDate" DisplayName="Approval Date" Type="Variable_DataType_Date" XPath="/ns:ClinicalStudy[1]/ns:Metadata[1]/ns:ApprovalDate[1]" IsActive="false" Description="" AllowCCEditing="true" AllowCCDeletion="false" AllowUserInput="false" Tags="ApprovalDate" ShowPlaceholderText="true" PlaceholderText="Enter Approval Date" TextLength="0" AllowMultiple="false" RepeatingSectionName="" AllowCarriageReturn="false" Choices="" Linked="false" LinkedSection="" DisplayFormat="M/d/yyyy" DateStorageFormat="Text (same as display)" SyncXMLOnDocumentSave="false"/>
  <Variable CustomXMLPartID="{3BFD8BA7-525A-4EB4-9E91-C5C8F8459E43}" Name="CPT:ObjectivesSecondary" DisplayName="Objectives Secondary" Type="Variable_DataType_Text" XPath="/ns:ClinicalStudy[1]/ns:Objectives[1]/ns:SecondaryObjectives[1]" IsActive="true" Description="" AllowCCEditing="false" AllowCCDeletion="false" AllowUserInput="false" Tags="ObjectivesAndEndpoints" ShowPlaceholderText="true" PlaceholderText="Enter Secondary Objectives" TextLength="0" AllowMultiple="true" RepeatingSectionName="SecondaryObjective" AllowCarriageReturn="true" Choices="" Linked="false" LinkedSection="" SyncXMLOnDocumentSave="false"/>
  <Variable CustomXMLPartID="{3BFD8BA7-525A-4EB4-9E91-C5C8F8459E43}" Name="CPT:EndpointsSecondary" DisplayName="Endpoints Secondary" Type="Variable_DataType_Text" XPath="" IsActive="true" Description="" AllowCCEditing="false" AllowCCDeletion="false" AllowUserInput="false" Tags="ObjectivesAndEndpoints" ShowPlaceholderText="true" PlaceholderText="Enter Secondary Endpoints " TextLength="0" AllowMultiple="true" RepeatingSectionName="SecondaryEndpoint" AllowCarriageReturn="true" Choices="" Linked="true" LinkedVariable="CPT:ObjectivesSecondary" LinkedSection="SecondaryEndpoints" SyncXMLOnDocumentSave="false"/>
  <Variable CustomXMLPartID="{3BFD8BA7-525A-4EB4-9E91-C5C8F8459E43}" Name="CPT:ExclusionCriteriaMedicalConditions" DisplayName="Exclusion Criteria Medical Conditions" Type="Variable_DataType_RichText" XPath="/ns:ClinicalStudy[1]/ns:ExclusionCriteria[1]/ns:ExclusionCriteriaMedicalConditions[1]" IsActive="false" Description="" AllowCCEditing="true" AllowCCDeletion="false" AllowUserInput="false" Tags="ExclusionCriteriaMedicalConditions" ShowPlaceholderText="true" PlaceholderText="Enter Exclusion Criteria Medical Conditions" TextLength="0" AllowMultiple="false" RepeatingSectionName="" AllowCarriageReturn="false" Choices="" Linked="false" LinkedSection="" SyncXMLOnDocumentSave="false"/>
  <Variable CustomXMLPartID="{3BFD8BA7-525A-4EB4-9E91-C5C8F8459E43}" Name="CPT:ExclusionCriteriaPriorConcomitantTherapy" DisplayName="Exclusion Criteria Prior Concomitant Therapy" Type="Variable_DataType_RichText" XPath="/ns:ClinicalStudy[1]/ns:ExclusionCriteria[1]/ns:ExclusionCriteriaPriorConcomitantTherapy[1]" IsActive="false" Description="" AllowCCEditing="true" AllowCCDeletion="false" AllowUserInput="false" Tags="ExclusionCriteriaConcomitantTherapy" ShowPlaceholderText="true" PlaceholderText="Enter Exclusion Criteria Prior Concomitant Therapy" TextLength="0" AllowMultiple="false" RepeatingSectionName="" AllowCarriageReturn="false" Choices="" Linked="false" LinkedSection="" SyncXMLOnDocumentSave="false"/>
  <Variable CustomXMLPartID="{3BFD8BA7-525A-4EB4-9E91-C5C8F8459E43}" Name="CPT:ExclusionCriteriaPriorConcurrentClinicalStudyExperience" DisplayName="Exclusion Criteria Prior Concurrent Clinical Study Experience" Type="Variable_DataType_RichText" XPath="/ns:ClinicalStudy[1]/ns:ExclusionCriteria[1]/ns:ExclusionCriteriaPriorConcurrentClinicalStudyExperience[1]" IsActive="false" Description="" AllowCCEditing="true" AllowCCDeletion="false" AllowUserInput="false" Tags="ExclusionCriteriaPriorConcurrentClinicalStudyExperience" ShowPlaceholderText="true" PlaceholderText="Enter Exclusion Criteria Prior Concurrent Clinical Study Experience" TextLength="0" AllowMultiple="false" RepeatingSectionName="" AllowCarriageReturn="false" Choices="" Linked="false" LinkedSection="" SyncXMLOnDocumentSave="false"/>
  <Variable CustomXMLPartID="{3BFD8BA7-525A-4EB4-9E91-C5C8F8459E43}" Name="CPT:ExclusionCriteriaDiagnosticAssessments" DisplayName="Exclusion Criteria Diagnostic Assessments" Type="Variable_DataType_RichText" XPath="/ns:ClinicalStudy[1]/ns:ExclusionCriteria[1]/ns:ExclusionCriteriaDiagnosticAssessments[1]" IsActive="false" Description="" AllowCCEditing="true" AllowCCDeletion="false" AllowUserInput="false" Tags="ExclusionCriteriaDiagnosticAssessments" ShowPlaceholderText="true" PlaceholderText="Enter Exclusion Criteria Diagnostic Assessments" TextLength="0" AllowMultiple="false" RepeatingSectionName="" AllowCarriageReturn="false" Choices="" Linked="false" LinkedSection="" SyncXMLOnDocumentSave="false"/>
  <Variable CustomXMLPartID="{3BFD8BA7-525A-4EB4-9E91-C5C8F8459E43}" Name="CPT:ExclusionCriteriaOther" DisplayName="Exclusion Criteria Other" Type="Variable_DataType_RichText" XPath="/ns:ClinicalStudy[1]/ns:ExclusionCriteria[1]/ns:ExclusionCriteriaOther[1]" IsActive="false" Description="" AllowCCEditing="true" AllowCCDeletion="false" AllowUserInput="false" Tags="ExclusionCriteriaOther" ShowPlaceholderText="true" PlaceholderText="Enter Exclusion Criteria Other" TextLength="0" AllowMultiple="false" RepeatingSectionName="" AllowCarriageReturn="false" Choices="" Linked="false" LinkedSection="" SyncXMLOnDocumentSave="false"/>
  <Variable CustomXMLPartID="{3BFD8BA7-525A-4EB4-9E91-C5C8F8459E43}" Name="CPT:StudyRationale" DisplayName="Study Rationale" Type="Variable_DataType_RichText" XPath="/ns:ClinicalStudy[1]/ns:Rationale[1]" IsActive="false" Description="" AllowCCEditing="true" AllowCCDeletion="false" AllowUserInput="false" Tags="StudyRationale" ShowPlaceholderText="true" PlaceholderText="Enter Rationale" TextLength="0" AllowMultiple="false" RepeatingSectionName="" AllowCarriageReturn="false" Choices="" Linked="false" LinkedSection="" SyncXMLOnDocumentSave="false"/>
  <Variable CustomXMLPartID="{3BFD8BA7-525A-4EB4-9E91-C5C8F8459E43}" Name="CPT:NumberofParticipants" DisplayName="Number of Participants" Type="Variable_DataType_Text" XPath="/ns:ClinicalStudy[1]/ns:Metadata[1]/ns:NumberOfParticipants[1]" IsActive="true" Description="" AllowCCEditing="true" AllowCCDeletion="true" AllowUserInput="false" Tags="NumberofParticipants" ShowPlaceholderText="true" PlaceholderText="Enter Number of Participants" TextLength="0" AllowMultiple="false" RepeatingSectionName="" AllowCarriageReturn="false" Choices="" Linked="false" LinkedSection="" SyncXMLOnDocumentSave="false"/>
  <Variable CustomXMLPartID="{3BFD8BA7-525A-4EB4-9E91-C5C8F8459E43}" Name="CPT:TreatmentGroupsandDuration" DisplayName="Treatment Groups and Duration" Type="Variable_DataType_RichText" XPath="/ns:ClinicalStudy[1]/ns:TreatmentGroupsAndDuration[1]" IsActive="false" Description="" AllowCCEditing="true" AllowCCDeletion="false" AllowUserInput="false" Tags="TreatmentArmsAndDuration" ShowPlaceholderText="true" PlaceholderText="Enter Treatment Groups and Duration" TextLength="0" AllowMultiple="false" RepeatingSectionName="" AllowCarriageReturn="false" Choices="" Linked="false" LinkedSection="" SyncXMLOnDocumentSave="false"/>
  <Variable CustomXMLPartID="{3BFD8BA7-525A-4EB4-9E91-C5C8F8459E43}" Name="CPT:InclusionCriteria" DisplayName="Inclusion Criteria" Type="Variable_DataType_RichText" XPath="/ns:ClinicalStudy[1]/ns:InclusionCriteria[1]" IsActive="false" Description="" AllowCCEditing="true" AllowCCDeletion="false" AllowUserInput="false" Tags="InclusionCriteria" ShowPlaceholderText="true" PlaceholderText="Enter Inclusion Criteria" TextLength="0" AllowMultiple="false" RepeatingSectionName="" AllowCarriageReturn="false" Choices="" Linked="false" LinkedSection="" SyncXMLOnDocumentSave="false"/>
  <Variable CustomXMLPartID="{3BFD8BA7-525A-4EB4-9E91-C5C8F8459E43}" Name="CPT:OverallDesign" DisplayName="Overall Design" Type="Variable_DataType_RichText" XPath="/ns:ClinicalStudy[1]/ns:OverallDesign[1]" IsActive="false" Description="" AllowCCEditing="true" AllowCCDeletion="false" AllowUserInput="false" Tags="OverallDesign" ShowPlaceholderText="true" PlaceholderText="Enter Overall Design" TextLength="0" AllowMultiple="false" RepeatingSectionName="" AllowCarriageReturn="false" Choices="" Linked="false" LinkedSection="" SyncXMLOnDocumentSave="false"/>
  <Variable CustomXMLPartID="{3BFD8BA7-525A-4EB4-9E91-C5C8F8459E43}" Name="CPT:UnitDoseStrength" DisplayName="Unit Dose Strength" Type="Variable_DataType_Text" XPath="/ns:ClinicalStudy[1]/ns:UnitDoseStrength[1]" IsActive="true" Description="" AllowCCEditing="true" AllowCCDeletion="false" AllowUserInput="false" Tags="UnitDoseStrength" ShowPlaceholderText="true" PlaceholderText="Enter Unit Dose Strength" TextLength="0" AllowMultiple="true" RepeatingSectionName="Dose" AllowCarriageReturn="true" Choices="" Linked="false" LinkedSection="" SyncXMLOnDocumentSave="false"/>
  <Variable CustomXMLPartID="{3BFD8BA7-525A-4EB4-9E91-C5C8F8459E43}" Name="CPT:StudyTreatmentName" DisplayName="Study Treatment Name" Type="Variable_DataType_Text" XPath="/ns:ClinicalStudy[1]/ns:StudyTreatmentName[1]" IsActive="true" Description="" AllowCCEditing="true" AllowCCDeletion="false" AllowUserInput="false" Tags="Treatment" ShowPlaceholderText="true" PlaceholderText="Enter Study Treatment Name" TextLength="0" AllowMultiple="true" RepeatingSectionName="Treatment" AllowCarriageReturn="true" Choices="" Linked="false" LinkedSection="" SyncXMLOnDocumentSave="false"/>
  <Variable CustomXMLPartID="{3BFD8BA7-525A-4EB4-9E91-C5C8F8459E43}" Name="CPT:DosageFormulation" DisplayName="Dosage Formulation" Type="Variable_DataType_Text" XPath="/ns:ClinicalStudy[1]/ns:Dosageformulation[1]" IsActive="true" Description="" AllowCCEditing="true" AllowCCDeletion="false" AllowUserInput="false" Tags="Formulation" ShowPlaceholderText="true" PlaceholderText="Enter Dosage Formulation" TextLength="0" AllowMultiple="true" RepeatingSectionName="Formulation" AllowCarriageReturn="true" Choices="" Linked="false" LinkedSection="" SyncXMLOnDocumentSave="false"/>
  <Variable CustomXMLPartID="{3BFD8BA7-525A-4EB4-9E91-C5C8F8459E43}" Name="CPT:RouteofAdministration" DisplayName="Route of Administration" Type="Variable_DataType_Text" XPath="/ns:ClinicalStudy[1]/ns:RouteOfAdministration[1]" IsActive="true" Description="" AllowCCEditing="true" AllowCCDeletion="false" AllowUserInput="false" Tags="Route" ShowPlaceholderText="true" PlaceholderText="Enter Route of Administration" TextLength="0" AllowMultiple="true" RepeatingSectionName="Route" AllowCarriageReturn="true" Choices="" Linked="false" LinkedSection="" SyncXMLOnDocumentSave="false"/>
  <Variable CustomXMLPartID="{3BFD8BA7-525A-4EB4-9E91-C5C8F8459E43}" Name="CPT:ObjectivesTertiaryExploratory" DisplayName="Objectives Tertiary Exploratory" Type="Variable_DataType_Text" XPath="/ns:ClinicalStudy[1]/ns:Objectives[1]/ns:TertiaryExploratoryObjectives[1]" IsActive="true" Description="" AllowCCEditing="false" AllowCCDeletion="false" AllowUserInput="false" Tags="ObjectivesTertiaryExploratory" ShowPlaceholderText="true" PlaceholderText="Enter Tertiary Exploratory Objectives " TextLength="0" AllowMultiple="true" RepeatingSectionName="TertiaryObjective" AllowCarriageReturn="true" Choices="" Linked="false" LinkedSection="" SyncXMLOnDocumentSave="false"/>
  <Variable CustomXMLPartID="{3BFD8BA7-525A-4EB4-9E91-C5C8F8459E43}" Name="CPT:EndpointsTertiaryExploratory" DisplayName="Endpoints Tertiary Exploratory" Type="Variable_DataType_Text" XPath="" IsActive="true" Description="" AllowCCEditing="false" AllowCCDeletion="false" AllowUserInput="false" Tags="ObjectivesAndEndpoints" ShowPlaceholderText="true" PlaceholderText="Enter Tertiary Exploratory Endpoints " TextLength="0" AllowMultiple="true" RepeatingSectionName="TertiaryEndpoint" AllowCarriageReturn="true" Choices="" Linked="true" LinkedVariable="CPT:ObjectivesTertiaryExploratory" LinkedSection="TertiaryEndpoints" SyncXMLOnDocumentSave="false"/>
  <Variable CustomXMLPartID="{3BFD8BA7-525A-4EB4-9E91-C5C8F8459E43}" Name="CPT:ProtocolShortTitle" DisplayName="Protocol Short Title" Type="Variable_DataType_Text" XPath="/ns:ClinicalStudy[1]/ns:Metadata[1]/ns:ShortTitle[1]" IsActive="true" Description="" AllowCCEditing="true" AllowCCDeletion="false" AllowUserInput="false" Tags="ProtocolShortTitle" ShowPlaceholderText="true" PlaceholderText="protocol short title" TextLength="300" AllowMultiple="false" RepeatingSectionName="" AllowCarriageReturn="false" Choices="" Linked="false" LinkedSection="" SyncXMLOnDocumentSave="false"/>
  <Variable CustomXMLPartID="{3BFD8BA7-525A-4EB4-9E91-C5C8F8459E43}" Name="CPT:ParticipantAndStudyCompletion" DisplayName="Participant and Study Completion" Type="Variable_DataType_RichText" XPath="/ns:ClinicalStudy[1]/ns:Metadata[1]/ns:ParticipantAndStudyCompletion[1]" IsActive="false" Description="" AllowCCEditing="true" AllowCCDeletion="false" AllowUserInput="false" Tags="ParticipantAndStudyCompletion" ShowPlaceholderText="true" PlaceholderText="Enter Participant and Study Completion" TextLength="0" AllowMultiple="false" RepeatingSectionName="" AllowCarriageReturn="false" Choices="" Linked="false" LinkedSection="" SyncXMLOnDocumentSave="false"/>
  <Variable CustomXMLPartID="{3BFD8BA7-525A-4EB4-9E91-C5C8F8459E43}" Name="CPT:ObjectivesPrimary" DisplayName="Objectives Primary" Type="Variable_DataType_Text" XPath="/ns:ClinicalStudy[1]/ns:Objectives[1]/ns:PrimaryObjectives[1]" IsActive="true" Description="" AllowCCEditing="false" AllowCCDeletion="false" AllowUserInput="false" Tags="ObjectivesAndEndpoints" ShowPlaceholderText="true" PlaceholderText="Enter Objectives Primary" TextLength="0" AllowMultiple="true" RepeatingSectionName="PrimaryObjective" AllowCarriageReturn="true" Choices="" Linked="false" LinkedSection="" SyncXMLOnDocumentSave="false"/>
  <Variable CustomXMLPartID="{3BFD8BA7-525A-4EB4-9E91-C5C8F8459E43}" Name="CPT:EndpointsPrimary" DisplayName="Endpoints Primary" Type="Variable_DataType_Text" XPath="" IsActive="true" Description="" AllowCCEditing="false" AllowCCDeletion="false" AllowUserInput="false" Tags="ObjectivesAndEndpoints" ShowPlaceholderText="true" PlaceholderText="Enter Primary  Endpoints" TextLength="0" AllowMultiple="true" RepeatingSectionName="PrimaryEndpoint" AllowCarriageReturn="true" Choices="" Linked="true" LinkedVariable="CPT:ObjectivesPrimary" LinkedSection="PrimaryEndpoints" SyncXMLOnDocumentSave="false"/>
</Variables>
</file>

<file path=customXml/item2.xml><?xml version="1.0" encoding="utf-8"?>
<ContentControlReferences xmlns="urn:cpt:ContentControlReferences" xmlns:xsi="http://www.w3.org/2001/XMLSchema-instance" xmlns:xsd="http://www.w3.org/2001/XMLSchema">
  <ContentControlReference ID="1234121817" VariableName="CPT:OverallDesign" XPath="/ns:ClinicalStudy[1]/ns:OverallDesign[1]"/>
  <ContentControlReference ID="3419657334" VariableName="CPT:OverallDesign" XPath="/ns:ClinicalStudy[1]/ns:OverallDesign[1]"/>
  <ContentControlReference ID="1132903328" VariableName="CPT:ExclusionCriteriaMedicalConditions" XPath="/ns:ClinicalStudy[1]/ns:ExclusionCriteria[1]/ns:ExclusionCriteriaMedicalConditions[1]"/>
  <ContentControlReference ID="1725329789" VariableName="CPT:ExclusionCriteriaPriorConcomitantTherapy" XPath="/ns:ClinicalStudy[1]/ns:ExclusionCriteria[1]/ns:ExclusionCriteriaPriorConcomitantTherapy[1]"/>
  <ContentControlReference ID="2539688933" VariableName="CPT:ExclusionCriteriaPriorConcurrentClinicalStudyExperience" XPath="/ns:ClinicalStudy[1]/ns:ExclusionCriteria[1]/ns:ExclusionCriteriaPriorConcurrentClinicalStudyExperience[1]"/>
  <ContentControlReference ID="3839250840" VariableName="CPT:ExclusionCriteriaDiagnosticAssessments" XPath="/ns:ClinicalStudy[1]/ns:ExclusionCriteria[1]/ns:ExclusionCriteriaDiagnosticAssessments[1]"/>
  <ContentControlReference ID="907112990" VariableName="CPT:ExclusionCriteriaOther" XPath="/ns:ClinicalStudy[1]/ns:ExclusionCriteria[1]/ns:ExclusionCriteriaOther[1]"/>
  <ContentControlReference ID="144718168" VariableName="CPT:TreatmentGroupsandDuration" XPath="/ns:ClinicalStudy[1]/ns:TreatmentGroupsAndDuration[1]"/>
  <ContentControlReference ID="1273978581" VariableName="CPT:StudyRationale" XPath="/ns:ClinicalStudy[1]/ns:Rationale[1]"/>
  <ContentControlReference ID="1741279426" VariableName="CPT:ParticipantAndStudyCompletion" XPath="/ns:ClinicalStudy[1]/ns:Metadata[1]/ns:ParticipantAndStudyCompletion[1]"/>
</ContentControlReferences>
</file>

<file path=customXml/item3.xml><?xml version="1.0" encoding="utf-8"?>
<ClinicalStudy xmlns="urn:cpt:protocol">
  <Metadata>
    <StudyNumber>Treatment for Mild SARS-CoV-2 in High Risk Adults, Version 1.0</StudyNumber>
    <ProductCode/>
    <AgencyId/>
    <ShortTitle/>
    <LongTitle/>
    <DrugName/>
    <NumberOfParticipants/>
    <ParticipantAndStudyCompletion>&lt;?mso-application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Id="rId34" Type="http://schemas.microsoft.com/office/2011/relationships/people" Target="people.xml" /&gt;
        &lt;Relationship Id="rId7" Type="http://schemas.openxmlformats.org/officeDocument/2006/relationships/endnotes" Target="endnotes.xml" /&gt;
        &lt;Relationship Id="rId33" Type="http://schemas.microsoft.com/office/2011/relationships/commentsExtended" Target="commentsExtended.xml"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Id="rId4" Type="http://schemas.openxmlformats.org/officeDocument/2006/relationships/settings" Target="settings.xml" /&gt;
        &lt;Relationship Id="rId9" Type="http://schemas.openxmlformats.org/officeDocument/2006/relationships/theme" Target="theme/theme1.xml"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&lt;w:p&gt;
            &lt;w:r&gt;
              &lt;w:t xml:space="preserve"&gt;Approximately &lt;/w:t&gt;
            &lt;/w:r&gt;
            &lt;w:r&gt;
              &lt;w:rPr&gt;
                &lt;w:color w:val="0070C0" /&gt;
              &lt;/w:rPr&gt;
              &lt;w:t&gt;X&lt;/w:t&gt;
            &lt;/w:r&gt;
            &lt;w:r&gt;
              &lt;w:t xml:space="preserve"&gt; participants will be screened to achieve &lt;/w:t&gt;
            &lt;/w:r&gt;
            &lt;w:r&gt;
              &lt;w:rPr&gt;
                &lt;w:color w:val="0070C0" /&gt;
              &lt;/w:rPr&gt;
              &lt;w:t&gt;X&lt;/w:t&gt;
            &lt;/w:r&gt;
            &lt;w:r&gt;
              &lt;w:t xml:space="preserve"&gt; randomly assigned to study treatment and &lt;/w:t&gt;
            &lt;/w:r&gt;
            &lt;w:r&gt;
              &lt;w:rPr&gt;
                &lt;w:color w:val="0070C0" /&gt;
              &lt;/w:rPr&gt;
              &lt;w:t&gt;X&lt;/w:t&gt;
            &lt;/w:r&gt;
            &lt;w:r&gt;
              &lt;w:rPr&gt;
                &lt;w:color w:val="0000FF" /&gt;
              &lt;/w:rPr&gt;
              &lt;w:t xml:space="preserve"&gt; &lt;/w:t&gt;
            &lt;/w:r&gt;
            &lt;w:r&gt;
              &lt;w:t xml:space="preserve"&gt;evaluable participants for an estimated total of &lt;/w:t&gt;
            &lt;/w:r&gt;
            &lt;w:r&gt;
              &lt;w:rPr&gt;
                &lt;w:color w:val="0070C0" /&gt;
              &lt;/w:rPr&gt;
              &lt;w:t&gt;X&lt;/w:t&gt;
            &lt;/w:r&gt;
            &lt;w:r&gt;
              &lt;w:t xml:space="preserve"&gt; evaluable participants per treatment group.&lt;/w:t&gt;
            &lt;/w:r&gt;
          &lt;/w:p&gt;
          &lt;w:p&gt;
            &lt;w:pPr&gt;
              &lt;w:pStyle w:val="CPTInstructional" /&gt;
            &lt;/w:pPr&gt;
            &lt;w:r&gt;
              &lt;w:t&gt;OR&lt;/w:t&gt;
            &lt;/w:r&gt;
          &lt;/w:p&gt;
          &lt;w:p&gt;
            &lt;w:r&gt;
              &lt;w:rPr&gt;
                &lt;w:rFonts w:eastAsia="Times New Roman" w:cs="Times New Roman" /&gt;
                &lt;w:szCs w:val="24" /&gt;
              &lt;/w:rPr&gt;
              &lt;w:t xml:space="preserve"&gt;A maximum of &lt;/w:t&gt;
            &lt;/w:r&gt;
            &lt;w:r&gt;
              &lt;w:rPr&gt;
                &lt;w:color w:val="0070C0" /&gt;
              &lt;/w:rPr&gt;
              &lt;w:t&gt;X&lt;/w:t&gt;
            &lt;/w:r&gt;
            &lt;w:r&gt;
              &lt;w:rPr&gt;
                &lt;w:rFonts w:eastAsia="Times New Roman" w:cs="Times New Roman" /&gt;
                &lt;w:szCs w:val="24" /&gt;
              &lt;/w:rPr&gt;
              &lt;w:t xml:space="preserve"&gt; participants will be randomly assigned to study treatment such that approximately &lt;/w:t&gt;
            &lt;/w:r&gt;
            &lt;w:r&gt;
              &lt;w:rPr&gt;
                &lt;w:color w:val="0070C0" /&gt;
              &lt;/w:rPr&gt;
              &lt;w:t&gt;Y&lt;/w:t&gt;
            &lt;/w:r&gt;
            &lt;w:r&gt;
              &lt;w:rPr&gt;
                &lt;w:rFonts w:eastAsia="Times New Roman" w:cs="Times New Roman" /&gt;
                &lt;w:szCs w:val="24" /&gt;
              &lt;/w:rPr&gt;
              &lt;w:t xml:space="preserve"&gt; evaluable participants complete the study.&lt;/w:t&gt;
            &lt;/w:r&gt;
          &lt;/w:p&gt;
          &lt;w:p /&gt;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&lt;w:p /&gt;
          &lt;w:p /&gt;
          &lt;w:p /&gt;
        &lt;/w:endnote&gt;
        &lt;w:endnote w:type="continuationSeparator" w:id="0"&gt;
          &lt;w:p&gt;
            &lt;w:pPr&gt;
              &lt;w:spacing w:after="0" w:line="240" w:lineRule="auto" /&gt;
            &lt;/w:pPr&gt;
            &lt;w:r&gt;
              &lt;w:continuationSeparator /&gt;
            &lt;/w:r&gt;
          &lt;/w:p&gt;
          &lt;w:p /&gt;
          &lt;w:p /&gt;
          &lt;w:p /&gt;
        &lt;/w:endnote&gt;
        &lt;w:endnote w:type="continuationNotice" w:id="1"&gt;
          &lt;w:p&gt;
            &lt;w:pPr&gt;
              &lt;w:spacing w:after="0" w:line="240" w:lineRule="auto" /&gt;
            &lt;/w:pPr&gt;
          &lt;/w:p&gt;
          &lt;w:p /&gt;
          &lt;w:p /&gt;
          &lt;w:p /&gt;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&lt;w:p /&gt;
          &lt;w:p /&gt;
          &lt;w:p /&gt;
        &lt;/w:footnote&gt;
        &lt;w:footnote w:type="continuationSeparator" w:id="0"&gt;
          &lt;w:p&gt;
            &lt;w:pPr&gt;
              &lt;w:spacing w:after="0" w:line="240" w:lineRule="auto" /&gt;
            &lt;/w:pPr&gt;
            &lt;w:r&gt;
              &lt;w:continuationSeparator /&gt;
            &lt;/w:r&gt;
          &lt;/w:p&gt;
          &lt;w:p /&gt;
          &lt;w:p /&gt;
          &lt;w:p /&gt;
        &lt;/w:footnote&gt;
        &lt;w:footnote w:type="continuationNotice" w:id="1"&gt;
          &lt;w:p&gt;
            &lt;w:pPr&gt;
              &lt;w:spacing w:after="0" w:line="240" w:lineRule="auto" /&gt;
            &lt;/w:pPr&gt;
          &lt;/w:p&gt;
          &lt;w:p /&gt;
          &lt;w:p /&gt;
          &lt;w:p /&gt;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w:percent="100"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w:val="14" /&gt;
          &lt;w:compatSetting w:name="overrideTableStyleFontSizeAndJustification" w:uri="http://schemas.microsoft.com/office/word" w:val="1" /&gt;
          &lt;w:compatSetting w:name="enableOpenTypeFeatures" w:uri="http://schemas.microsoft.com/office/word" w:val="1" /&gt;
          &lt;w:compatSetting w:name="doNotFlipMirrorIndents" w:uri="http://schemas.microsoft.com/office/word" w:val="1" /&gt;
        &lt;/w:compat&gt;
        &lt;w:docVars&gt;
          &lt;w:docVar w:name="LibraryFilter" w:val="V2.1_CPT Library_Asthma Master.docx,V2.1_CPT_Library_Diabetes Master.docx|V2.1_CPT Library_Healthy Volunteer Master.docx,V2.1_CPT Library_Patient Master.docx|"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w:usb0="E00002FF" w:usb1="4000ACFF" w:usb2="00000001"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w:val="0F8CE2AE" /&gt;
          &lt;w:lvl w:ilvl="0"&gt;
            &lt;w:start w:val="1" /&gt;
            &lt;w:numFmt w:val="decimal" /&gt;
            &lt;w:pStyle w:val="ListNumber"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w:abstractNumId="13"&gt;
          &lt;w:nsid w:val="0B5267F0" /&gt;
          &lt;w:multiLevelType w:val="hybridMultilevel" /&gt;
          &lt;w:tmpl w:val="7992709C" /&gt;
          &lt;w:lvl w:ilvl="0" w:tplc="EAD0C812"&gt;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w:abstractNumId="14"&gt;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w:val="0F4E5AC4" /&gt;
          &lt;w:multiLevelType w:val="singleLevel" /&gt;
          &lt;w:tmpl w:val="62E445DA" /&gt;
          &lt;w:lvl w:ilvl="0"&gt;
            &lt;w:start w:val="1" /&gt;
            &lt;w:numFmt w:val="decimal" /&gt;
            &lt;w:lvlText w:val="%1." /&gt;
            &lt;w:lvlJc w:val="left" /&gt;
            &lt;w:pPr&gt;
              &lt;w:tabs&gt;
                &lt;w:tab w:val="num" w:pos="432" /&gt;
              &lt;/w:tabs&gt;
              &lt;w:ind w:left="432" w:hanging="432" /&gt;
            &lt;/w:pPr&gt;
            &lt;w:rPr&gt;
              &lt;w:rFonts w:hint="default" /&gt;
            &lt;/w:rPr&gt;
          &lt;/w:lvl&gt;
        &lt;/w:abstractNum&gt;
        &lt;w:abstractNum w:abstractNumId="17"&gt;
          &lt;w:nsid w:val="104F4ABA" /&gt;
          &lt;w:multiLevelType w:val="hybridMultilevel" /&gt;
          &lt;w:tmpl w:val="F152626E" /&gt;
          &lt;w:lvl w:ilvl="0" w:tplc="04090003"&gt;
            &lt;w:start w:val="1" /&gt;
            &lt;w:numFmt w:val="bullet" /&gt;
            &lt;w:lvlText w:val="o" /&gt;
            &lt;w:lvlJc w:val="left" /&gt;
            &lt;w:pPr&gt;
              &lt;w:ind w:left="1080" w:hanging="360" /&gt;
            &lt;/w:pPr&gt;
            &lt;w:rPr&gt;
              &lt;w:rFonts w:ascii="Courier New" w:hAnsi="Courier New" w:cs="Courier New"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w:abstractNumId="18"&gt;
          &lt;w:nsid w:val="13490AF4" /&gt;
          &lt;w:multiLevelType w:val="hybridMultilevel" /&gt;
          &lt;w:tmpl w:val="61DEFBCC" /&gt;
          &lt;w:lvl w:ilvl="0" w:tplc="77A6A24A"&gt;
            &lt;w:start w:val="1" /&gt;
            &lt;w:numFmt w:val="bullet" /&gt;
            &lt;w:lvlText w:val="" /&gt;
            &lt;w:lvlJc w:val="left" /&gt;
            &lt;w:pPr&gt;
              &lt;w:ind w:left="720" w:hanging="360" /&gt;
            &lt;/w:pPr&gt;
            &lt;w:rPr&gt;
              &lt;w:rFonts w:ascii="Symbol" w:hAnsi="Symbol" w:hint="default" /&gt;
              &lt;w:color w:val="auto"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w:val="1C082410" /&gt;
          &lt;w:multiLevelType w:val="hybridMultilevel" /&gt;
          &lt;w:tmpl w:val="D5F235DA"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w:abstractNumId="24"&gt;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w:val="1D4D390B" /&gt;
          &lt;w:multiLevelType w:val="hybridMultilevel" /&gt;
          &lt;w:tmpl w:val="253E2E92" /&gt;
          &lt;w:lvl w:ilvl="0" w:tplc="04090001"&gt;
            &lt;w:start w:val="1" /&gt;
            &lt;w:numFmt w:val="bullet" /&gt;
            &lt;w:lvlText w:val="" /&gt;
            &lt;w:lvlJc w:val="left" /&gt;
            &lt;w:pPr&gt;
              &lt;w:ind w:left="1080" w:hanging="360" /&gt;
            &lt;/w:pPr&gt;
            &lt;w:rPr&gt;
              &lt;w:rFonts w:ascii="Symbol" w:hAnsi="Symbol"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w:abstractNumId="26"&gt;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w:abstractNumId="27"&gt;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w:abstractNumId="28"&gt;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w:abstractNumId="29"&gt;
          &lt;w:nsid w:val="1FF81BC6" /&gt;
          &lt;w:multiLevelType w:val="hybridMultilevel" /&gt;
          &lt;w:tmpl w:val="B23AF288"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w:abstractNumId="30"&gt;
          &lt;w:nsid w:val="22206345" /&gt;
          &lt;w:multiLevelType w:val="hybridMultilevel" /&gt;
          &lt;w:tmpl w:val="1EC8693E"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w:abstractNumId="32"&gt;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w:abstractNumId="33"&gt;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w:abstractNumId="35"&gt;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w:abstractNumId="36"&gt;
          &lt;w:nsid w:val="325E7691" /&gt;
          &lt;w:multiLevelType w:val="hybridMultilevel" /&gt;
          &lt;w:tmpl w:val="E2405C84"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w:abstractNumId="38"&gt;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w:abstractNumId="39"&gt;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w:abstractNumId="41"&gt;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w:abstractNumId="42"&gt;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w:abstractNumId="43"&gt;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w:abstractNumId="44"&gt;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w:abstractNumId="45"&gt;
          &lt;w:nsid w:val="3BFE4B2A" /&gt;
          &lt;w:multiLevelType w:val="hybridMultilevel" /&gt;
          &lt;w:tmpl w:val="0D68D196" /&gt;
          &lt;w:lvl w:ilvl="0" w:tplc="04090001"&gt;
            &lt;w:start w:val="1" /&gt;
            &lt;w:numFmt w:val="bullet"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w:abstractNumId="46"&gt;
          &lt;w:nsid w:val="3DD01B05" /&gt;
          &lt;w:multiLevelType w:val="hybridMultilevel" /&gt;
          &lt;w:tmpl w:val="C7E2CA84" /&gt;
          &lt;w:lvl w:ilvl="0" w:tplc="0409000F"&gt;
            &lt;w:start w:val="1" /&gt;
            &lt;w:numFmt w:val="decimal"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w:abstractNumId="47"&gt;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w:abstractNumId="48"&gt;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w:abstractNumId="49"&gt;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w:abstractNumId="50"&gt;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w:abstractNumId="51"&gt;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w:abstractNumId="52"&gt;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w:abstractNumId="53"&gt;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w:abstractNumId="55"&gt;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w:abstractNumId="56"&gt;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w:abstractNumId="58"&gt;
          &lt;w:nsid w:val="50186FA2" /&gt;
          &lt;w:multiLevelType w:val="hybridMultilevel" /&gt;
          &lt;w:tmpl w:val="97E0D722"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w:abstractNumId="60"&gt;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w:abstractNumId="61"&gt;
          &lt;w:nsid w:val="51740E67" /&gt;
          &lt;w:multiLevelType w:val="hybridMultilevel" /&gt;
          &lt;w:tmpl w:val="6C822940"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w:abstractNumId="62"&gt;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w:abstractNumId="63"&gt;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w:abstractNumId="64"&gt;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w:abstractNumId="65"&gt;
          &lt;w:nsid w:val="55BE2694" /&gt;
          &lt;w:multiLevelType w:val="hybridMultilevel" /&gt;
          &lt;w:tmpl w:val="4C467E8C" /&gt;
          &lt;w:lvl w:ilvl="0" w:tplc="16146F14"&gt;
            &lt;w:start w:val="2"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w:abstractNumId="66"&gt;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w:abstractNumId="67"&gt;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w:abstractNumId="68"&gt;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w:abstractNumId="69"&gt;
          &lt;w:nsid w:val="5F2A1ABE" /&gt;
          &lt;w:multiLevelType w:val="singleLevel" /&gt;
          &lt;w:tmpl w:val="B686D922" /&gt;
          &lt;w:lvl w:ilvl="0"&gt;
            &lt;w:start w:val="1" /&gt;
            &lt;w:numFmt w:val="bullet" /&gt;
            &lt;w:lvlText w:val="" /&gt;
            &lt;w:lvlJc w:val="left" /&gt;
            &lt;w:pPr&gt;
              &lt;w:tabs&gt;
                &lt;w:tab w:val="num" w:pos="432" /&gt;
              &lt;/w:tabs&gt;
              &lt;w:ind w:left="432" w:hanging="432" /&gt;
            &lt;/w:pPr&gt;
            &lt;w:rPr&gt;
              &lt;w:rFonts w:ascii="Symbol" w:hAnsi="Symbol" w:hint="default" /&gt;
            &lt;/w:rPr&gt;
          &lt;/w:lvl&gt;
        &lt;/w:abstractNum&gt;
        &lt;w:abstractNum w:abstractNumId="70"&gt;
          &lt;w:nsid w:val="5F3A6F28" /&gt;
          &lt;w:multiLevelType w:val="hybridMultilevel" /&gt;
          &lt;w:tmpl w:val="E83CD1AC"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w:abstractNumId="71"&gt;
          &lt;w:nsid w:val="611227B5" /&gt;
          &lt;w:multiLevelType w:val="hybridMultilevel" /&gt;
          &lt;w:tmpl w:val="DD861FAE" /&gt;
          &lt;w:lvl w:ilvl="0" w:tplc="04090001"&gt;
            &lt;w:start w:val="1" /&gt;
            &lt;w:numFmt w:val="decimal"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w:abstractNumId="72"&gt;
          &lt;w:nsid w:val="62DB3D68" /&gt;
          &lt;w:multiLevelType w:val="hybridMultilevel" /&gt;
          &lt;w:tmpl w:val="3286A04E" /&gt;
          &lt;w:lvl w:ilvl="0" w:tplc="AF42F0A2"&gt;
            &lt;w:start w:val="1" /&gt;
            &lt;w:numFmt w:val="bullet"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w:abstractNumId="73"&gt;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w:abstractNumId="74"&gt;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w:abstractNumId="75"&gt;
          &lt;w:nsid w:val="63DC4716" /&gt;
          &lt;w:multiLevelType w:val="hybridMultilevel" /&gt;
          &lt;w:tmpl w:val="5E04554C" /&gt;
          &lt;w:lvl w:ilvl="0" w:tplc="0409001B"&gt;
            &lt;w:start w:val="1" /&gt;
            &lt;w:numFmt w:val="lowerRoman" /&gt;
            &lt;w:lvlText w:val="%1." /&gt;
            &lt;w:lvlJc w:val="right" /&gt;
            &lt;w:pPr&gt;
              &lt;w:ind w:left="15480" w:hanging="360" /&gt;
            &lt;/w:pPr&gt;
          &lt;/w:lvl&gt;
          &lt;w:lvl w:ilvl="1" w:tplc="04090003"&gt;
            &lt;w:start w:val="1" /&gt;
            &lt;w:numFmt w:val="lowerLetter" /&gt;
            &lt;w:lvlText w:val="%2." /&gt;
            &lt;w:lvlJc w:val="left" /&gt;
            &lt;w:pPr&gt;
              &lt;w:ind w:left="16200" w:hanging="360" /&gt;
            &lt;/w:pPr&gt;
          &lt;/w:lvl&gt;
          &lt;w:lvl w:ilvl="2" w:tplc="04090005" w:tentative="1"&gt;
            &lt;w:start w:val="1" /&gt;
            &lt;w:numFmt w:val="lowerRoman" /&gt;
            &lt;w:lvlText w:val="%3." /&gt;
            &lt;w:lvlJc w:val="right" /&gt;
            &lt;w:pPr&gt;
              &lt;w:ind w:left="16920" w:hanging="180" /&gt;
            &lt;/w:pPr&gt;
          &lt;/w:lvl&gt;
          &lt;w:lvl w:ilvl="3" w:tplc="04090001" w:tentative="1"&gt;
            &lt;w:start w:val="1" /&gt;
            &lt;w:numFmt w:val="decimal" /&gt;
            &lt;w:lvlText w:val="%4." /&gt;
            &lt;w:lvlJc w:val="left" /&gt;
            &lt;w:pPr&gt;
              &lt;w:ind w:left="17640" w:hanging="360" /&gt;
            &lt;/w:pPr&gt;
          &lt;/w:lvl&gt;
          &lt;w:lvl w:ilvl="4" w:tplc="04090003" w:tentative="1"&gt;
            &lt;w:start w:val="1" /&gt;
            &lt;w:numFmt w:val="lowerLetter" /&gt;
            &lt;w:lvlText w:val="%5." /&gt;
            &lt;w:lvlJc w:val="left" /&gt;
            &lt;w:pPr&gt;
              &lt;w:ind w:left="18360" w:hanging="360" /&gt;
            &lt;/w:pPr&gt;
          &lt;/w:lvl&gt;
          &lt;w:lvl w:ilvl="5" w:tplc="04090005" w:tentative="1"&gt;
            &lt;w:start w:val="1" /&gt;
            &lt;w:numFmt w:val="lowerRoman" /&gt;
            &lt;w:lvlText w:val="%6." /&gt;
            &lt;w:lvlJc w:val="right" /&gt;
            &lt;w:pPr&gt;
              &lt;w:ind w:left="19080" w:hanging="180" /&gt;
            &lt;/w:pPr&gt;
          &lt;/w:lvl&gt;
          &lt;w:lvl w:ilvl="6" w:tplc="04090001" w:tentative="1"&gt;
            &lt;w:start w:val="1" /&gt;
            &lt;w:numFmt w:val="decimal" /&gt;
            &lt;w:lvlText w:val="%7." /&gt;
            &lt;w:lvlJc w:val="left" /&gt;
            &lt;w:pPr&gt;
              &lt;w:ind w:left="19800" w:hanging="360" /&gt;
            &lt;/w:pPr&gt;
          &lt;/w:lvl&gt;
          &lt;w:lvl w:ilvl="7" w:tplc="04090003" w:tentative="1"&gt;
            &lt;w:start w:val="1" /&gt;
            &lt;w:numFmt w:val="lowerLetter" /&gt;
            &lt;w:lvlText w:val="%8." /&gt;
            &lt;w:lvlJc w:val="left" /&gt;
            &lt;w:pPr&gt;
              &lt;w:ind w:left="20520" w:hanging="360" /&gt;
            &lt;/w:pPr&gt;
          &lt;/w:lvl&gt;
          &lt;w:lvl w:ilvl="8" w:tplc="04090005" w:tentative="1"&gt;
            &lt;w:start w:val="1" /&gt;
            &lt;w:numFmt w:val="lowerRoman" /&gt;
            &lt;w:lvlText w:val="%9." /&gt;
            &lt;w:lvlJc w:val="right" /&gt;
            &lt;w:pPr&gt;
              &lt;w:ind w:left="21240" w:hanging="180" /&gt;
            &lt;/w:pPr&gt;
          &lt;/w:lvl&gt;
        &lt;/w:abstractNum&gt;
        &lt;w:abstractNum w:abstractNumId="76"&gt;
          &lt;w:nsid w:val="641A1632" /&gt;
          &lt;w:multiLevelType w:val="hybridMultilevel" /&gt;
          &lt;w:tmpl w:val="EFDC5884"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w:abstractNumId="77"&gt;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w:abstractNumId="78"&gt;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w:abstractNumId="79"&gt;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w:abstractNumId="80"&gt;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w:abstractNumId="81"&gt;
          &lt;w:nsid w:val="6D273DC5" /&gt;
          &lt;w:multiLevelType w:val="hybridMultilevel" /&gt;
          &lt;w:tmpl w:val="0E2AA980" /&gt;
          &lt;w:lvl w:ilvl="0" w:tplc="02D02A38"&gt;
            &lt;w:start w:val="1" /&gt;
            &lt;w:numFmt w:val="decimal" /&gt;
            &lt;w:lvlText w:val="%1." /&gt;
            &lt;w:lvlJc w:val="left" /&gt;
            &lt;w:pPr&gt;
              &lt;w:ind w:left="928" w:hanging="360" /&gt;
            &lt;/w:pPr&gt;
            &lt;w:rPr&gt;
              &lt;w:rFonts w:hint="default" /&gt;
              &lt;w:color w:val="auto" /&gt;
            &lt;/w:rPr&gt;
          &lt;/w:lvl&gt;
          &lt;w:lvl w:ilvl="1" w:tplc="04090019" w:tentative="1"&gt;
            &lt;w:start w:val="1" /&gt;
            &lt;w:numFmt w:val="lowerLetter" /&gt;
            &lt;w:lvlText w:val="%2." /&gt;
            &lt;w:lvlJc w:val="left" /&gt;
            &lt;w:pPr&gt;
              &lt;w:ind w:left="1648" w:hanging="360" /&gt;
            &lt;/w:pPr&gt;
          &lt;/w:lvl&gt;
          &lt;w:lvl w:ilvl="2" w:tplc="0409001B" w:tentative="1"&gt;
            &lt;w:start w:val="1" /&gt;
            &lt;w:numFmt w:val="lowerRoman" /&gt;
            &lt;w:lvlText w:val="%3." /&gt;
            &lt;w:lvlJc w:val="right" /&gt;
            &lt;w:pPr&gt;
              &lt;w:ind w:left="2368" w:hanging="180" /&gt;
            &lt;/w:pPr&gt;
          &lt;/w:lvl&gt;
          &lt;w:lvl w:ilvl="3" w:tplc="0409000F" w:tentative="1"&gt;
            &lt;w:start w:val="1" /&gt;
            &lt;w:numFmt w:val="decimal" /&gt;
            &lt;w:lvlText w:val="%4." /&gt;
            &lt;w:lvlJc w:val="left" /&gt;
            &lt;w:pPr&gt;
              &lt;w:ind w:left="3088" w:hanging="360" /&gt;
            &lt;/w:pPr&gt;
          &lt;/w:lvl&gt;
          &lt;w:lvl w:ilvl="4" w:tplc="04090019" w:tentative="1"&gt;
            &lt;w:start w:val="1" /&gt;
            &lt;w:numFmt w:val="lowerLetter" /&gt;
            &lt;w:lvlText w:val="%5." /&gt;
            &lt;w:lvlJc w:val="left" /&gt;
            &lt;w:pPr&gt;
              &lt;w:ind w:left="3808" w:hanging="360" /&gt;
            &lt;/w:pPr&gt;
          &lt;/w:lvl&gt;
          &lt;w:lvl w:ilvl="5" w:tplc="0409001B" w:tentative="1"&gt;
            &lt;w:start w:val="1" /&gt;
            &lt;w:numFmt w:val="lowerRoman" /&gt;
            &lt;w:lvlText w:val="%6." /&gt;
            &lt;w:lvlJc w:val="right" /&gt;
            &lt;w:pPr&gt;
              &lt;w:ind w:left="4528" w:hanging="180" /&gt;
            &lt;/w:pPr&gt;
          &lt;/w:lvl&gt;
          &lt;w:lvl w:ilvl="6" w:tplc="0409000F" w:tentative="1"&gt;
            &lt;w:start w:val="1" /&gt;
            &lt;w:numFmt w:val="decimal" /&gt;
            &lt;w:lvlText w:val="%7." /&gt;
            &lt;w:lvlJc w:val="left" /&gt;
            &lt;w:pPr&gt;
              &lt;w:ind w:left="5248" w:hanging="360" /&gt;
            &lt;/w:pPr&gt;
          &lt;/w:lvl&gt;
          &lt;w:lvl w:ilvl="7" w:tplc="04090019" w:tentative="1"&gt;
            &lt;w:start w:val="1" /&gt;
            &lt;w:numFmt w:val="lowerLetter" /&gt;
            &lt;w:lvlText w:val="%8." /&gt;
            &lt;w:lvlJc w:val="left" /&gt;
            &lt;w:pPr&gt;
              &lt;w:ind w:left="5968" w:hanging="360" /&gt;
            &lt;/w:pPr&gt;
          &lt;/w:lvl&gt;
          &lt;w:lvl w:ilvl="8" w:tplc="0409001B" w:tentative="1"&gt;
            &lt;w:start w:val="1" /&gt;
            &lt;w:numFmt w:val="lowerRoman" /&gt;
            &lt;w:lvlText w:val="%9." /&gt;
            &lt;w:lvlJc w:val="right" /&gt;
            &lt;w:pPr&gt;
              &lt;w:ind w:left="6688" w:hanging="180" /&gt;
            &lt;/w:pPr&gt;
          &lt;/w:lvl&gt;
        &lt;/w:abstractNum&gt;
        &lt;w:abstractNum w:abstractNumId="82"&gt;
          &lt;w:nsid w:val="6D762647" /&gt;
          &lt;w:multiLevelType w:val="hybridMultilevel" /&gt;
          &lt;w:tmpl w:val="767CFDA0" /&gt;
          &lt;w:lvl w:ilvl="0" w:tplc="8A5430F2"&gt;
            &lt;w:start w:val="1" /&gt;
            &lt;w:numFmt w:val="decimal"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w:abstractNumId="84"&gt;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w:abstractNumId="85"&gt;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w:abstractNumId="86"&gt;
          &lt;w:nsid w:val="715E7661" /&gt;
          &lt;w:multiLevelType w:val="hybridMultilevel" /&gt;
          &lt;w:tmpl w:val="6B644DB4"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w:abstractNumId="87"&gt;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w:abstractNumId="88"&gt;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w:abstractNumId="89"&gt;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w:abstractNumId="90"&gt;
          &lt;w:nsid w:val="7BDD14CF"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w:abstractNumId="91"&gt;
          &lt;w:nsid w:val="7C884488" /&gt;
          &lt;w:multiLevelType w:val="hybridMultilevel" /&gt;
          &lt;w:tmpl w:val="B2223808"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w:abstractNumId="92"&gt;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w:val="46" /&gt;
        &lt;/w:num&gt;
        &lt;w:num w:numId="3"&gt;
          &lt;w:abstractNumId w:val="82" /&gt;
        &lt;/w:num&gt;
        &lt;w:num w:numId="4"&gt;
          &lt;w:abstractNumId w:val="13" /&gt;
        &lt;/w:num&gt;
        &lt;w:num w:numId="5"&gt;
          &lt;w:abstractNumId w:val="45" /&gt;
        &lt;/w:num&gt;
        &lt;w:num w:numId="6"&gt;
          &lt;w:abstractNumId w:val="34" /&gt;
        &lt;/w:num&gt;
        &lt;w:num w:numId="7"&gt;
          &lt;w:abstractNumId w:val="19" /&gt;
        &lt;/w:num&gt;
        &lt;w:num w:numId="8"&gt;
          &lt;w:abstractNumId w:val="16" /&gt;
        &lt;/w:num&gt;
        &lt;w:num w:numId="9"&gt;
          &lt;w:abstractNumId w:val="69" /&gt;
        &lt;/w:num&gt;
        &lt;w:num w:numId="10"&gt;
          &lt;w:abstractNumId w:val="88" /&gt;
        &lt;/w:num&gt;
        &lt;w:num w:numId="11"&gt;
          &lt;w:abstractNumId w:val="50" /&gt;
        &lt;/w:num&gt;
        &lt;w:num w:numId="12"&gt;
          &lt;w:abstractNumId w:val="11" /&gt;
        &lt;/w:num&gt;
        &lt;w:num w:numId="13"&gt;
          &lt;w:abstractNumId w:val="71" /&gt;
        &lt;/w:num&gt;
        &lt;w:num w:numId="14"&gt;
          &lt;w:abstractNumId w:val="40" /&gt;
        &lt;/w:num&gt;
        &lt;w:num w:numId="15"&gt;
          &lt;w:abstractNumId w:val="49" /&gt;
        &lt;/w:num&gt;
        &lt;w:num w:numId="16"&gt;
          &lt;w:abstractNumId w:val="75" /&gt;
        &lt;/w:num&gt;
        &lt;w:num w:numId="17"&gt;
          &lt;w:abstractNumId w:val="72"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w:val="26" /&gt;
        &lt;/w:num&gt;
        &lt;w:num w:numId="19"&gt;
          &lt;w:abstractNumId w:val="77" /&gt;
        &lt;/w:num&gt;
        &lt;w:num w:numId="20"&gt;
          &lt;w:abstractNumId w:val="58" /&gt;
        &lt;/w:num&gt;
        &lt;w:num w:numId="21"&gt;
          &lt;w:abstractNumId w:val="12" /&gt;
        &lt;/w:num&gt;
        &lt;w:num w:numId="22"&gt;
          &lt;w:abstractNumId w:val="66" /&gt;
        &lt;/w:num&gt;
        &lt;w:num w:numId="23"&gt;
          &lt;w:abstractNumId w:val="55" /&gt;
        &lt;/w:num&gt;
        &lt;w:num w:numId="24"&gt;
          &lt;w:abstractNumId w:val="41" /&gt;
        &lt;/w:num&gt;
        &lt;w:num w:numId="25"&gt;
          &lt;w:abstractNumId w:val="54" /&gt;
        &lt;/w:num&gt;
        &lt;w:num w:numId="26"&gt;
          &lt;w:abstractNumId w:val="63" /&gt;
        &lt;/w:num&gt;
        &lt;w:num w:numId="27"&gt;
          &lt;w:abstractNumId w:val="27" /&gt;
        &lt;/w:num&gt;
        &lt;w:num w:numId="28"&gt;
          &lt;w:abstractNumId w:val="92" /&gt;
        &lt;/w:num&gt;
        &lt;w:num w:numId="29"&gt;
          &lt;w:abstractNumId w:val="89" /&gt;
        &lt;/w:num&gt;
        &lt;w:num w:numId="30"&gt;
          &lt;w:abstractNumId w:val="56" /&gt;
        &lt;/w:num&gt;
        &lt;w:num w:numId="31"&gt;
          &lt;w:abstractNumId w:val="38" /&gt;
        &lt;/w:num&gt;
        &lt;w:num w:numId="32"&gt;
          &lt;w:abstractNumId w:val="28" /&gt;
        &lt;/w:num&gt;
        &lt;w:num w:numId="33"&gt;
          &lt;w:abstractNumId w:val="53" /&gt;
        &lt;/w:num&gt;
        &lt;w:num w:numId="34"&gt;
          &lt;w:abstractNumId w:val="37" /&gt;
        &lt;/w:num&gt;
        &lt;w:num w:numId="35"&gt;
          &lt;w:abstractNumId w:val="64" /&gt;
        &lt;/w:num&gt;
        &lt;w:num w:numId="36"&gt;
          &lt;w:abstractNumId w:val="44" /&gt;
        &lt;/w:num&gt;
        &lt;w:num w:numId="37"&gt;
          &lt;w:abstractNumId w:val="24" /&gt;
        &lt;/w:num&gt;
        &lt;w:num w:numId="38"&gt;
          &lt;w:abstractNumId w:val="68" /&gt;
        &lt;/w:num&gt;
        &lt;w:num w:numId="39"&gt;
          &lt;w:abstractNumId w:val="33" /&gt;
        &lt;/w:num&gt;
        &lt;w:num w:numId="40"&gt;
          &lt;w:abstractNumId w:val="42" /&gt;
        &lt;/w:num&gt;
        &lt;w:num w:numId="41"&gt;
          &lt;w:abstractNumId w:val="70" /&gt;
        &lt;/w:num&gt;
        &lt;w:num w:numId="42"&gt;
          &lt;w:abstractNumId w:val="57" /&gt;
        &lt;/w:num&gt;
        &lt;w:num w:numId="43"&gt;
          &lt;w:abstractNumId w:val="51" /&gt;
        &lt;/w:num&gt;
        &lt;w:num w:numId="44"&gt;
          &lt;w:abstractNumId w:val="73" /&gt;
        &lt;/w:num&gt;
        &lt;w:num w:numId="45"&gt;
          &lt;w:abstractNumId w:val="84" /&gt;
        &lt;/w:num&gt;
        &lt;w:num w:numId="46"&gt;
          &lt;w:abstractNumId w:val="39" /&gt;
        &lt;/w:num&gt;
        &lt;w:num w:numId="47"&gt;
          &lt;w:abstractNumId w:val="35" /&gt;
        &lt;/w:num&gt;
        &lt;w:num w:numId="48"&gt;
          &lt;w:abstractNumId w:val="21" /&gt;
        &lt;/w:num&gt;
        &lt;w:num w:numId="49"&gt;
          &lt;w:abstractNumId w:val="14" /&gt;
        &lt;/w:num&gt;
        &lt;w:num w:numId="50"&gt;
          &lt;w:abstractNumId w:val="15" /&gt;
        &lt;/w:num&gt;
        &lt;w:num w:numId="51"&gt;
          &lt;w:abstractNumId w:val="83" /&gt;
        &lt;/w:num&gt;
        &lt;w:num w:numId="52"&gt;
          &lt;w:abstractNumId w:val="81" /&gt;
        &lt;/w:num&gt;
        &lt;w:num w:numId="53"&gt;
          &lt;w:abstractNumId w:val="32" /&gt;
        &lt;/w:num&gt;
        &lt;w:num w:numId="54"&gt;
          &lt;w:abstractNumId w:val="52" /&gt;
        &lt;/w:num&gt;
        &lt;w:num w:numId="55"&gt;
          &lt;w:abstractNumId w:val="78" /&gt;
        &lt;/w:num&gt;
        &lt;w:num w:numId="56"&gt;
          &lt;w:abstractNumId w:val="87" /&gt;
        &lt;/w:num&gt;
        &lt;w:num w:numId="57"&gt;
          &lt;w:abstractNumId w:val="20" /&gt;
        &lt;/w:num&gt;
        &lt;w:num w:numId="58"&gt;
          &lt;w:abstractNumId w:val="67" /&gt;
        &lt;/w:num&gt;
        &lt;w:num w:numId="59"&gt;
          &lt;w:abstractNumId w:val="85" /&gt;
        &lt;/w:num&gt;
        &lt;w:num w:numId="60"&gt;
          &lt;w:abstractNumId w:val="60" /&gt;
        &lt;/w:num&gt;
        &lt;w:num w:numId="61"&gt;
          &lt;w:abstractNumId w:val="59" /&gt;
        &lt;/w:num&gt;
        &lt;w:num w:numId="62"&gt;
          &lt;w:abstractNumId w:val="31" /&gt;
        &lt;/w:num&gt;
        &lt;w:num w:numId="63"&gt;
          &lt;w:abstractNumId w:val="74" /&gt;
        &lt;/w:num&gt;
        &lt;w:num w:numId="64"&gt;
          &lt;w:abstractNumId w:val="22" /&gt;
        &lt;/w:num&gt;
        &lt;w:num w:numId="65"&gt;
          &lt;w:abstractNumId w:val="48" /&gt;
        &lt;/w:num&gt;
        &lt;w:num w:numId="66"&gt;
          &lt;w:abstractNumId w:val="80" /&gt;
        &lt;/w:num&gt;
        &lt;w:num w:numId="67"&gt;
          &lt;w:abstractNumId w:val="10" /&gt;
        &lt;/w:num&gt;
        &lt;w:num w:numId="68"&gt;
          &lt;w:abstractNumId w:val="47" /&gt;
        &lt;/w:num&gt;
        &lt;w:num w:numId="69"&gt;
          &lt;w:abstractNumId w:val="18" /&gt;
        &lt;/w:num&gt;
        &lt;w:num w:numId="70"&gt;
          &lt;w:abstractNumId w:val="43" /&gt;
        &lt;/w:num&gt;
        &lt;w:num w:numId="71"&gt;
          &lt;w:abstractNumId w:val="79" /&gt;
        &lt;/w:num&gt;
        &lt;w:num w:numId="72"&gt;
          &lt;w:abstractNumId w:val="62" /&gt;
        &lt;/w:num&gt;
        &lt;w:num w:numId="73"&gt;
          &lt;w:abstractNumId w:val="7" /&gt;
        &lt;/w:num&gt;
        &lt;w:num w:numId="74"&gt;
          &lt;w:abstractNumId w:val="6" /&gt;
        &lt;/w:num&gt;
        &lt;w:num w:numId="75"&gt;
          &lt;w:abstractNumId w:val="5" /&gt;
        &lt;/w:num&gt;
        &lt;w:num w:numId="76"&gt;
          &lt;w:abstractNumId w:val="4" /&gt;
        &lt;/w:num&gt;
        &lt;w:num w:numId="77"&gt;
          &lt;w:abstractNumId w:val="8" /&gt;
        &lt;/w:num&gt;
        &lt;w:num w:numId="78"&gt;
          &lt;w:abstractNumId w:val="3" /&gt;
        &lt;/w:num&gt;
        &lt;w:num w:numId="79"&gt;
          &lt;w:abstractNumId w:val="2" /&gt;
        &lt;/w:num&gt;
        &lt;w:num w:numId="80"&gt;
          &lt;w:abstractNumId w:val="1" /&gt;
        &lt;/w:num&gt;
        &lt;w:num w:numId="81"&gt;
          &lt;w:abstractNumId w:val="0" /&gt;
        &lt;/w:num&gt;
        &lt;w:num w:numId="82"&gt;
          &lt;w:abstractNumId w:val="29" /&gt;
        &lt;/w:num&gt;
        &lt;w:num w:numId="83"&gt;
          &lt;w:abstractNumId w:val="76" /&gt;
        &lt;/w:num&gt;
        &lt;w:num w:numId="84"&gt;
          &lt;w:abstractNumId w:val="17" /&gt;
        &lt;/w:num&gt;
        &lt;w:num w:numId="85"&gt;
          &lt;w:abstractNumId w:val="25" /&gt;
        &lt;/w:num&gt;
        &lt;w:num w:numId="86"&gt;
          &lt;w:abstractNumId w:val="90" /&gt;
        &lt;/w:num&gt;
        &lt;w:num w:numId="87"&gt;
          &lt;w:abstractNumId w:val="65" /&gt;
        &lt;/w:num&gt;
        &lt;w:num w:numId="88"&gt;
          &lt;w:abstractNumId w:val="86" /&gt;
        &lt;/w:num&gt;
        &lt;w:num w:numId="89"&gt;
          &lt;w:abstractNumId w:val="30" /&gt;
        &lt;/w:num&gt;
        &lt;w:num w:numId="90"&gt;
          &lt;w:abstractNumId w:val="36" /&gt;
        &lt;/w:num&gt;
        &lt;w:num w:numId="91"&gt;
          &lt;w:abstractNumId w:val="23" /&gt;
        &lt;/w:num&gt;
        &lt;w:num w:numId="92"&gt;
          &lt;w:abstractNumId w:val="91" /&gt;
        &lt;/w:num&gt;
        &lt;w:num w:numId="93"&gt;
          &lt;w:abstractNumId w:val="61" /&gt;
        &lt;/w:num&gt;
        &lt;w:numIdMacAtCleanup w:val="90" /&gt;
      &lt;/w:numbering&gt;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w:id="2057311510"&gt;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w:id="2118090268"&gt;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pkg:name="/word/people.xml" pkg:contentType="application/vnd.openxmlformats-officedocument.wordprocessingml.people+xml"&gt;
    &lt;pkg:xmlData&gt;
      &lt;w15:people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&lt;w15:person w15:author="Stacy Tegan"&gt;
          &lt;w15:presenceInfo w15:providerId="None" w15:userId="Stacy Tegan" /&gt;
        &lt;/w15:person&gt;
      &lt;/w15:people&gt;
    &lt;/pkg:xmlData&gt;
  &lt;/pkg:part&gt;
  &lt;pkg:part pkg:name="/word/commentsExtended.xml" pkg:contentType="application/vnd.openxmlformats-officedocument.wordprocessingml.commentsExtended+xml"&gt;
    &lt;pkg:xmlData&gt;
      &lt;w15:commentsEx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&lt;w15:commentEx w15:paraId="3A53BF52" w15:done="0" /&gt;
        &lt;w15:commentEx w15:paraId="21D7C13A" w15:done="0" /&gt;
        &lt;w15:commentEx w15:paraId="2451C35C" w15:done="0" /&gt;
        &lt;w15:commentEx w15:paraId="153CB5F7" w15:done="0" /&gt;
        &lt;w15:commentEx w15:paraId="003DF36E" w15:done="0" /&gt;
        &lt;w15:commentEx w15:paraId="188BD655" w15:done="0" /&gt;
        &lt;w15:commentEx w15:paraId="6DCF61D8" w15:done="0" /&gt;
        &lt;w15:commentEx w15:paraId="18BB442E" w15:done="0" /&gt;
        &lt;w15:commentEx w15:paraId="7437DC8F" w15:done="0" /&gt;
        &lt;w15:commentEx w15:paraId="263809FA" w15:done="0" /&gt;
        &lt;w15:commentEx w15:paraId="44BD0A90" w15:done="0" /&gt;
        &lt;w15:commentEx w15:paraId="2EFD0CEA" w15:done="0" /&gt;
      &lt;/w15:commentsEx&gt;
    &lt;/pkg:xmlData&gt;
  &lt;/pkg:part&gt;
&lt;/pkg:package&gt;</ParticipantAndStudyCompletion>
    <StudyID/>
    <SubjectPatient/>
    <StudyType/>
    <StudyPhase/>
    <TherapeuticArea/>
    <SponsorName/>
    <Version/>
    <ApprovalDate/>
  </Metadata>
  <Objectives>
    <PrimaryObjectives/>
    <SecondaryObjectives/>
    <TertiaryExploratoryObjectives/>
  </Objectives>
  <Rationale>&lt;?mso-application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Id="rId34" Type="http://schemas.microsoft.com/office/2011/relationships/people" Target="people.xml" /&gt;
        &lt;Relationship Id="rId7" Type="http://schemas.openxmlformats.org/officeDocument/2006/relationships/endnotes" Target="endnotes.xml" /&gt;
        &lt;Relationship Id="rId33" Type="http://schemas.microsoft.com/office/2011/relationships/commentsExtended" Target="commentsExtended.xml"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Id="rId4" Type="http://schemas.openxmlformats.org/officeDocument/2006/relationships/settings" Target="settings.xml" /&gt;
        &lt;Relationship Id="rId9" Type="http://schemas.openxmlformats.org/officeDocument/2006/relationships/theme" Target="theme/theme1.xml"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 /&gt;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&lt;w:p /&gt;
          &lt;w:p /&gt;
          &lt;w:p /&gt;
        &lt;/w:endnote&gt;
        &lt;w:endnote w:type="continuationSeparator" w:id="0"&gt;
          &lt;w:p&gt;
            &lt;w:pPr&gt;
              &lt;w:spacing w:after="0" w:line="240" w:lineRule="auto" /&gt;
            &lt;/w:pPr&gt;
            &lt;w:r&gt;
              &lt;w:continuationSeparator /&gt;
            &lt;/w:r&gt;
          &lt;/w:p&gt;
          &lt;w:p /&gt;
          &lt;w:p /&gt;
          &lt;w:p /&gt;
        &lt;/w:endnote&gt;
        &lt;w:endnote w:type="continuationNotice" w:id="1"&gt;
          &lt;w:p&gt;
            &lt;w:pPr&gt;
              &lt;w:spacing w:after="0" w:line="240" w:lineRule="auto" /&gt;
            &lt;/w:pPr&gt;
          &lt;/w:p&gt;
          &lt;w:p /&gt;
          &lt;w:p /&gt;
          &lt;w:p /&gt;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&lt;w:p /&gt;
          &lt;w:p /&gt;
          &lt;w:p /&gt;
        &lt;/w:footnote&gt;
        &lt;w:footnote w:type="continuationSeparator" w:id="0"&gt;
          &lt;w:p&gt;
            &lt;w:pPr&gt;
              &lt;w:spacing w:after="0" w:line="240" w:lineRule="auto" /&gt;
            &lt;/w:pPr&gt;
            &lt;w:r&gt;
              &lt;w:continuationSeparator /&gt;
            &lt;/w:r&gt;
          &lt;/w:p&gt;
          &lt;w:p /&gt;
          &lt;w:p /&gt;
          &lt;w:p /&gt;
        &lt;/w:footnote&gt;
        &lt;w:footnote w:type="continuationNotice" w:id="1"&gt;
          &lt;w:p&gt;
            &lt;w:pPr&gt;
              &lt;w:spacing w:after="0" w:line="240" w:lineRule="auto" /&gt;
            &lt;/w:pPr&gt;
          &lt;/w:p&gt;
          &lt;w:p /&gt;
          &lt;w:p /&gt;
          &lt;w:p /&gt;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w:percent="100"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w:val="14" /&gt;
          &lt;w:compatSetting w:name="overrideTableStyleFontSizeAndJustification" w:uri="http://schemas.microsoft.com/office/word" w:val="1" /&gt;
          &lt;w:compatSetting w:name="enableOpenTypeFeatures" w:uri="http://schemas.microsoft.com/office/word" w:val="1" /&gt;
          &lt;w:compatSetting w:name="doNotFlipMirrorIndents" w:uri="http://schemas.microsoft.com/office/word" w:val="1" /&gt;
        &lt;/w:compat&gt;
        &lt;w:docVars&gt;
          &lt;w:docVar w:name="LibraryFilter" w:val="V2.1_CPT Library_Asthma Master.docx,V2.1_CPT_Library_Diabetes Master.docx|V2.1_CPT Library_Healthy Volunteer Master.docx,V2.1_CPT Library_Patient Master.docx|"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w:usb0="E00002FF" w:usb1="4000ACFF" w:usb2="00000001"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w:val="0F8CE2AE" /&gt;
          &lt;w:lvl w:ilvl="0"&gt;
            &lt;w:start w:val="1" /&gt;
            &lt;w:numFmt w:val="decimal" /&gt;
            &lt;w:pStyle w:val="ListNumber"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w:abstractNumId="13"&gt;
          &lt;w:nsid w:val="0B5267F0" /&gt;
          &lt;w:multiLevelType w:val="hybridMultilevel" /&gt;
          &lt;w:tmpl w:val="7992709C" /&gt;
          &lt;w:lvl w:ilvl="0" w:tplc="EAD0C812"&gt;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w:abstractNumId="14"&gt;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w:val="0F4E5AC4" /&gt;
          &lt;w:multiLevelType w:val="singleLevel" /&gt;
          &lt;w:tmpl w:val="62E445DA" /&gt;
          &lt;w:lvl w:ilvl="0"&gt;
            &lt;w:start w:val="1" /&gt;
            &lt;w:numFmt w:val="decimal" /&gt;
            &lt;w:lvlText w:val="%1." /&gt;
            &lt;w:lvlJc w:val="left" /&gt;
            &lt;w:pPr&gt;
              &lt;w:tabs&gt;
                &lt;w:tab w:val="num" w:pos="432" /&gt;
              &lt;/w:tabs&gt;
              &lt;w:ind w:left="432" w:hanging="432" /&gt;
            &lt;/w:pPr&gt;
            &lt;w:rPr&gt;
              &lt;w:rFonts w:hint="default" /&gt;
            &lt;/w:rPr&gt;
          &lt;/w:lvl&gt;
        &lt;/w:abstractNum&gt;
        &lt;w:abstractNum w:abstractNumId="17"&gt;
          &lt;w:nsid w:val="104F4ABA" /&gt;
          &lt;w:multiLevelType w:val="hybridMultilevel" /&gt;
          &lt;w:tmpl w:val="F152626E" /&gt;
          &lt;w:lvl w:ilvl="0" w:tplc="04090003"&gt;
            &lt;w:start w:val="1" /&gt;
            &lt;w:numFmt w:val="bullet" /&gt;
            &lt;w:lvlText w:val="o" /&gt;
            &lt;w:lvlJc w:val="left" /&gt;
            &lt;w:pPr&gt;
              &lt;w:ind w:left="1080" w:hanging="360" /&gt;
            &lt;/w:pPr&gt;
            &lt;w:rPr&gt;
              &lt;w:rFonts w:ascii="Courier New" w:hAnsi="Courier New" w:cs="Courier New"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w:abstractNumId="18"&gt;
          &lt;w:nsid w:val="13490AF4" /&gt;
          &lt;w:multiLevelType w:val="hybridMultilevel" /&gt;
          &lt;w:tmpl w:val="61DEFBCC" /&gt;
          &lt;w:lvl w:ilvl="0" w:tplc="77A6A24A"&gt;
            &lt;w:start w:val="1" /&gt;
            &lt;w:numFmt w:val="bullet" /&gt;
            &lt;w:lvlText w:val="" /&gt;
            &lt;w:lvlJc w:val="left" /&gt;
            &lt;w:pPr&gt;
              &lt;w:ind w:left="720" w:hanging="360" /&gt;
            &lt;/w:pPr&gt;
            &lt;w:rPr&gt;
              &lt;w:rFonts w:ascii="Symbol" w:hAnsi="Symbol" w:hint="default" /&gt;
              &lt;w:color w:val="auto"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w:val="1C082410" /&gt;
          &lt;w:multiLevelType w:val="hybridMultilevel" /&gt;
          &lt;w:tmpl w:val="D5F235DA"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w:abstractNumId="24"&gt;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w:val="1D4D390B" /&gt;
          &lt;w:multiLevelType w:val="hybridMultilevel" /&gt;
          &lt;w:tmpl w:val="253E2E92" /&gt;
          &lt;w:lvl w:ilvl="0" w:tplc="04090001"&gt;
            &lt;w:start w:val="1" /&gt;
            &lt;w:numFmt w:val="bullet" /&gt;
            &lt;w:lvlText w:val="" /&gt;
            &lt;w:lvlJc w:val="left" /&gt;
            &lt;w:pPr&gt;
              &lt;w:ind w:left="1080" w:hanging="360" /&gt;
            &lt;/w:pPr&gt;
            &lt;w:rPr&gt;
              &lt;w:rFonts w:ascii="Symbol" w:hAnsi="Symbol"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w:abstractNumId="26"&gt;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w:abstractNumId="27"&gt;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w:abstractNumId="28"&gt;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w:abstractNumId="29"&gt;
          &lt;w:nsid w:val="1FF81BC6" /&gt;
          &lt;w:multiLevelType w:val="hybridMultilevel" /&gt;
          &lt;w:tmpl w:val="B23AF288"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w:abstractNumId="30"&gt;
          &lt;w:nsid w:val="22206345" /&gt;
          &lt;w:multiLevelType w:val="hybridMultilevel" /&gt;
          &lt;w:tmpl w:val="1EC8693E"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w:abstractNumId="32"&gt;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w:abstractNumId="33"&gt;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w:abstractNumId="35"&gt;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w:abstractNumId="36"&gt;
          &lt;w:nsid w:val="325E7691" /&gt;
          &lt;w:multiLevelType w:val="hybridMultilevel" /&gt;
          &lt;w:tmpl w:val="E2405C84"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w:abstractNumId="38"&gt;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w:abstractNumId="39"&gt;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w:abstractNumId="41"&gt;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w:abstractNumId="42"&gt;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w:abstractNumId="43"&gt;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w:abstractNumId="44"&gt;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w:abstractNumId="45"&gt;
          &lt;w:nsid w:val="3BFE4B2A" /&gt;
          &lt;w:multiLevelType w:val="hybridMultilevel" /&gt;
          &lt;w:tmpl w:val="0D68D196" /&gt;
          &lt;w:lvl w:ilvl="0" w:tplc="04090001"&gt;
            &lt;w:start w:val="1" /&gt;
            &lt;w:numFmt w:val="bullet"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w:abstractNumId="46"&gt;
          &lt;w:nsid w:val="3DD01B05" /&gt;
          &lt;w:multiLevelType w:val="hybridMultilevel" /&gt;
          &lt;w:tmpl w:val="C7E2CA84" /&gt;
          &lt;w:lvl w:ilvl="0" w:tplc="0409000F"&gt;
            &lt;w:start w:val="1" /&gt;
            &lt;w:numFmt w:val="decimal"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w:abstractNumId="47"&gt;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w:abstractNumId="48"&gt;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w:abstractNumId="49"&gt;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w:abstractNumId="50"&gt;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w:abstractNumId="51"&gt;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w:abstractNumId="52"&gt;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w:abstractNumId="53"&gt;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w:abstractNumId="55"&gt;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w:abstractNumId="56"&gt;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w:abstractNumId="58"&gt;
          &lt;w:nsid w:val="50186FA2" /&gt;
          &lt;w:multiLevelType w:val="hybridMultilevel" /&gt;
          &lt;w:tmpl w:val="97E0D722"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w:abstractNumId="60"&gt;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w:abstractNumId="61"&gt;
          &lt;w:nsid w:val="51740E67" /&gt;
          &lt;w:multiLevelType w:val="hybridMultilevel" /&gt;
          &lt;w:tmpl w:val="6C822940"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w:abstractNumId="62"&gt;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w:abstractNumId="63"&gt;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w:abstractNumId="64"&gt;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w:abstractNumId="65"&gt;
          &lt;w:nsid w:val="55BE2694" /&gt;
          &lt;w:multiLevelType w:val="hybridMultilevel" /&gt;
          &lt;w:tmpl w:val="4C467E8C" /&gt;
          &lt;w:lvl w:ilvl="0" w:tplc="16146F14"&gt;
            &lt;w:start w:val="2"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w:abstractNumId="66"&gt;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w:abstractNumId="67"&gt;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w:abstractNumId="68"&gt;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w:abstractNumId="69"&gt;
          &lt;w:nsid w:val="5F2A1ABE" /&gt;
          &lt;w:multiLevelType w:val="singleLevel" /&gt;
          &lt;w:tmpl w:val="B686D922" /&gt;
          &lt;w:lvl w:ilvl="0"&gt;
            &lt;w:start w:val="1" /&gt;
            &lt;w:numFmt w:val="bullet" /&gt;
            &lt;w:lvlText w:val="" /&gt;
            &lt;w:lvlJc w:val="left" /&gt;
            &lt;w:pPr&gt;
              &lt;w:tabs&gt;
                &lt;w:tab w:val="num" w:pos="432" /&gt;
              &lt;/w:tabs&gt;
              &lt;w:ind w:left="432" w:hanging="432" /&gt;
            &lt;/w:pPr&gt;
            &lt;w:rPr&gt;
              &lt;w:rFonts w:ascii="Symbol" w:hAnsi="Symbol" w:hint="default" /&gt;
            &lt;/w:rPr&gt;
          &lt;/w:lvl&gt;
        &lt;/w:abstractNum&gt;
        &lt;w:abstractNum w:abstractNumId="70"&gt;
          &lt;w:nsid w:val="5F3A6F28" /&gt;
          &lt;w:multiLevelType w:val="hybridMultilevel" /&gt;
          &lt;w:tmpl w:val="E83CD1AC"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w:abstractNumId="71"&gt;
          &lt;w:nsid w:val="611227B5" /&gt;
          &lt;w:multiLevelType w:val="hybridMultilevel" /&gt;
          &lt;w:tmpl w:val="DD861FAE" /&gt;
          &lt;w:lvl w:ilvl="0" w:tplc="04090001"&gt;
            &lt;w:start w:val="1" /&gt;
            &lt;w:numFmt w:val="decimal"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w:abstractNumId="72"&gt;
          &lt;w:nsid w:val="62DB3D68" /&gt;
          &lt;w:multiLevelType w:val="hybridMultilevel" /&gt;
          &lt;w:tmpl w:val="3286A04E" /&gt;
          &lt;w:lvl w:ilvl="0" w:tplc="AF42F0A2"&gt;
            &lt;w:start w:val="1" /&gt;
            &lt;w:numFmt w:val="bullet"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w:abstractNumId="73"&gt;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w:abstractNumId="74"&gt;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w:abstractNumId="75"&gt;
          &lt;w:nsid w:val="63DC4716" /&gt;
          &lt;w:multiLevelType w:val="hybridMultilevel" /&gt;
          &lt;w:tmpl w:val="5E04554C" /&gt;
          &lt;w:lvl w:ilvl="0" w:tplc="0409001B"&gt;
            &lt;w:start w:val="1" /&gt;
            &lt;w:numFmt w:val="lowerRoman" /&gt;
            &lt;w:lvlText w:val="%1." /&gt;
            &lt;w:lvlJc w:val="right" /&gt;
            &lt;w:pPr&gt;
              &lt;w:ind w:left="15480" w:hanging="360" /&gt;
            &lt;/w:pPr&gt;
          &lt;/w:lvl&gt;
          &lt;w:lvl w:ilvl="1" w:tplc="04090003"&gt;
            &lt;w:start w:val="1" /&gt;
            &lt;w:numFmt w:val="lowerLetter" /&gt;
            &lt;w:lvlText w:val="%2." /&gt;
            &lt;w:lvlJc w:val="left" /&gt;
            &lt;w:pPr&gt;
              &lt;w:ind w:left="16200" w:hanging="360" /&gt;
            &lt;/w:pPr&gt;
          &lt;/w:lvl&gt;
          &lt;w:lvl w:ilvl="2" w:tplc="04090005" w:tentative="1"&gt;
            &lt;w:start w:val="1" /&gt;
            &lt;w:numFmt w:val="lowerRoman" /&gt;
            &lt;w:lvlText w:val="%3." /&gt;
            &lt;w:lvlJc w:val="right" /&gt;
            &lt;w:pPr&gt;
              &lt;w:ind w:left="16920" w:hanging="180" /&gt;
            &lt;/w:pPr&gt;
          &lt;/w:lvl&gt;
          &lt;w:lvl w:ilvl="3" w:tplc="04090001" w:tentative="1"&gt;
            &lt;w:start w:val="1" /&gt;
            &lt;w:numFmt w:val="decimal" /&gt;
            &lt;w:lvlText w:val="%4." /&gt;
            &lt;w:lvlJc w:val="left" /&gt;
            &lt;w:pPr&gt;
              &lt;w:ind w:left="17640" w:hanging="360" /&gt;
            &lt;/w:pPr&gt;
          &lt;/w:lvl&gt;
          &lt;w:lvl w:ilvl="4" w:tplc="04090003" w:tentative="1"&gt;
            &lt;w:start w:val="1" /&gt;
            &lt;w:numFmt w:val="lowerLetter" /&gt;
            &lt;w:lvlText w:val="%5." /&gt;
            &lt;w:lvlJc w:val="left" /&gt;
            &lt;w:pPr&gt;
              &lt;w:ind w:left="18360" w:hanging="360" /&gt;
            &lt;/w:pPr&gt;
          &lt;/w:lvl&gt;
          &lt;w:lvl w:ilvl="5" w:tplc="04090005" w:tentative="1"&gt;
            &lt;w:start w:val="1" /&gt;
            &lt;w:numFmt w:val="lowerRoman" /&gt;
            &lt;w:lvlText w:val="%6." /&gt;
            &lt;w:lvlJc w:val="right" /&gt;
            &lt;w:pPr&gt;
              &lt;w:ind w:left="19080" w:hanging="180" /&gt;
            &lt;/w:pPr&gt;
          &lt;/w:lvl&gt;
          &lt;w:lvl w:ilvl="6" w:tplc="04090001" w:tentative="1"&gt;
            &lt;w:start w:val="1" /&gt;
            &lt;w:numFmt w:val="decimal" /&gt;
            &lt;w:lvlText w:val="%7." /&gt;
            &lt;w:lvlJc w:val="left" /&gt;
            &lt;w:pPr&gt;
              &lt;w:ind w:left="19800" w:hanging="360" /&gt;
            &lt;/w:pPr&gt;
          &lt;/w:lvl&gt;
          &lt;w:lvl w:ilvl="7" w:tplc="04090003" w:tentative="1"&gt;
            &lt;w:start w:val="1" /&gt;
            &lt;w:numFmt w:val="lowerLetter" /&gt;
            &lt;w:lvlText w:val="%8." /&gt;
            &lt;w:lvlJc w:val="left" /&gt;
            &lt;w:pPr&gt;
              &lt;w:ind w:left="20520" w:hanging="360" /&gt;
            &lt;/w:pPr&gt;
          &lt;/w:lvl&gt;
          &lt;w:lvl w:ilvl="8" w:tplc="04090005" w:tentative="1"&gt;
            &lt;w:start w:val="1" /&gt;
            &lt;w:numFmt w:val="lowerRoman" /&gt;
            &lt;w:lvlText w:val="%9." /&gt;
            &lt;w:lvlJc w:val="right" /&gt;
            &lt;w:pPr&gt;
              &lt;w:ind w:left="21240" w:hanging="180" /&gt;
            &lt;/w:pPr&gt;
          &lt;/w:lvl&gt;
        &lt;/w:abstractNum&gt;
        &lt;w:abstractNum w:abstractNumId="76"&gt;
          &lt;w:nsid w:val="641A1632" /&gt;
          &lt;w:multiLevelType w:val="hybridMultilevel" /&gt;
          &lt;w:tmpl w:val="EFDC5884"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w:abstractNumId="77"&gt;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w:abstractNumId="78"&gt;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w:abstractNumId="79"&gt;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w:abstractNumId="80"&gt;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w:abstractNumId="81"&gt;
          &lt;w:nsid w:val="6D273DC5" /&gt;
          &lt;w:multiLevelType w:val="hybridMultilevel" /&gt;
          &lt;w:tmpl w:val="0E2AA980" /&gt;
          &lt;w:lvl w:ilvl="0" w:tplc="02D02A38"&gt;
            &lt;w:start w:val="1" /&gt;
            &lt;w:numFmt w:val="decimal" /&gt;
            &lt;w:lvlText w:val="%1." /&gt;
            &lt;w:lvlJc w:val="left" /&gt;
            &lt;w:pPr&gt;
              &lt;w:ind w:left="928" w:hanging="360" /&gt;
            &lt;/w:pPr&gt;
            &lt;w:rPr&gt;
              &lt;w:rFonts w:hint="default" /&gt;
              &lt;w:color w:val="auto" /&gt;
            &lt;/w:rPr&gt;
          &lt;/w:lvl&gt;
          &lt;w:lvl w:ilvl="1" w:tplc="04090019" w:tentative="1"&gt;
            &lt;w:start w:val="1" /&gt;
            &lt;w:numFmt w:val="lowerLetter" /&gt;
            &lt;w:lvlText w:val="%2." /&gt;
            &lt;w:lvlJc w:val="left" /&gt;
            &lt;w:pPr&gt;
              &lt;w:ind w:left="1648" w:hanging="360" /&gt;
            &lt;/w:pPr&gt;
          &lt;/w:lvl&gt;
          &lt;w:lvl w:ilvl="2" w:tplc="0409001B" w:tentative="1"&gt;
            &lt;w:start w:val="1" /&gt;
            &lt;w:numFmt w:val="lowerRoman" /&gt;
            &lt;w:lvlText w:val="%3." /&gt;
            &lt;w:lvlJc w:val="right" /&gt;
            &lt;w:pPr&gt;
              &lt;w:ind w:left="2368" w:hanging="180" /&gt;
            &lt;/w:pPr&gt;
          &lt;/w:lvl&gt;
          &lt;w:lvl w:ilvl="3" w:tplc="0409000F" w:tentative="1"&gt;
            &lt;w:start w:val="1" /&gt;
            &lt;w:numFmt w:val="decimal" /&gt;
            &lt;w:lvlText w:val="%4." /&gt;
            &lt;w:lvlJc w:val="left" /&gt;
            &lt;w:pPr&gt;
              &lt;w:ind w:left="3088" w:hanging="360" /&gt;
            &lt;/w:pPr&gt;
          &lt;/w:lvl&gt;
          &lt;w:lvl w:ilvl="4" w:tplc="04090019" w:tentative="1"&gt;
            &lt;w:start w:val="1" /&gt;
            &lt;w:numFmt w:val="lowerLetter" /&gt;
            &lt;w:lvlText w:val="%5." /&gt;
            &lt;w:lvlJc w:val="left" /&gt;
            &lt;w:pPr&gt;
              &lt;w:ind w:left="3808" w:hanging="360" /&gt;
            &lt;/w:pPr&gt;
          &lt;/w:lvl&gt;
          &lt;w:lvl w:ilvl="5" w:tplc="0409001B" w:tentative="1"&gt;
            &lt;w:start w:val="1" /&gt;
            &lt;w:numFmt w:val="lowerRoman" /&gt;
            &lt;w:lvlText w:val="%6." /&gt;
            &lt;w:lvlJc w:val="right" /&gt;
            &lt;w:pPr&gt;
              &lt;w:ind w:left="4528" w:hanging="180" /&gt;
            &lt;/w:pPr&gt;
          &lt;/w:lvl&gt;
          &lt;w:lvl w:ilvl="6" w:tplc="0409000F" w:tentative="1"&gt;
            &lt;w:start w:val="1" /&gt;
            &lt;w:numFmt w:val="decimal" /&gt;
            &lt;w:lvlText w:val="%7." /&gt;
            &lt;w:lvlJc w:val="left" /&gt;
            &lt;w:pPr&gt;
              &lt;w:ind w:left="5248" w:hanging="360" /&gt;
            &lt;/w:pPr&gt;
          &lt;/w:lvl&gt;
          &lt;w:lvl w:ilvl="7" w:tplc="04090019" w:tentative="1"&gt;
            &lt;w:start w:val="1" /&gt;
            &lt;w:numFmt w:val="lowerLetter" /&gt;
            &lt;w:lvlText w:val="%8." /&gt;
            &lt;w:lvlJc w:val="left" /&gt;
            &lt;w:pPr&gt;
              &lt;w:ind w:left="5968" w:hanging="360" /&gt;
            &lt;/w:pPr&gt;
          &lt;/w:lvl&gt;
          &lt;w:lvl w:ilvl="8" w:tplc="0409001B" w:tentative="1"&gt;
            &lt;w:start w:val="1" /&gt;
            &lt;w:numFmt w:val="lowerRoman" /&gt;
            &lt;w:lvlText w:val="%9." /&gt;
            &lt;w:lvlJc w:val="right" /&gt;
            &lt;w:pPr&gt;
              &lt;w:ind w:left="6688" w:hanging="180" /&gt;
            &lt;/w:pPr&gt;
          &lt;/w:lvl&gt;
        &lt;/w:abstractNum&gt;
        &lt;w:abstractNum w:abstractNumId="82"&gt;
          &lt;w:nsid w:val="6D762647" /&gt;
          &lt;w:multiLevelType w:val="hybridMultilevel" /&gt;
          &lt;w:tmpl w:val="767CFDA0" /&gt;
          &lt;w:lvl w:ilvl="0" w:tplc="8A5430F2"&gt;
            &lt;w:start w:val="1" /&gt;
            &lt;w:numFmt w:val="decimal"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w:abstractNumId="84"&gt;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w:abstractNumId="85"&gt;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w:abstractNumId="86"&gt;
          &lt;w:nsid w:val="715E7661" /&gt;
          &lt;w:multiLevelType w:val="hybridMultilevel" /&gt;
          &lt;w:tmpl w:val="6B644DB4"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w:abstractNumId="87"&gt;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w:abstractNumId="88"&gt;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w:abstractNumId="89"&gt;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w:abstractNumId="90"&gt;
          &lt;w:nsid w:val="7BDD14CF"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w:abstractNumId="91"&gt;
          &lt;w:nsid w:val="7C884488" /&gt;
          &lt;w:multiLevelType w:val="hybridMultilevel" /&gt;
          &lt;w:tmpl w:val="B2223808"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w:abstractNumId="92"&gt;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w:val="46" /&gt;
        &lt;/w:num&gt;
        &lt;w:num w:numId="3"&gt;
          &lt;w:abstractNumId w:val="82" /&gt;
        &lt;/w:num&gt;
        &lt;w:num w:numId="4"&gt;
          &lt;w:abstractNumId w:val="13" /&gt;
        &lt;/w:num&gt;
        &lt;w:num w:numId="5"&gt;
          &lt;w:abstractNumId w:val="45" /&gt;
        &lt;/w:num&gt;
        &lt;w:num w:numId="6"&gt;
          &lt;w:abstractNumId w:val="34" /&gt;
        &lt;/w:num&gt;
        &lt;w:num w:numId="7"&gt;
          &lt;w:abstractNumId w:val="19" /&gt;
        &lt;/w:num&gt;
        &lt;w:num w:numId="8"&gt;
          &lt;w:abstractNumId w:val="16" /&gt;
        &lt;/w:num&gt;
        &lt;w:num w:numId="9"&gt;
          &lt;w:abstractNumId w:val="69" /&gt;
        &lt;/w:num&gt;
        &lt;w:num w:numId="10"&gt;
          &lt;w:abstractNumId w:val="88" /&gt;
        &lt;/w:num&gt;
        &lt;w:num w:numId="11"&gt;
          &lt;w:abstractNumId w:val="50" /&gt;
        &lt;/w:num&gt;
        &lt;w:num w:numId="12"&gt;
          &lt;w:abstractNumId w:val="11" /&gt;
        &lt;/w:num&gt;
        &lt;w:num w:numId="13"&gt;
          &lt;w:abstractNumId w:val="71" /&gt;
        &lt;/w:num&gt;
        &lt;w:num w:numId="14"&gt;
          &lt;w:abstractNumId w:val="40" /&gt;
        &lt;/w:num&gt;
        &lt;w:num w:numId="15"&gt;
          &lt;w:abstractNumId w:val="49" /&gt;
        &lt;/w:num&gt;
        &lt;w:num w:numId="16"&gt;
          &lt;w:abstractNumId w:val="75" /&gt;
        &lt;/w:num&gt;
        &lt;w:num w:numId="17"&gt;
          &lt;w:abstractNumId w:val="72"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w:val="26" /&gt;
        &lt;/w:num&gt;
        &lt;w:num w:numId="19"&gt;
          &lt;w:abstractNumId w:val="77" /&gt;
        &lt;/w:num&gt;
        &lt;w:num w:numId="20"&gt;
          &lt;w:abstractNumId w:val="58" /&gt;
        &lt;/w:num&gt;
        &lt;w:num w:numId="21"&gt;
          &lt;w:abstractNumId w:val="12" /&gt;
        &lt;/w:num&gt;
        &lt;w:num w:numId="22"&gt;
          &lt;w:abstractNumId w:val="66" /&gt;
        &lt;/w:num&gt;
        &lt;w:num w:numId="23"&gt;
          &lt;w:abstractNumId w:val="55" /&gt;
        &lt;/w:num&gt;
        &lt;w:num w:numId="24"&gt;
          &lt;w:abstractNumId w:val="41" /&gt;
        &lt;/w:num&gt;
        &lt;w:num w:numId="25"&gt;
          &lt;w:abstractNumId w:val="54" /&gt;
        &lt;/w:num&gt;
        &lt;w:num w:numId="26"&gt;
          &lt;w:abstractNumId w:val="63" /&gt;
        &lt;/w:num&gt;
        &lt;w:num w:numId="27"&gt;
          &lt;w:abstractNumId w:val="27" /&gt;
        &lt;/w:num&gt;
        &lt;w:num w:numId="28"&gt;
          &lt;w:abstractNumId w:val="92" /&gt;
        &lt;/w:num&gt;
        &lt;w:num w:numId="29"&gt;
          &lt;w:abstractNumId w:val="89" /&gt;
        &lt;/w:num&gt;
        &lt;w:num w:numId="30"&gt;
          &lt;w:abstractNumId w:val="56" /&gt;
        &lt;/w:num&gt;
        &lt;w:num w:numId="31"&gt;
          &lt;w:abstractNumId w:val="38" /&gt;
        &lt;/w:num&gt;
        &lt;w:num w:numId="32"&gt;
          &lt;w:abstractNumId w:val="28" /&gt;
        &lt;/w:num&gt;
        &lt;w:num w:numId="33"&gt;
          &lt;w:abstractNumId w:val="53" /&gt;
        &lt;/w:num&gt;
        &lt;w:num w:numId="34"&gt;
          &lt;w:abstractNumId w:val="37" /&gt;
        &lt;/w:num&gt;
        &lt;w:num w:numId="35"&gt;
          &lt;w:abstractNumId w:val="64" /&gt;
        &lt;/w:num&gt;
        &lt;w:num w:numId="36"&gt;
          &lt;w:abstractNumId w:val="44" /&gt;
        &lt;/w:num&gt;
        &lt;w:num w:numId="37"&gt;
          &lt;w:abstractNumId w:val="24" /&gt;
        &lt;/w:num&gt;
        &lt;w:num w:numId="38"&gt;
          &lt;w:abstractNumId w:val="68" /&gt;
        &lt;/w:num&gt;
        &lt;w:num w:numId="39"&gt;
          &lt;w:abstractNumId w:val="33" /&gt;
        &lt;/w:num&gt;
        &lt;w:num w:numId="40"&gt;
          &lt;w:abstractNumId w:val="42" /&gt;
        &lt;/w:num&gt;
        &lt;w:num w:numId="41"&gt;
          &lt;w:abstractNumId w:val="70" /&gt;
        &lt;/w:num&gt;
        &lt;w:num w:numId="42"&gt;
          &lt;w:abstractNumId w:val="57" /&gt;
        &lt;/w:num&gt;
        &lt;w:num w:numId="43"&gt;
          &lt;w:abstractNumId w:val="51" /&gt;
        &lt;/w:num&gt;
        &lt;w:num w:numId="44"&gt;
          &lt;w:abstractNumId w:val="73" /&gt;
        &lt;/w:num&gt;
        &lt;w:num w:numId="45"&gt;
          &lt;w:abstractNumId w:val="84" /&gt;
        &lt;/w:num&gt;
        &lt;w:num w:numId="46"&gt;
          &lt;w:abstractNumId w:val="39" /&gt;
        &lt;/w:num&gt;
        &lt;w:num w:numId="47"&gt;
          &lt;w:abstractNumId w:val="35" /&gt;
        &lt;/w:num&gt;
        &lt;w:num w:numId="48"&gt;
          &lt;w:abstractNumId w:val="21" /&gt;
        &lt;/w:num&gt;
        &lt;w:num w:numId="49"&gt;
          &lt;w:abstractNumId w:val="14" /&gt;
        &lt;/w:num&gt;
        &lt;w:num w:numId="50"&gt;
          &lt;w:abstractNumId w:val="15" /&gt;
        &lt;/w:num&gt;
        &lt;w:num w:numId="51"&gt;
          &lt;w:abstractNumId w:val="83" /&gt;
        &lt;/w:num&gt;
        &lt;w:num w:numId="52"&gt;
          &lt;w:abstractNumId w:val="81" /&gt;
        &lt;/w:num&gt;
        &lt;w:num w:numId="53"&gt;
          &lt;w:abstractNumId w:val="32" /&gt;
        &lt;/w:num&gt;
        &lt;w:num w:numId="54"&gt;
          &lt;w:abstractNumId w:val="52" /&gt;
        &lt;/w:num&gt;
        &lt;w:num w:numId="55"&gt;
          &lt;w:abstractNumId w:val="78" /&gt;
        &lt;/w:num&gt;
        &lt;w:num w:numId="56"&gt;
          &lt;w:abstractNumId w:val="87" /&gt;
        &lt;/w:num&gt;
        &lt;w:num w:numId="57"&gt;
          &lt;w:abstractNumId w:val="20" /&gt;
        &lt;/w:num&gt;
        &lt;w:num w:numId="58"&gt;
          &lt;w:abstractNumId w:val="67" /&gt;
        &lt;/w:num&gt;
        &lt;w:num w:numId="59"&gt;
          &lt;w:abstractNumId w:val="85" /&gt;
        &lt;/w:num&gt;
        &lt;w:num w:numId="60"&gt;
          &lt;w:abstractNumId w:val="60" /&gt;
        &lt;/w:num&gt;
        &lt;w:num w:numId="61"&gt;
          &lt;w:abstractNumId w:val="59" /&gt;
        &lt;/w:num&gt;
        &lt;w:num w:numId="62"&gt;
          &lt;w:abstractNumId w:val="31" /&gt;
        &lt;/w:num&gt;
        &lt;w:num w:numId="63"&gt;
          &lt;w:abstractNumId w:val="74" /&gt;
        &lt;/w:num&gt;
        &lt;w:num w:numId="64"&gt;
          &lt;w:abstractNumId w:val="22" /&gt;
        &lt;/w:num&gt;
        &lt;w:num w:numId="65"&gt;
          &lt;w:abstractNumId w:val="48" /&gt;
        &lt;/w:num&gt;
        &lt;w:num w:numId="66"&gt;
          &lt;w:abstractNumId w:val="80" /&gt;
        &lt;/w:num&gt;
        &lt;w:num w:numId="67"&gt;
          &lt;w:abstractNumId w:val="10" /&gt;
        &lt;/w:num&gt;
        &lt;w:num w:numId="68"&gt;
          &lt;w:abstractNumId w:val="47" /&gt;
        &lt;/w:num&gt;
        &lt;w:num w:numId="69"&gt;
          &lt;w:abstractNumId w:val="18" /&gt;
        &lt;/w:num&gt;
        &lt;w:num w:numId="70"&gt;
          &lt;w:abstractNumId w:val="43" /&gt;
        &lt;/w:num&gt;
        &lt;w:num w:numId="71"&gt;
          &lt;w:abstractNumId w:val="79" /&gt;
        &lt;/w:num&gt;
        &lt;w:num w:numId="72"&gt;
          &lt;w:abstractNumId w:val="62" /&gt;
        &lt;/w:num&gt;
        &lt;w:num w:numId="73"&gt;
          &lt;w:abstractNumId w:val="7" /&gt;
        &lt;/w:num&gt;
        &lt;w:num w:numId="74"&gt;
          &lt;w:abstractNumId w:val="6" /&gt;
        &lt;/w:num&gt;
        &lt;w:num w:numId="75"&gt;
          &lt;w:abstractNumId w:val="5" /&gt;
        &lt;/w:num&gt;
        &lt;w:num w:numId="76"&gt;
          &lt;w:abstractNumId w:val="4" /&gt;
        &lt;/w:num&gt;
        &lt;w:num w:numId="77"&gt;
          &lt;w:abstractNumId w:val="8" /&gt;
        &lt;/w:num&gt;
        &lt;w:num w:numId="78"&gt;
          &lt;w:abstractNumId w:val="3" /&gt;
        &lt;/w:num&gt;
        &lt;w:num w:numId="79"&gt;
          &lt;w:abstractNumId w:val="2" /&gt;
        &lt;/w:num&gt;
        &lt;w:num w:numId="80"&gt;
          &lt;w:abstractNumId w:val="1" /&gt;
        &lt;/w:num&gt;
        &lt;w:num w:numId="81"&gt;
          &lt;w:abstractNumId w:val="0" /&gt;
        &lt;/w:num&gt;
        &lt;w:num w:numId="82"&gt;
          &lt;w:abstractNumId w:val="29" /&gt;
        &lt;/w:num&gt;
        &lt;w:num w:numId="83"&gt;
          &lt;w:abstractNumId w:val="76" /&gt;
        &lt;/w:num&gt;
        &lt;w:num w:numId="84"&gt;
          &lt;w:abstractNumId w:val="17" /&gt;
        &lt;/w:num&gt;
        &lt;w:num w:numId="85"&gt;
          &lt;w:abstractNumId w:val="25" /&gt;
        &lt;/w:num&gt;
        &lt;w:num w:numId="86"&gt;
          &lt;w:abstractNumId w:val="90" /&gt;
        &lt;/w:num&gt;
        &lt;w:num w:numId="87"&gt;
          &lt;w:abstractNumId w:val="65" /&gt;
        &lt;/w:num&gt;
        &lt;w:num w:numId="88"&gt;
          &lt;w:abstractNumId w:val="86" /&gt;
        &lt;/w:num&gt;
        &lt;w:num w:numId="89"&gt;
          &lt;w:abstractNumId w:val="30" /&gt;
        &lt;/w:num&gt;
        &lt;w:num w:numId="90"&gt;
          &lt;w:abstractNumId w:val="36" /&gt;
        &lt;/w:num&gt;
        &lt;w:num w:numId="91"&gt;
          &lt;w:abstractNumId w:val="23" /&gt;
        &lt;/w:num&gt;
        &lt;w:num w:numId="92"&gt;
          &lt;w:abstractNumId w:val="91" /&gt;
        &lt;/w:num&gt;
        &lt;w:num w:numId="93"&gt;
          &lt;w:abstractNumId w:val="61" /&gt;
        &lt;/w:num&gt;
        &lt;w:numIdMacAtCleanup w:val="90" /&gt;
      &lt;/w:numbering&gt;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w:id="2057311510"&gt;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w:id="2118090268"&gt;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pkg:name="/word/people.xml" pkg:contentType="application/vnd.openxmlformats-officedocument.wordprocessingml.people+xml"&gt;
    &lt;pkg:xmlData&gt;
      &lt;w15:people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&lt;w15:person w15:author="Stacy Tegan"&gt;
          &lt;w15:presenceInfo w15:providerId="None" w15:userId="Stacy Tegan" /&gt;
        &lt;/w15:person&gt;
      &lt;/w15:people&gt;
    &lt;/pkg:xmlData&gt;
  &lt;/pkg:part&gt;
  &lt;pkg:part pkg:name="/word/commentsExtended.xml" pkg:contentType="application/vnd.openxmlformats-officedocument.wordprocessingml.commentsExtended+xml"&gt;
    &lt;pkg:xmlData&gt;
      &lt;w15:commentsEx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&lt;w15:commentEx w15:paraId="3A53BF52" w15:done="0" /&gt;
        &lt;w15:commentEx w15:paraId="21D7C13A" w15:done="0" /&gt;
        &lt;w15:commentEx w15:paraId="2451C35C" w15:done="0" /&gt;
        &lt;w15:commentEx w15:paraId="153CB5F7" w15:done="0" /&gt;
        &lt;w15:commentEx w15:paraId="003DF36E" w15:done="0" /&gt;
        &lt;w15:commentEx w15:paraId="188BD655" w15:done="0" /&gt;
        &lt;w15:commentEx w15:paraId="6DCF61D8" w15:done="0" /&gt;
        &lt;w15:commentEx w15:paraId="18BB442E" w15:done="0" /&gt;
        &lt;w15:commentEx w15:paraId="7437DC8F" w15:done="0" /&gt;
        &lt;w15:commentEx w15:paraId="263809FA" w15:done="0" /&gt;
        &lt;w15:commentEx w15:paraId="44BD0A90" w15:done="0" /&gt;
        &lt;w15:commentEx w15:paraId="2EFD0CEA" w15:done="0" /&gt;
      &lt;/w15:commentsEx&gt;
    &lt;/pkg:xmlData&gt;
  &lt;/pkg:part&gt;
&lt;/pkg:package&gt;</Rationale>
  <OverallDesign>&lt;?mso-application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Id="rId34" Type="http://schemas.microsoft.com/office/2011/relationships/people" Target="people.xml" /&gt;
        &lt;Relationship Id="rId7" Type="http://schemas.openxmlformats.org/officeDocument/2006/relationships/endnotes" Target="endnotes.xml" /&gt;
        &lt;Relationship Id="rId33" Type="http://schemas.microsoft.com/office/2011/relationships/commentsExtended" Target="commentsExtended.xml"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Id="rId4" Type="http://schemas.openxmlformats.org/officeDocument/2006/relationships/settings" Target="settings.xml" /&gt;
        &lt;Relationship Id="rId9" Type="http://schemas.openxmlformats.org/officeDocument/2006/relationships/theme" Target="theme/theme1.xml"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&lt;w:p&gt;
            &lt;w:pPr&gt;
              &lt;w:rPr&gt;
                &lt;w:lang w:eastAsia="ja-JP" /&gt;
              &lt;/w:rPr&gt;
            &lt;/w:pPr&gt;
          &lt;/w:p&gt;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&lt;w:p /&gt;
          &lt;w:p /&gt;
          &lt;w:p /&gt;
        &lt;/w:endnote&gt;
        &lt;w:endnote w:type="continuationSeparator" w:id="0"&gt;
          &lt;w:p&gt;
            &lt;w:pPr&gt;
              &lt;w:spacing w:after="0" w:line="240" w:lineRule="auto" /&gt;
            &lt;/w:pPr&gt;
            &lt;w:r&gt;
              &lt;w:continuationSeparator /&gt;
            &lt;/w:r&gt;
          &lt;/w:p&gt;
          &lt;w:p /&gt;
          &lt;w:p /&gt;
          &lt;w:p /&gt;
        &lt;/w:endnote&gt;
        &lt;w:endnote w:type="continuationNotice" w:id="1"&gt;
          &lt;w:p&gt;
            &lt;w:pPr&gt;
              &lt;w:spacing w:after="0" w:line="240" w:lineRule="auto" /&gt;
            &lt;/w:pPr&gt;
          &lt;/w:p&gt;
          &lt;w:p /&gt;
          &lt;w:p /&gt;
          &lt;w:p /&gt;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&lt;w:p /&gt;
          &lt;w:p /&gt;
          &lt;w:p /&gt;
        &lt;/w:footnote&gt;
        &lt;w:footnote w:type="continuationSeparator" w:id="0"&gt;
          &lt;w:p&gt;
            &lt;w:pPr&gt;
              &lt;w:spacing w:after="0" w:line="240" w:lineRule="auto" /&gt;
            &lt;/w:pPr&gt;
            &lt;w:r&gt;
              &lt;w:continuationSeparator /&gt;
            &lt;/w:r&gt;
          &lt;/w:p&gt;
          &lt;w:p /&gt;
          &lt;w:p /&gt;
          &lt;w:p /&gt;
        &lt;/w:footnote&gt;
        &lt;w:footnote w:type="continuationNotice" w:id="1"&gt;
          &lt;w:p&gt;
            &lt;w:pPr&gt;
              &lt;w:spacing w:after="0" w:line="240" w:lineRule="auto" /&gt;
            &lt;/w:pPr&gt;
          &lt;/w:p&gt;
          &lt;w:p /&gt;
          &lt;w:p /&gt;
          &lt;w:p /&gt;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w:percent="100"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w:val="14" /&gt;
          &lt;w:compatSetting w:name="overrideTableStyleFontSizeAndJustification" w:uri="http://schemas.microsoft.com/office/word" w:val="1" /&gt;
          &lt;w:compatSetting w:name="enableOpenTypeFeatures" w:uri="http://schemas.microsoft.com/office/word" w:val="1" /&gt;
          &lt;w:compatSetting w:name="doNotFlipMirrorIndents" w:uri="http://schemas.microsoft.com/office/word" w:val="1" /&gt;
        &lt;/w:compat&gt;
        &lt;w:docVars&gt;
          &lt;w:docVar w:name="LibraryFilter" w:val="V2.1_CPT Library_Asthma Master.docx,V2.1_CPT_Library_Diabetes Master.docx|V2.1_CPT Library_Healthy Volunteer Master.docx,V2.1_CPT Library_Patient Master.docx|"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w:usb0="E00002FF" w:usb1="4000ACFF" w:usb2="00000001"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w:val="0F8CE2AE" /&gt;
          &lt;w:lvl w:ilvl="0"&gt;
            &lt;w:start w:val="1" /&gt;
            &lt;w:numFmt w:val="decimal" /&gt;
            &lt;w:pStyle w:val="ListNumber"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w:abstractNumId="13"&gt;
          &lt;w:nsid w:val="0B5267F0" /&gt;
          &lt;w:multiLevelType w:val="hybridMultilevel" /&gt;
          &lt;w:tmpl w:val="7992709C" /&gt;
          &lt;w:lvl w:ilvl="0" w:tplc="EAD0C812"&gt;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w:abstractNumId="14"&gt;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w:val="0F4E5AC4" /&gt;
          &lt;w:multiLevelType w:val="singleLevel" /&gt;
          &lt;w:tmpl w:val="62E445DA" /&gt;
          &lt;w:lvl w:ilvl="0"&gt;
            &lt;w:start w:val="1" /&gt;
            &lt;w:numFmt w:val="decimal" /&gt;
            &lt;w:lvlText w:val="%1." /&gt;
            &lt;w:lvlJc w:val="left" /&gt;
            &lt;w:pPr&gt;
              &lt;w:tabs&gt;
                &lt;w:tab w:val="num" w:pos="432" /&gt;
              &lt;/w:tabs&gt;
              &lt;w:ind w:left="432" w:hanging="432" /&gt;
            &lt;/w:pPr&gt;
            &lt;w:rPr&gt;
              &lt;w:rFonts w:hint="default" /&gt;
            &lt;/w:rPr&gt;
          &lt;/w:lvl&gt;
        &lt;/w:abstractNum&gt;
        &lt;w:abstractNum w:abstractNumId="17"&gt;
          &lt;w:nsid w:val="104F4ABA" /&gt;
          &lt;w:multiLevelType w:val="hybridMultilevel" /&gt;
          &lt;w:tmpl w:val="F152626E" /&gt;
          &lt;w:lvl w:ilvl="0" w:tplc="04090003"&gt;
            &lt;w:start w:val="1" /&gt;
            &lt;w:numFmt w:val="bullet" /&gt;
            &lt;w:lvlText w:val="o" /&gt;
            &lt;w:lvlJc w:val="left" /&gt;
            &lt;w:pPr&gt;
              &lt;w:ind w:left="1080" w:hanging="360" /&gt;
            &lt;/w:pPr&gt;
            &lt;w:rPr&gt;
              &lt;w:rFonts w:ascii="Courier New" w:hAnsi="Courier New" w:cs="Courier New"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w:abstractNumId="18"&gt;
          &lt;w:nsid w:val="13490AF4" /&gt;
          &lt;w:multiLevelType w:val="hybridMultilevel" /&gt;
          &lt;w:tmpl w:val="61DEFBCC" /&gt;
          &lt;w:lvl w:ilvl="0" w:tplc="77A6A24A"&gt;
            &lt;w:start w:val="1" /&gt;
            &lt;w:numFmt w:val="bullet" /&gt;
            &lt;w:lvlText w:val="" /&gt;
            &lt;w:lvlJc w:val="left" /&gt;
            &lt;w:pPr&gt;
              &lt;w:ind w:left="720" w:hanging="360" /&gt;
            &lt;/w:pPr&gt;
            &lt;w:rPr&gt;
              &lt;w:rFonts w:ascii="Symbol" w:hAnsi="Symbol" w:hint="default" /&gt;
              &lt;w:color w:val="auto"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w:val="1C082410" /&gt;
          &lt;w:multiLevelType w:val="hybridMultilevel" /&gt;
          &lt;w:tmpl w:val="D5F235DA"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w:abstractNumId="24"&gt;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w:val="1D4D390B" /&gt;
          &lt;w:multiLevelType w:val="hybridMultilevel" /&gt;
          &lt;w:tmpl w:val="253E2E92" /&gt;
          &lt;w:lvl w:ilvl="0" w:tplc="04090001"&gt;
            &lt;w:start w:val="1" /&gt;
            &lt;w:numFmt w:val="bullet" /&gt;
            &lt;w:lvlText w:val="" /&gt;
            &lt;w:lvlJc w:val="left" /&gt;
            &lt;w:pPr&gt;
              &lt;w:ind w:left="1080" w:hanging="360" /&gt;
            &lt;/w:pPr&gt;
            &lt;w:rPr&gt;
              &lt;w:rFonts w:ascii="Symbol" w:hAnsi="Symbol"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w:abstractNumId="26"&gt;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w:abstractNumId="27"&gt;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w:abstractNumId="28"&gt;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w:abstractNumId="29"&gt;
          &lt;w:nsid w:val="1FF81BC6" /&gt;
          &lt;w:multiLevelType w:val="hybridMultilevel" /&gt;
          &lt;w:tmpl w:val="B23AF288"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w:abstractNumId="30"&gt;
          &lt;w:nsid w:val="22206345" /&gt;
          &lt;w:multiLevelType w:val="hybridMultilevel" /&gt;
          &lt;w:tmpl w:val="1EC8693E"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w:abstractNumId="32"&gt;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w:abstractNumId="33"&gt;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w:abstractNumId="35"&gt;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w:abstractNumId="36"&gt;
          &lt;w:nsid w:val="325E7691" /&gt;
          &lt;w:multiLevelType w:val="hybridMultilevel" /&gt;
          &lt;w:tmpl w:val="E2405C84"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w:abstractNumId="38"&gt;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w:abstractNumId="39"&gt;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w:abstractNumId="41"&gt;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w:abstractNumId="42"&gt;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w:abstractNumId="43"&gt;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w:abstractNumId="44"&gt;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w:abstractNumId="45"&gt;
          &lt;w:nsid w:val="3BFE4B2A" /&gt;
          &lt;w:multiLevelType w:val="hybridMultilevel" /&gt;
          &lt;w:tmpl w:val="0D68D196" /&gt;
          &lt;w:lvl w:ilvl="0" w:tplc="04090001"&gt;
            &lt;w:start w:val="1" /&gt;
            &lt;w:numFmt w:val="bullet"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w:abstractNumId="46"&gt;
          &lt;w:nsid w:val="3DD01B05" /&gt;
          &lt;w:multiLevelType w:val="hybridMultilevel" /&gt;
          &lt;w:tmpl w:val="C7E2CA84" /&gt;
          &lt;w:lvl w:ilvl="0" w:tplc="0409000F"&gt;
            &lt;w:start w:val="1" /&gt;
            &lt;w:numFmt w:val="decimal"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w:abstractNumId="47"&gt;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w:abstractNumId="48"&gt;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w:abstractNumId="49"&gt;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w:abstractNumId="50"&gt;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w:abstractNumId="51"&gt;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w:abstractNumId="52"&gt;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w:abstractNumId="53"&gt;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w:abstractNumId="55"&gt;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w:abstractNumId="56"&gt;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w:abstractNumId="58"&gt;
          &lt;w:nsid w:val="50186FA2" /&gt;
          &lt;w:multiLevelType w:val="hybridMultilevel" /&gt;
          &lt;w:tmpl w:val="97E0D722"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w:abstractNumId="60"&gt;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w:abstractNumId="61"&gt;
          &lt;w:nsid w:val="51740E67" /&gt;
          &lt;w:multiLevelType w:val="hybridMultilevel" /&gt;
          &lt;w:tmpl w:val="6C822940"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w:abstractNumId="62"&gt;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w:abstractNumId="63"&gt;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w:abstractNumId="64"&gt;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w:abstractNumId="65"&gt;
          &lt;w:nsid w:val="55BE2694" /&gt;
          &lt;w:multiLevelType w:val="hybridMultilevel" /&gt;
          &lt;w:tmpl w:val="4C467E8C" /&gt;
          &lt;w:lvl w:ilvl="0" w:tplc="16146F14"&gt;
            &lt;w:start w:val="2"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w:abstractNumId="66"&gt;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w:abstractNumId="67"&gt;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w:abstractNumId="68"&gt;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w:abstractNumId="69"&gt;
          &lt;w:nsid w:val="5F2A1ABE" /&gt;
          &lt;w:multiLevelType w:val="singleLevel" /&gt;
          &lt;w:tmpl w:val="B686D922" /&gt;
          &lt;w:lvl w:ilvl="0"&gt;
            &lt;w:start w:val="1" /&gt;
            &lt;w:numFmt w:val="bullet" /&gt;
            &lt;w:lvlText w:val="" /&gt;
            &lt;w:lvlJc w:val="left" /&gt;
            &lt;w:pPr&gt;
              &lt;w:tabs&gt;
                &lt;w:tab w:val="num" w:pos="432" /&gt;
              &lt;/w:tabs&gt;
              &lt;w:ind w:left="432" w:hanging="432" /&gt;
            &lt;/w:pPr&gt;
            &lt;w:rPr&gt;
              &lt;w:rFonts w:ascii="Symbol" w:hAnsi="Symbol" w:hint="default" /&gt;
            &lt;/w:rPr&gt;
          &lt;/w:lvl&gt;
        &lt;/w:abstractNum&gt;
        &lt;w:abstractNum w:abstractNumId="70"&gt;
          &lt;w:nsid w:val="5F3A6F28" /&gt;
          &lt;w:multiLevelType w:val="hybridMultilevel" /&gt;
          &lt;w:tmpl w:val="E83CD1AC"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w:abstractNumId="71"&gt;
          &lt;w:nsid w:val="611227B5" /&gt;
          &lt;w:multiLevelType w:val="hybridMultilevel" /&gt;
          &lt;w:tmpl w:val="DD861FAE" /&gt;
          &lt;w:lvl w:ilvl="0" w:tplc="04090001"&gt;
            &lt;w:start w:val="1" /&gt;
            &lt;w:numFmt w:val="decimal"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w:abstractNumId="72"&gt;
          &lt;w:nsid w:val="62DB3D68" /&gt;
          &lt;w:multiLevelType w:val="hybridMultilevel" /&gt;
          &lt;w:tmpl w:val="3286A04E" /&gt;
          &lt;w:lvl w:ilvl="0" w:tplc="AF42F0A2"&gt;
            &lt;w:start w:val="1" /&gt;
            &lt;w:numFmt w:val="bullet"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w:abstractNumId="73"&gt;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w:abstractNumId="74"&gt;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w:abstractNumId="75"&gt;
          &lt;w:nsid w:val="63DC4716" /&gt;
          &lt;w:multiLevelType w:val="hybridMultilevel" /&gt;
          &lt;w:tmpl w:val="5E04554C" /&gt;
          &lt;w:lvl w:ilvl="0" w:tplc="0409001B"&gt;
            &lt;w:start w:val="1" /&gt;
            &lt;w:numFmt w:val="lowerRoman" /&gt;
            &lt;w:lvlText w:val="%1." /&gt;
            &lt;w:lvlJc w:val="right" /&gt;
            &lt;w:pPr&gt;
              &lt;w:ind w:left="15480" w:hanging="360" /&gt;
            &lt;/w:pPr&gt;
          &lt;/w:lvl&gt;
          &lt;w:lvl w:ilvl="1" w:tplc="04090003"&gt;
            &lt;w:start w:val="1" /&gt;
            &lt;w:numFmt w:val="lowerLetter" /&gt;
            &lt;w:lvlText w:val="%2." /&gt;
            &lt;w:lvlJc w:val="left" /&gt;
            &lt;w:pPr&gt;
              &lt;w:ind w:left="16200" w:hanging="360" /&gt;
            &lt;/w:pPr&gt;
          &lt;/w:lvl&gt;
          &lt;w:lvl w:ilvl="2" w:tplc="04090005" w:tentative="1"&gt;
            &lt;w:start w:val="1" /&gt;
            &lt;w:numFmt w:val="lowerRoman" /&gt;
            &lt;w:lvlText w:val="%3." /&gt;
            &lt;w:lvlJc w:val="right" /&gt;
            &lt;w:pPr&gt;
              &lt;w:ind w:left="16920" w:hanging="180" /&gt;
            &lt;/w:pPr&gt;
          &lt;/w:lvl&gt;
          &lt;w:lvl w:ilvl="3" w:tplc="04090001" w:tentative="1"&gt;
            &lt;w:start w:val="1" /&gt;
            &lt;w:numFmt w:val="decimal" /&gt;
            &lt;w:lvlText w:val="%4." /&gt;
            &lt;w:lvlJc w:val="left" /&gt;
            &lt;w:pPr&gt;
              &lt;w:ind w:left="17640" w:hanging="360" /&gt;
            &lt;/w:pPr&gt;
          &lt;/w:lvl&gt;
          &lt;w:lvl w:ilvl="4" w:tplc="04090003" w:tentative="1"&gt;
            &lt;w:start w:val="1" /&gt;
            &lt;w:numFmt w:val="lowerLetter" /&gt;
            &lt;w:lvlText w:val="%5." /&gt;
            &lt;w:lvlJc w:val="left" /&gt;
            &lt;w:pPr&gt;
              &lt;w:ind w:left="18360" w:hanging="360" /&gt;
            &lt;/w:pPr&gt;
          &lt;/w:lvl&gt;
          &lt;w:lvl w:ilvl="5" w:tplc="04090005" w:tentative="1"&gt;
            &lt;w:start w:val="1" /&gt;
            &lt;w:numFmt w:val="lowerRoman" /&gt;
            &lt;w:lvlText w:val="%6." /&gt;
            &lt;w:lvlJc w:val="right" /&gt;
            &lt;w:pPr&gt;
              &lt;w:ind w:left="19080" w:hanging="180" /&gt;
            &lt;/w:pPr&gt;
          &lt;/w:lvl&gt;
          &lt;w:lvl w:ilvl="6" w:tplc="04090001" w:tentative="1"&gt;
            &lt;w:start w:val="1" /&gt;
            &lt;w:numFmt w:val="decimal" /&gt;
            &lt;w:lvlText w:val="%7." /&gt;
            &lt;w:lvlJc w:val="left" /&gt;
            &lt;w:pPr&gt;
              &lt;w:ind w:left="19800" w:hanging="360" /&gt;
            &lt;/w:pPr&gt;
          &lt;/w:lvl&gt;
          &lt;w:lvl w:ilvl="7" w:tplc="04090003" w:tentative="1"&gt;
            &lt;w:start w:val="1" /&gt;
            &lt;w:numFmt w:val="lowerLetter" /&gt;
            &lt;w:lvlText w:val="%8." /&gt;
            &lt;w:lvlJc w:val="left" /&gt;
            &lt;w:pPr&gt;
              &lt;w:ind w:left="20520" w:hanging="360" /&gt;
            &lt;/w:pPr&gt;
          &lt;/w:lvl&gt;
          &lt;w:lvl w:ilvl="8" w:tplc="04090005" w:tentative="1"&gt;
            &lt;w:start w:val="1" /&gt;
            &lt;w:numFmt w:val="lowerRoman" /&gt;
            &lt;w:lvlText w:val="%9." /&gt;
            &lt;w:lvlJc w:val="right" /&gt;
            &lt;w:pPr&gt;
              &lt;w:ind w:left="21240" w:hanging="180" /&gt;
            &lt;/w:pPr&gt;
          &lt;/w:lvl&gt;
        &lt;/w:abstractNum&gt;
        &lt;w:abstractNum w:abstractNumId="76"&gt;
          &lt;w:nsid w:val="641A1632" /&gt;
          &lt;w:multiLevelType w:val="hybridMultilevel" /&gt;
          &lt;w:tmpl w:val="EFDC5884"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w:abstractNumId="77"&gt;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w:abstractNumId="78"&gt;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w:abstractNumId="79"&gt;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w:abstractNumId="80"&gt;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w:abstractNumId="81"&gt;
          &lt;w:nsid w:val="6D273DC5" /&gt;
          &lt;w:multiLevelType w:val="hybridMultilevel" /&gt;
          &lt;w:tmpl w:val="0E2AA980" /&gt;
          &lt;w:lvl w:ilvl="0" w:tplc="02D02A38"&gt;
            &lt;w:start w:val="1" /&gt;
            &lt;w:numFmt w:val="decimal" /&gt;
            &lt;w:lvlText w:val="%1." /&gt;
            &lt;w:lvlJc w:val="left" /&gt;
            &lt;w:pPr&gt;
              &lt;w:ind w:left="928" w:hanging="360" /&gt;
            &lt;/w:pPr&gt;
            &lt;w:rPr&gt;
              &lt;w:rFonts w:hint="default" /&gt;
              &lt;w:color w:val="auto" /&gt;
            &lt;/w:rPr&gt;
          &lt;/w:lvl&gt;
          &lt;w:lvl w:ilvl="1" w:tplc="04090019" w:tentative="1"&gt;
            &lt;w:start w:val="1" /&gt;
            &lt;w:numFmt w:val="lowerLetter" /&gt;
            &lt;w:lvlText w:val="%2." /&gt;
            &lt;w:lvlJc w:val="left" /&gt;
            &lt;w:pPr&gt;
              &lt;w:ind w:left="1648" w:hanging="360" /&gt;
            &lt;/w:pPr&gt;
          &lt;/w:lvl&gt;
          &lt;w:lvl w:ilvl="2" w:tplc="0409001B" w:tentative="1"&gt;
            &lt;w:start w:val="1" /&gt;
            &lt;w:numFmt w:val="lowerRoman" /&gt;
            &lt;w:lvlText w:val="%3." /&gt;
            &lt;w:lvlJc w:val="right" /&gt;
            &lt;w:pPr&gt;
              &lt;w:ind w:left="2368" w:hanging="180" /&gt;
            &lt;/w:pPr&gt;
          &lt;/w:lvl&gt;
          &lt;w:lvl w:ilvl="3" w:tplc="0409000F" w:tentative="1"&gt;
            &lt;w:start w:val="1" /&gt;
            &lt;w:numFmt w:val="decimal" /&gt;
            &lt;w:lvlText w:val="%4." /&gt;
            &lt;w:lvlJc w:val="left" /&gt;
            &lt;w:pPr&gt;
              &lt;w:ind w:left="3088" w:hanging="360" /&gt;
            &lt;/w:pPr&gt;
          &lt;/w:lvl&gt;
          &lt;w:lvl w:ilvl="4" w:tplc="04090019" w:tentative="1"&gt;
            &lt;w:start w:val="1" /&gt;
            &lt;w:numFmt w:val="lowerLetter" /&gt;
            &lt;w:lvlText w:val="%5." /&gt;
            &lt;w:lvlJc w:val="left" /&gt;
            &lt;w:pPr&gt;
              &lt;w:ind w:left="3808" w:hanging="360" /&gt;
            &lt;/w:pPr&gt;
          &lt;/w:lvl&gt;
          &lt;w:lvl w:ilvl="5" w:tplc="0409001B" w:tentative="1"&gt;
            &lt;w:start w:val="1" /&gt;
            &lt;w:numFmt w:val="lowerRoman" /&gt;
            &lt;w:lvlText w:val="%6." /&gt;
            &lt;w:lvlJc w:val="right" /&gt;
            &lt;w:pPr&gt;
              &lt;w:ind w:left="4528" w:hanging="180" /&gt;
            &lt;/w:pPr&gt;
          &lt;/w:lvl&gt;
          &lt;w:lvl w:ilvl="6" w:tplc="0409000F" w:tentative="1"&gt;
            &lt;w:start w:val="1" /&gt;
            &lt;w:numFmt w:val="decimal" /&gt;
            &lt;w:lvlText w:val="%7." /&gt;
            &lt;w:lvlJc w:val="left" /&gt;
            &lt;w:pPr&gt;
              &lt;w:ind w:left="5248" w:hanging="360" /&gt;
            &lt;/w:pPr&gt;
          &lt;/w:lvl&gt;
          &lt;w:lvl w:ilvl="7" w:tplc="04090019" w:tentative="1"&gt;
            &lt;w:start w:val="1" /&gt;
            &lt;w:numFmt w:val="lowerLetter" /&gt;
            &lt;w:lvlText w:val="%8." /&gt;
            &lt;w:lvlJc w:val="left" /&gt;
            &lt;w:pPr&gt;
              &lt;w:ind w:left="5968" w:hanging="360" /&gt;
            &lt;/w:pPr&gt;
          &lt;/w:lvl&gt;
          &lt;w:lvl w:ilvl="8" w:tplc="0409001B" w:tentative="1"&gt;
            &lt;w:start w:val="1" /&gt;
            &lt;w:numFmt w:val="lowerRoman" /&gt;
            &lt;w:lvlText w:val="%9." /&gt;
            &lt;w:lvlJc w:val="right" /&gt;
            &lt;w:pPr&gt;
              &lt;w:ind w:left="6688" w:hanging="180" /&gt;
            &lt;/w:pPr&gt;
          &lt;/w:lvl&gt;
        &lt;/w:abstractNum&gt;
        &lt;w:abstractNum w:abstractNumId="82"&gt;
          &lt;w:nsid w:val="6D762647" /&gt;
          &lt;w:multiLevelType w:val="hybridMultilevel" /&gt;
          &lt;w:tmpl w:val="767CFDA0" /&gt;
          &lt;w:lvl w:ilvl="0" w:tplc="8A5430F2"&gt;
            &lt;w:start w:val="1" /&gt;
            &lt;w:numFmt w:val="decimal"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w:abstractNumId="84"&gt;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w:abstractNumId="85"&gt;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w:abstractNumId="86"&gt;
          &lt;w:nsid w:val="715E7661" /&gt;
          &lt;w:multiLevelType w:val="hybridMultilevel" /&gt;
          &lt;w:tmpl w:val="6B644DB4"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w:abstractNumId="87"&gt;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w:abstractNumId="88"&gt;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w:abstractNumId="89"&gt;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w:abstractNumId="90"&gt;
          &lt;w:nsid w:val="7BDD14CF"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w:abstractNumId="91"&gt;
          &lt;w:nsid w:val="7C884488" /&gt;
          &lt;w:multiLevelType w:val="hybridMultilevel" /&gt;
          &lt;w:tmpl w:val="B2223808"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w:abstractNumId="92"&gt;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w:val="46" /&gt;
        &lt;/w:num&gt;
        &lt;w:num w:numId="3"&gt;
          &lt;w:abstractNumId w:val="82" /&gt;
        &lt;/w:num&gt;
        &lt;w:num w:numId="4"&gt;
          &lt;w:abstractNumId w:val="13" /&gt;
        &lt;/w:num&gt;
        &lt;w:num w:numId="5"&gt;
          &lt;w:abstractNumId w:val="45" /&gt;
        &lt;/w:num&gt;
        &lt;w:num w:numId="6"&gt;
          &lt;w:abstractNumId w:val="34" /&gt;
        &lt;/w:num&gt;
        &lt;w:num w:numId="7"&gt;
          &lt;w:abstractNumId w:val="19" /&gt;
        &lt;/w:num&gt;
        &lt;w:num w:numId="8"&gt;
          &lt;w:abstractNumId w:val="16" /&gt;
        &lt;/w:num&gt;
        &lt;w:num w:numId="9"&gt;
          &lt;w:abstractNumId w:val="69" /&gt;
        &lt;/w:num&gt;
        &lt;w:num w:numId="10"&gt;
          &lt;w:abstractNumId w:val="88" /&gt;
        &lt;/w:num&gt;
        &lt;w:num w:numId="11"&gt;
          &lt;w:abstractNumId w:val="50" /&gt;
        &lt;/w:num&gt;
        &lt;w:num w:numId="12"&gt;
          &lt;w:abstractNumId w:val="11" /&gt;
        &lt;/w:num&gt;
        &lt;w:num w:numId="13"&gt;
          &lt;w:abstractNumId w:val="71" /&gt;
        &lt;/w:num&gt;
        &lt;w:num w:numId="14"&gt;
          &lt;w:abstractNumId w:val="40" /&gt;
        &lt;/w:num&gt;
        &lt;w:num w:numId="15"&gt;
          &lt;w:abstractNumId w:val="49" /&gt;
        &lt;/w:num&gt;
        &lt;w:num w:numId="16"&gt;
          &lt;w:abstractNumId w:val="75" /&gt;
        &lt;/w:num&gt;
        &lt;w:num w:numId="17"&gt;
          &lt;w:abstractNumId w:val="72"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w:val="26" /&gt;
        &lt;/w:num&gt;
        &lt;w:num w:numId="19"&gt;
          &lt;w:abstractNumId w:val="77" /&gt;
        &lt;/w:num&gt;
        &lt;w:num w:numId="20"&gt;
          &lt;w:abstractNumId w:val="58" /&gt;
        &lt;/w:num&gt;
        &lt;w:num w:numId="21"&gt;
          &lt;w:abstractNumId w:val="12" /&gt;
        &lt;/w:num&gt;
        &lt;w:num w:numId="22"&gt;
          &lt;w:abstractNumId w:val="66" /&gt;
        &lt;/w:num&gt;
        &lt;w:num w:numId="23"&gt;
          &lt;w:abstractNumId w:val="55" /&gt;
        &lt;/w:num&gt;
        &lt;w:num w:numId="24"&gt;
          &lt;w:abstractNumId w:val="41" /&gt;
        &lt;/w:num&gt;
        &lt;w:num w:numId="25"&gt;
          &lt;w:abstractNumId w:val="54" /&gt;
        &lt;/w:num&gt;
        &lt;w:num w:numId="26"&gt;
          &lt;w:abstractNumId w:val="63" /&gt;
        &lt;/w:num&gt;
        &lt;w:num w:numId="27"&gt;
          &lt;w:abstractNumId w:val="27" /&gt;
        &lt;/w:num&gt;
        &lt;w:num w:numId="28"&gt;
          &lt;w:abstractNumId w:val="92" /&gt;
        &lt;/w:num&gt;
        &lt;w:num w:numId="29"&gt;
          &lt;w:abstractNumId w:val="89" /&gt;
        &lt;/w:num&gt;
        &lt;w:num w:numId="30"&gt;
          &lt;w:abstractNumId w:val="56" /&gt;
        &lt;/w:num&gt;
        &lt;w:num w:numId="31"&gt;
          &lt;w:abstractNumId w:val="38" /&gt;
        &lt;/w:num&gt;
        &lt;w:num w:numId="32"&gt;
          &lt;w:abstractNumId w:val="28" /&gt;
        &lt;/w:num&gt;
        &lt;w:num w:numId="33"&gt;
          &lt;w:abstractNumId w:val="53" /&gt;
        &lt;/w:num&gt;
        &lt;w:num w:numId="34"&gt;
          &lt;w:abstractNumId w:val="37" /&gt;
        &lt;/w:num&gt;
        &lt;w:num w:numId="35"&gt;
          &lt;w:abstractNumId w:val="64" /&gt;
        &lt;/w:num&gt;
        &lt;w:num w:numId="36"&gt;
          &lt;w:abstractNumId w:val="44" /&gt;
        &lt;/w:num&gt;
        &lt;w:num w:numId="37"&gt;
          &lt;w:abstractNumId w:val="24" /&gt;
        &lt;/w:num&gt;
        &lt;w:num w:numId="38"&gt;
          &lt;w:abstractNumId w:val="68" /&gt;
        &lt;/w:num&gt;
        &lt;w:num w:numId="39"&gt;
          &lt;w:abstractNumId w:val="33" /&gt;
        &lt;/w:num&gt;
        &lt;w:num w:numId="40"&gt;
          &lt;w:abstractNumId w:val="42" /&gt;
        &lt;/w:num&gt;
        &lt;w:num w:numId="41"&gt;
          &lt;w:abstractNumId w:val="70" /&gt;
        &lt;/w:num&gt;
        &lt;w:num w:numId="42"&gt;
          &lt;w:abstractNumId w:val="57" /&gt;
        &lt;/w:num&gt;
        &lt;w:num w:numId="43"&gt;
          &lt;w:abstractNumId w:val="51" /&gt;
        &lt;/w:num&gt;
        &lt;w:num w:numId="44"&gt;
          &lt;w:abstractNumId w:val="73" /&gt;
        &lt;/w:num&gt;
        &lt;w:num w:numId="45"&gt;
          &lt;w:abstractNumId w:val="84" /&gt;
        &lt;/w:num&gt;
        &lt;w:num w:numId="46"&gt;
          &lt;w:abstractNumId w:val="39" /&gt;
        &lt;/w:num&gt;
        &lt;w:num w:numId="47"&gt;
          &lt;w:abstractNumId w:val="35" /&gt;
        &lt;/w:num&gt;
        &lt;w:num w:numId="48"&gt;
          &lt;w:abstractNumId w:val="21" /&gt;
        &lt;/w:num&gt;
        &lt;w:num w:numId="49"&gt;
          &lt;w:abstractNumId w:val="14" /&gt;
        &lt;/w:num&gt;
        &lt;w:num w:numId="50"&gt;
          &lt;w:abstractNumId w:val="15" /&gt;
        &lt;/w:num&gt;
        &lt;w:num w:numId="51"&gt;
          &lt;w:abstractNumId w:val="83" /&gt;
        &lt;/w:num&gt;
        &lt;w:num w:numId="52"&gt;
          &lt;w:abstractNumId w:val="81" /&gt;
        &lt;/w:num&gt;
        &lt;w:num w:numId="53"&gt;
          &lt;w:abstractNumId w:val="32" /&gt;
        &lt;/w:num&gt;
        &lt;w:num w:numId="54"&gt;
          &lt;w:abstractNumId w:val="52" /&gt;
        &lt;/w:num&gt;
        &lt;w:num w:numId="55"&gt;
          &lt;w:abstractNumId w:val="78" /&gt;
        &lt;/w:num&gt;
        &lt;w:num w:numId="56"&gt;
          &lt;w:abstractNumId w:val="87" /&gt;
        &lt;/w:num&gt;
        &lt;w:num w:numId="57"&gt;
          &lt;w:abstractNumId w:val="20" /&gt;
        &lt;/w:num&gt;
        &lt;w:num w:numId="58"&gt;
          &lt;w:abstractNumId w:val="67" /&gt;
        &lt;/w:num&gt;
        &lt;w:num w:numId="59"&gt;
          &lt;w:abstractNumId w:val="85" /&gt;
        &lt;/w:num&gt;
        &lt;w:num w:numId="60"&gt;
          &lt;w:abstractNumId w:val="60" /&gt;
        &lt;/w:num&gt;
        &lt;w:num w:numId="61"&gt;
          &lt;w:abstractNumId w:val="59" /&gt;
        &lt;/w:num&gt;
        &lt;w:num w:numId="62"&gt;
          &lt;w:abstractNumId w:val="31" /&gt;
        &lt;/w:num&gt;
        &lt;w:num w:numId="63"&gt;
          &lt;w:abstractNumId w:val="74" /&gt;
        &lt;/w:num&gt;
        &lt;w:num w:numId="64"&gt;
          &lt;w:abstractNumId w:val="22" /&gt;
        &lt;/w:num&gt;
        &lt;w:num w:numId="65"&gt;
          &lt;w:abstractNumId w:val="48" /&gt;
        &lt;/w:num&gt;
        &lt;w:num w:numId="66"&gt;
          &lt;w:abstractNumId w:val="80" /&gt;
        &lt;/w:num&gt;
        &lt;w:num w:numId="67"&gt;
          &lt;w:abstractNumId w:val="10" /&gt;
        &lt;/w:num&gt;
        &lt;w:num w:numId="68"&gt;
          &lt;w:abstractNumId w:val="47" /&gt;
        &lt;/w:num&gt;
        &lt;w:num w:numId="69"&gt;
          &lt;w:abstractNumId w:val="18" /&gt;
        &lt;/w:num&gt;
        &lt;w:num w:numId="70"&gt;
          &lt;w:abstractNumId w:val="43" /&gt;
        &lt;/w:num&gt;
        &lt;w:num w:numId="71"&gt;
          &lt;w:abstractNumId w:val="79" /&gt;
        &lt;/w:num&gt;
        &lt;w:num w:numId="72"&gt;
          &lt;w:abstractNumId w:val="62" /&gt;
        &lt;/w:num&gt;
        &lt;w:num w:numId="73"&gt;
          &lt;w:abstractNumId w:val="7" /&gt;
        &lt;/w:num&gt;
        &lt;w:num w:numId="74"&gt;
          &lt;w:abstractNumId w:val="6" /&gt;
        &lt;/w:num&gt;
        &lt;w:num w:numId="75"&gt;
          &lt;w:abstractNumId w:val="5" /&gt;
        &lt;/w:num&gt;
        &lt;w:num w:numId="76"&gt;
          &lt;w:abstractNumId w:val="4" /&gt;
        &lt;/w:num&gt;
        &lt;w:num w:numId="77"&gt;
          &lt;w:abstractNumId w:val="8" /&gt;
        &lt;/w:num&gt;
        &lt;w:num w:numId="78"&gt;
          &lt;w:abstractNumId w:val="3" /&gt;
        &lt;/w:num&gt;
        &lt;w:num w:numId="79"&gt;
          &lt;w:abstractNumId w:val="2" /&gt;
        &lt;/w:num&gt;
        &lt;w:num w:numId="80"&gt;
          &lt;w:abstractNumId w:val="1" /&gt;
        &lt;/w:num&gt;
        &lt;w:num w:numId="81"&gt;
          &lt;w:abstractNumId w:val="0" /&gt;
        &lt;/w:num&gt;
        &lt;w:num w:numId="82"&gt;
          &lt;w:abstractNumId w:val="29" /&gt;
        &lt;/w:num&gt;
        &lt;w:num w:numId="83"&gt;
          &lt;w:abstractNumId w:val="76" /&gt;
        &lt;/w:num&gt;
        &lt;w:num w:numId="84"&gt;
          &lt;w:abstractNumId w:val="17" /&gt;
        &lt;/w:num&gt;
        &lt;w:num w:numId="85"&gt;
          &lt;w:abstractNumId w:val="25" /&gt;
        &lt;/w:num&gt;
        &lt;w:num w:numId="86"&gt;
          &lt;w:abstractNumId w:val="90" /&gt;
        &lt;/w:num&gt;
        &lt;w:num w:numId="87"&gt;
          &lt;w:abstractNumId w:val="65" /&gt;
        &lt;/w:num&gt;
        &lt;w:num w:numId="88"&gt;
          &lt;w:abstractNumId w:val="86" /&gt;
        &lt;/w:num&gt;
        &lt;w:num w:numId="89"&gt;
          &lt;w:abstractNumId w:val="30" /&gt;
        &lt;/w:num&gt;
        &lt;w:num w:numId="90"&gt;
          &lt;w:abstractNumId w:val="36" /&gt;
        &lt;/w:num&gt;
        &lt;w:num w:numId="91"&gt;
          &lt;w:abstractNumId w:val="23" /&gt;
        &lt;/w:num&gt;
        &lt;w:num w:numId="92"&gt;
          &lt;w:abstractNumId w:val="91" /&gt;
        &lt;/w:num&gt;
        &lt;w:num w:numId="93"&gt;
          &lt;w:abstractNumId w:val="61" /&gt;
        &lt;/w:num&gt;
        &lt;w:numIdMacAtCleanup w:val="90" /&gt;
      &lt;/w:numbering&gt;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w:id="2057311510"&gt;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w:id="2118090268"&gt;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pkg:name="/word/people.xml" pkg:contentType="application/vnd.openxmlformats-officedocument.wordprocessingml.people+xml"&gt;
    &lt;pkg:xmlData&gt;
      &lt;w15:people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&lt;w15:person w15:author="Stacy Tegan"&gt;
          &lt;w15:presenceInfo w15:providerId="None" w15:userId="Stacy Tegan" /&gt;
        &lt;/w15:person&gt;
      &lt;/w15:people&gt;
    &lt;/pkg:xmlData&gt;
  &lt;/pkg:part&gt;
  &lt;pkg:part pkg:name="/word/commentsExtended.xml" pkg:contentType="application/vnd.openxmlformats-officedocument.wordprocessingml.commentsExtended+xml"&gt;
    &lt;pkg:xmlData&gt;
      &lt;w15:commentsEx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&lt;w15:commentEx w15:paraId="3A53BF52" w15:done="0" /&gt;
        &lt;w15:commentEx w15:paraId="21D7C13A" w15:done="0" /&gt;
        &lt;w15:commentEx w15:paraId="2451C35C" w15:done="0" /&gt;
        &lt;w15:commentEx w15:paraId="153CB5F7" w15:done="0" /&gt;
        &lt;w15:commentEx w15:paraId="003DF36E" w15:done="0" /&gt;
        &lt;w15:commentEx w15:paraId="188BD655" w15:done="0" /&gt;
        &lt;w15:commentEx w15:paraId="6DCF61D8" w15:done="0" /&gt;
        &lt;w15:commentEx w15:paraId="18BB442E" w15:done="0" /&gt;
        &lt;w15:commentEx w15:paraId="7437DC8F" w15:done="0" /&gt;
        &lt;w15:commentEx w15:paraId="263809FA" w15:done="0" /&gt;
        &lt;w15:commentEx w15:paraId="44BD0A90" w15:done="0" /&gt;
        &lt;w15:commentEx w15:paraId="2EFD0CEA" w15:done="0" /&gt;
      &lt;/w15:commentsEx&gt;
    &lt;/pkg:xmlData&gt;
  &lt;/pkg:part&gt;
&lt;/pkg:package&gt;</OverallDesign>
  <TreatmentGroupsAndDuration>&lt;?mso-application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Id="rId34" Type="http://schemas.microsoft.com/office/2011/relationships/people" Target="people.xml" /&gt;
        &lt;Relationship Id="rId7" Type="http://schemas.openxmlformats.org/officeDocument/2006/relationships/endnotes" Target="endnotes.xml" /&gt;
        &lt;Relationship Id="rId33" Type="http://schemas.microsoft.com/office/2011/relationships/commentsExtended" Target="commentsExtended.xml"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Id="rId4" Type="http://schemas.openxmlformats.org/officeDocument/2006/relationships/settings" Target="settings.xml" /&gt;
        &lt;Relationship Id="rId9" Type="http://schemas.openxmlformats.org/officeDocument/2006/relationships/theme" Target="theme/theme1.xml"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 /&gt;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&lt;w:p /&gt;
          &lt;w:p /&gt;
          &lt;w:p /&gt;
        &lt;/w:endnote&gt;
        &lt;w:endnote w:type="continuationSeparator" w:id="0"&gt;
          &lt;w:p&gt;
            &lt;w:pPr&gt;
              &lt;w:spacing w:after="0" w:line="240" w:lineRule="auto" /&gt;
            &lt;/w:pPr&gt;
            &lt;w:r&gt;
              &lt;w:continuationSeparator /&gt;
            &lt;/w:r&gt;
          &lt;/w:p&gt;
          &lt;w:p /&gt;
          &lt;w:p /&gt;
          &lt;w:p /&gt;
        &lt;/w:endnote&gt;
        &lt;w:endnote w:type="continuationNotice" w:id="1"&gt;
          &lt;w:p&gt;
            &lt;w:pPr&gt;
              &lt;w:spacing w:after="0" w:line="240" w:lineRule="auto" /&gt;
            &lt;/w:pPr&gt;
          &lt;/w:p&gt;
          &lt;w:p /&gt;
          &lt;w:p /&gt;
          &lt;w:p /&gt;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&lt;w:p /&gt;
          &lt;w:p /&gt;
          &lt;w:p /&gt;
        &lt;/w:footnote&gt;
        &lt;w:footnote w:type="continuationSeparator" w:id="0"&gt;
          &lt;w:p&gt;
            &lt;w:pPr&gt;
              &lt;w:spacing w:after="0" w:line="240" w:lineRule="auto" /&gt;
            &lt;/w:pPr&gt;
            &lt;w:r&gt;
              &lt;w:continuationSeparator /&gt;
            &lt;/w:r&gt;
          &lt;/w:p&gt;
          &lt;w:p /&gt;
          &lt;w:p /&gt;
          &lt;w:p /&gt;
        &lt;/w:footnote&gt;
        &lt;w:footnote w:type="continuationNotice" w:id="1"&gt;
          &lt;w:p&gt;
            &lt;w:pPr&gt;
              &lt;w:spacing w:after="0" w:line="240" w:lineRule="auto" /&gt;
            &lt;/w:pPr&gt;
          &lt;/w:p&gt;
          &lt;w:p /&gt;
          &lt;w:p /&gt;
          &lt;w:p /&gt;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w:percent="100"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w:val="14" /&gt;
          &lt;w:compatSetting w:name="overrideTableStyleFontSizeAndJustification" w:uri="http://schemas.microsoft.com/office/word" w:val="1" /&gt;
          &lt;w:compatSetting w:name="enableOpenTypeFeatures" w:uri="http://schemas.microsoft.com/office/word" w:val="1" /&gt;
          &lt;w:compatSetting w:name="doNotFlipMirrorIndents" w:uri="http://schemas.microsoft.com/office/word" w:val="1" /&gt;
        &lt;/w:compat&gt;
        &lt;w:docVars&gt;
          &lt;w:docVar w:name="LibraryFilter" w:val="V2.1_CPT Library_Asthma Master.docx,V2.1_CPT_Library_Diabetes Master.docx|V2.1_CPT Library_Healthy Volunteer Master.docx,V2.1_CPT Library_Patient Master.docx|"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w:usb0="E00002FF" w:usb1="4000ACFF" w:usb2="00000001"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w:val="0F8CE2AE" /&gt;
          &lt;w:lvl w:ilvl="0"&gt;
            &lt;w:start w:val="1" /&gt;
            &lt;w:numFmt w:val="decimal" /&gt;
            &lt;w:pStyle w:val="ListNumber"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w:abstractNumId="13"&gt;
          &lt;w:nsid w:val="0B5267F0" /&gt;
          &lt;w:multiLevelType w:val="hybridMultilevel" /&gt;
          &lt;w:tmpl w:val="7992709C" /&gt;
          &lt;w:lvl w:ilvl="0" w:tplc="EAD0C812"&gt;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w:abstractNumId="14"&gt;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w:val="0F4E5AC4" /&gt;
          &lt;w:multiLevelType w:val="singleLevel" /&gt;
          &lt;w:tmpl w:val="62E445DA" /&gt;
          &lt;w:lvl w:ilvl="0"&gt;
            &lt;w:start w:val="1" /&gt;
            &lt;w:numFmt w:val="decimal" /&gt;
            &lt;w:lvlText w:val="%1." /&gt;
            &lt;w:lvlJc w:val="left" /&gt;
            &lt;w:pPr&gt;
              &lt;w:tabs&gt;
                &lt;w:tab w:val="num" w:pos="432" /&gt;
              &lt;/w:tabs&gt;
              &lt;w:ind w:left="432" w:hanging="432" /&gt;
            &lt;/w:pPr&gt;
            &lt;w:rPr&gt;
              &lt;w:rFonts w:hint="default" /&gt;
            &lt;/w:rPr&gt;
          &lt;/w:lvl&gt;
        &lt;/w:abstractNum&gt;
        &lt;w:abstractNum w:abstractNumId="17"&gt;
          &lt;w:nsid w:val="104F4ABA" /&gt;
          &lt;w:multiLevelType w:val="hybridMultilevel" /&gt;
          &lt;w:tmpl w:val="F152626E" /&gt;
          &lt;w:lvl w:ilvl="0" w:tplc="04090003"&gt;
            &lt;w:start w:val="1" /&gt;
            &lt;w:numFmt w:val="bullet" /&gt;
            &lt;w:lvlText w:val="o" /&gt;
            &lt;w:lvlJc w:val="left" /&gt;
            &lt;w:pPr&gt;
              &lt;w:ind w:left="1080" w:hanging="360" /&gt;
            &lt;/w:pPr&gt;
            &lt;w:rPr&gt;
              &lt;w:rFonts w:ascii="Courier New" w:hAnsi="Courier New" w:cs="Courier New"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w:abstractNumId="18"&gt;
          &lt;w:nsid w:val="13490AF4" /&gt;
          &lt;w:multiLevelType w:val="hybridMultilevel" /&gt;
          &lt;w:tmpl w:val="61DEFBCC" /&gt;
          &lt;w:lvl w:ilvl="0" w:tplc="77A6A24A"&gt;
            &lt;w:start w:val="1" /&gt;
            &lt;w:numFmt w:val="bullet" /&gt;
            &lt;w:lvlText w:val="" /&gt;
            &lt;w:lvlJc w:val="left" /&gt;
            &lt;w:pPr&gt;
              &lt;w:ind w:left="720" w:hanging="360" /&gt;
            &lt;/w:pPr&gt;
            &lt;w:rPr&gt;
              &lt;w:rFonts w:ascii="Symbol" w:hAnsi="Symbol" w:hint="default" /&gt;
              &lt;w:color w:val="auto"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w:val="1C082410" /&gt;
          &lt;w:multiLevelType w:val="hybridMultilevel" /&gt;
          &lt;w:tmpl w:val="D5F235DA"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w:abstractNumId="24"&gt;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w:val="1D4D390B" /&gt;
          &lt;w:multiLevelType w:val="hybridMultilevel" /&gt;
          &lt;w:tmpl w:val="253E2E92" /&gt;
          &lt;w:lvl w:ilvl="0" w:tplc="04090001"&gt;
            &lt;w:start w:val="1" /&gt;
            &lt;w:numFmt w:val="bullet" /&gt;
            &lt;w:lvlText w:val="" /&gt;
            &lt;w:lvlJc w:val="left" /&gt;
            &lt;w:pPr&gt;
              &lt;w:ind w:left="1080" w:hanging="360" /&gt;
            &lt;/w:pPr&gt;
            &lt;w:rPr&gt;
              &lt;w:rFonts w:ascii="Symbol" w:hAnsi="Symbol"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w:abstractNumId="26"&gt;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w:abstractNumId="27"&gt;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w:abstractNumId="28"&gt;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w:abstractNumId="29"&gt;
          &lt;w:nsid w:val="1FF81BC6" /&gt;
          &lt;w:multiLevelType w:val="hybridMultilevel" /&gt;
          &lt;w:tmpl w:val="B23AF288"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w:abstractNumId="30"&gt;
          &lt;w:nsid w:val="22206345" /&gt;
          &lt;w:multiLevelType w:val="hybridMultilevel" /&gt;
          &lt;w:tmpl w:val="1EC8693E"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w:abstractNumId="32"&gt;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w:abstractNumId="33"&gt;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w:abstractNumId="35"&gt;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w:abstractNumId="36"&gt;
          &lt;w:nsid w:val="325E7691" /&gt;
          &lt;w:multiLevelType w:val="hybridMultilevel" /&gt;
          &lt;w:tmpl w:val="E2405C84"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w:abstractNumId="38"&gt;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w:abstractNumId="39"&gt;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w:abstractNumId="41"&gt;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w:abstractNumId="42"&gt;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w:abstractNumId="43"&gt;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w:abstractNumId="44"&gt;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w:abstractNumId="45"&gt;
          &lt;w:nsid w:val="3BFE4B2A" /&gt;
          &lt;w:multiLevelType w:val="hybridMultilevel" /&gt;
          &lt;w:tmpl w:val="0D68D196" /&gt;
          &lt;w:lvl w:ilvl="0" w:tplc="04090001"&gt;
            &lt;w:start w:val="1" /&gt;
            &lt;w:numFmt w:val="bullet"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w:abstractNumId="46"&gt;
          &lt;w:nsid w:val="3DD01B05" /&gt;
          &lt;w:multiLevelType w:val="hybridMultilevel" /&gt;
          &lt;w:tmpl w:val="C7E2CA84" /&gt;
          &lt;w:lvl w:ilvl="0" w:tplc="0409000F"&gt;
            &lt;w:start w:val="1" /&gt;
            &lt;w:numFmt w:val="decimal"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w:abstractNumId="47"&gt;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w:abstractNumId="48"&gt;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w:abstractNumId="49"&gt;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w:abstractNumId="50"&gt;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w:abstractNumId="51"&gt;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w:abstractNumId="52"&gt;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w:abstractNumId="53"&gt;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w:abstractNumId="55"&gt;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w:abstractNumId="56"&gt;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w:abstractNumId="58"&gt;
          &lt;w:nsid w:val="50186FA2" /&gt;
          &lt;w:multiLevelType w:val="hybridMultilevel" /&gt;
          &lt;w:tmpl w:val="97E0D722"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w:abstractNumId="60"&gt;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w:abstractNumId="61"&gt;
          &lt;w:nsid w:val="51740E67" /&gt;
          &lt;w:multiLevelType w:val="hybridMultilevel" /&gt;
          &lt;w:tmpl w:val="6C822940"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w:abstractNumId="62"&gt;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w:abstractNumId="63"&gt;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w:abstractNumId="64"&gt;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w:abstractNumId="65"&gt;
          &lt;w:nsid w:val="55BE2694" /&gt;
          &lt;w:multiLevelType w:val="hybridMultilevel" /&gt;
          &lt;w:tmpl w:val="4C467E8C" /&gt;
          &lt;w:lvl w:ilvl="0" w:tplc="16146F14"&gt;
            &lt;w:start w:val="2"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w:abstractNumId="66"&gt;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w:abstractNumId="67"&gt;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w:abstractNumId="68"&gt;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w:abstractNumId="69"&gt;
          &lt;w:nsid w:val="5F2A1ABE" /&gt;
          &lt;w:multiLevelType w:val="singleLevel" /&gt;
          &lt;w:tmpl w:val="B686D922" /&gt;
          &lt;w:lvl w:ilvl="0"&gt;
            &lt;w:start w:val="1" /&gt;
            &lt;w:numFmt w:val="bullet" /&gt;
            &lt;w:lvlText w:val="" /&gt;
            &lt;w:lvlJc w:val="left" /&gt;
            &lt;w:pPr&gt;
              &lt;w:tabs&gt;
                &lt;w:tab w:val="num" w:pos="432" /&gt;
              &lt;/w:tabs&gt;
              &lt;w:ind w:left="432" w:hanging="432" /&gt;
            &lt;/w:pPr&gt;
            &lt;w:rPr&gt;
              &lt;w:rFonts w:ascii="Symbol" w:hAnsi="Symbol" w:hint="default" /&gt;
            &lt;/w:rPr&gt;
          &lt;/w:lvl&gt;
        &lt;/w:abstractNum&gt;
        &lt;w:abstractNum w:abstractNumId="70"&gt;
          &lt;w:nsid w:val="5F3A6F28" /&gt;
          &lt;w:multiLevelType w:val="hybridMultilevel" /&gt;
          &lt;w:tmpl w:val="E83CD1AC"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w:abstractNumId="71"&gt;
          &lt;w:nsid w:val="611227B5" /&gt;
          &lt;w:multiLevelType w:val="hybridMultilevel" /&gt;
          &lt;w:tmpl w:val="DD861FAE" /&gt;
          &lt;w:lvl w:ilvl="0" w:tplc="04090001"&gt;
            &lt;w:start w:val="1" /&gt;
            &lt;w:numFmt w:val="decimal"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w:abstractNumId="72"&gt;
          &lt;w:nsid w:val="62DB3D68" /&gt;
          &lt;w:multiLevelType w:val="hybridMultilevel" /&gt;
          &lt;w:tmpl w:val="3286A04E" /&gt;
          &lt;w:lvl w:ilvl="0" w:tplc="AF42F0A2"&gt;
            &lt;w:start w:val="1" /&gt;
            &lt;w:numFmt w:val="bullet"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w:abstractNumId="73"&gt;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w:abstractNumId="74"&gt;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w:abstractNumId="75"&gt;
          &lt;w:nsid w:val="63DC4716" /&gt;
          &lt;w:multiLevelType w:val="hybridMultilevel" /&gt;
          &lt;w:tmpl w:val="5E04554C" /&gt;
          &lt;w:lvl w:ilvl="0" w:tplc="0409001B"&gt;
            &lt;w:start w:val="1" /&gt;
            &lt;w:numFmt w:val="lowerRoman" /&gt;
            &lt;w:lvlText w:val="%1." /&gt;
            &lt;w:lvlJc w:val="right" /&gt;
            &lt;w:pPr&gt;
              &lt;w:ind w:left="15480" w:hanging="360" /&gt;
            &lt;/w:pPr&gt;
          &lt;/w:lvl&gt;
          &lt;w:lvl w:ilvl="1" w:tplc="04090003"&gt;
            &lt;w:start w:val="1" /&gt;
            &lt;w:numFmt w:val="lowerLetter" /&gt;
            &lt;w:lvlText w:val="%2." /&gt;
            &lt;w:lvlJc w:val="left" /&gt;
            &lt;w:pPr&gt;
              &lt;w:ind w:left="16200" w:hanging="360" /&gt;
            &lt;/w:pPr&gt;
          &lt;/w:lvl&gt;
          &lt;w:lvl w:ilvl="2" w:tplc="04090005" w:tentative="1"&gt;
            &lt;w:start w:val="1" /&gt;
            &lt;w:numFmt w:val="lowerRoman" /&gt;
            &lt;w:lvlText w:val="%3." /&gt;
            &lt;w:lvlJc w:val="right" /&gt;
            &lt;w:pPr&gt;
              &lt;w:ind w:left="16920" w:hanging="180" /&gt;
            &lt;/w:pPr&gt;
          &lt;/w:lvl&gt;
          &lt;w:lvl w:ilvl="3" w:tplc="04090001" w:tentative="1"&gt;
            &lt;w:start w:val="1" /&gt;
            &lt;w:numFmt w:val="decimal" /&gt;
            &lt;w:lvlText w:val="%4." /&gt;
            &lt;w:lvlJc w:val="left" /&gt;
            &lt;w:pPr&gt;
              &lt;w:ind w:left="17640" w:hanging="360" /&gt;
            &lt;/w:pPr&gt;
          &lt;/w:lvl&gt;
          &lt;w:lvl w:ilvl="4" w:tplc="04090003" w:tentative="1"&gt;
            &lt;w:start w:val="1" /&gt;
            &lt;w:numFmt w:val="lowerLetter" /&gt;
            &lt;w:lvlText w:val="%5." /&gt;
            &lt;w:lvlJc w:val="left" /&gt;
            &lt;w:pPr&gt;
              &lt;w:ind w:left="18360" w:hanging="360" /&gt;
            &lt;/w:pPr&gt;
          &lt;/w:lvl&gt;
          &lt;w:lvl w:ilvl="5" w:tplc="04090005" w:tentative="1"&gt;
            &lt;w:start w:val="1" /&gt;
            &lt;w:numFmt w:val="lowerRoman" /&gt;
            &lt;w:lvlText w:val="%6." /&gt;
            &lt;w:lvlJc w:val="right" /&gt;
            &lt;w:pPr&gt;
              &lt;w:ind w:left="19080" w:hanging="180" /&gt;
            &lt;/w:pPr&gt;
          &lt;/w:lvl&gt;
          &lt;w:lvl w:ilvl="6" w:tplc="04090001" w:tentative="1"&gt;
            &lt;w:start w:val="1" /&gt;
            &lt;w:numFmt w:val="decimal" /&gt;
            &lt;w:lvlText w:val="%7." /&gt;
            &lt;w:lvlJc w:val="left" /&gt;
            &lt;w:pPr&gt;
              &lt;w:ind w:left="19800" w:hanging="360" /&gt;
            &lt;/w:pPr&gt;
          &lt;/w:lvl&gt;
          &lt;w:lvl w:ilvl="7" w:tplc="04090003" w:tentative="1"&gt;
            &lt;w:start w:val="1" /&gt;
            &lt;w:numFmt w:val="lowerLetter" /&gt;
            &lt;w:lvlText w:val="%8." /&gt;
            &lt;w:lvlJc w:val="left" /&gt;
            &lt;w:pPr&gt;
              &lt;w:ind w:left="20520" w:hanging="360" /&gt;
            &lt;/w:pPr&gt;
          &lt;/w:lvl&gt;
          &lt;w:lvl w:ilvl="8" w:tplc="04090005" w:tentative="1"&gt;
            &lt;w:start w:val="1" /&gt;
            &lt;w:numFmt w:val="lowerRoman" /&gt;
            &lt;w:lvlText w:val="%9." /&gt;
            &lt;w:lvlJc w:val="right" /&gt;
            &lt;w:pPr&gt;
              &lt;w:ind w:left="21240" w:hanging="180" /&gt;
            &lt;/w:pPr&gt;
          &lt;/w:lvl&gt;
        &lt;/w:abstractNum&gt;
        &lt;w:abstractNum w:abstractNumId="76"&gt;
          &lt;w:nsid w:val="641A1632" /&gt;
          &lt;w:multiLevelType w:val="hybridMultilevel" /&gt;
          &lt;w:tmpl w:val="EFDC5884"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w:abstractNumId="77"&gt;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w:abstractNumId="78"&gt;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w:abstractNumId="79"&gt;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w:abstractNumId="80"&gt;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w:abstractNumId="81"&gt;
          &lt;w:nsid w:val="6D273DC5" /&gt;
          &lt;w:multiLevelType w:val="hybridMultilevel" /&gt;
          &lt;w:tmpl w:val="0E2AA980" /&gt;
          &lt;w:lvl w:ilvl="0" w:tplc="02D02A38"&gt;
            &lt;w:start w:val="1" /&gt;
            &lt;w:numFmt w:val="decimal" /&gt;
            &lt;w:lvlText w:val="%1." /&gt;
            &lt;w:lvlJc w:val="left" /&gt;
            &lt;w:pPr&gt;
              &lt;w:ind w:left="928" w:hanging="360" /&gt;
            &lt;/w:pPr&gt;
            &lt;w:rPr&gt;
              &lt;w:rFonts w:hint="default" /&gt;
              &lt;w:color w:val="auto" /&gt;
            &lt;/w:rPr&gt;
          &lt;/w:lvl&gt;
          &lt;w:lvl w:ilvl="1" w:tplc="04090019" w:tentative="1"&gt;
            &lt;w:start w:val="1" /&gt;
            &lt;w:numFmt w:val="lowerLetter" /&gt;
            &lt;w:lvlText w:val="%2." /&gt;
            &lt;w:lvlJc w:val="left" /&gt;
            &lt;w:pPr&gt;
              &lt;w:ind w:left="1648" w:hanging="360" /&gt;
            &lt;/w:pPr&gt;
          &lt;/w:lvl&gt;
          &lt;w:lvl w:ilvl="2" w:tplc="0409001B" w:tentative="1"&gt;
            &lt;w:start w:val="1" /&gt;
            &lt;w:numFmt w:val="lowerRoman" /&gt;
            &lt;w:lvlText w:val="%3." /&gt;
            &lt;w:lvlJc w:val="right" /&gt;
            &lt;w:pPr&gt;
              &lt;w:ind w:left="2368" w:hanging="180" /&gt;
            &lt;/w:pPr&gt;
          &lt;/w:lvl&gt;
          &lt;w:lvl w:ilvl="3" w:tplc="0409000F" w:tentative="1"&gt;
            &lt;w:start w:val="1" /&gt;
            &lt;w:numFmt w:val="decimal" /&gt;
            &lt;w:lvlText w:val="%4." /&gt;
            &lt;w:lvlJc w:val="left" /&gt;
            &lt;w:pPr&gt;
              &lt;w:ind w:left="3088" w:hanging="360" /&gt;
            &lt;/w:pPr&gt;
          &lt;/w:lvl&gt;
          &lt;w:lvl w:ilvl="4" w:tplc="04090019" w:tentative="1"&gt;
            &lt;w:start w:val="1" /&gt;
            &lt;w:numFmt w:val="lowerLetter" /&gt;
            &lt;w:lvlText w:val="%5." /&gt;
            &lt;w:lvlJc w:val="left" /&gt;
            &lt;w:pPr&gt;
              &lt;w:ind w:left="3808" w:hanging="360" /&gt;
            &lt;/w:pPr&gt;
          &lt;/w:lvl&gt;
          &lt;w:lvl w:ilvl="5" w:tplc="0409001B" w:tentative="1"&gt;
            &lt;w:start w:val="1" /&gt;
            &lt;w:numFmt w:val="lowerRoman" /&gt;
            &lt;w:lvlText w:val="%6." /&gt;
            &lt;w:lvlJc w:val="right" /&gt;
            &lt;w:pPr&gt;
              &lt;w:ind w:left="4528" w:hanging="180" /&gt;
            &lt;/w:pPr&gt;
          &lt;/w:lvl&gt;
          &lt;w:lvl w:ilvl="6" w:tplc="0409000F" w:tentative="1"&gt;
            &lt;w:start w:val="1" /&gt;
            &lt;w:numFmt w:val="decimal" /&gt;
            &lt;w:lvlText w:val="%7." /&gt;
            &lt;w:lvlJc w:val="left" /&gt;
            &lt;w:pPr&gt;
              &lt;w:ind w:left="5248" w:hanging="360" /&gt;
            &lt;/w:pPr&gt;
          &lt;/w:lvl&gt;
          &lt;w:lvl w:ilvl="7" w:tplc="04090019" w:tentative="1"&gt;
            &lt;w:start w:val="1" /&gt;
            &lt;w:numFmt w:val="lowerLetter" /&gt;
            &lt;w:lvlText w:val="%8." /&gt;
            &lt;w:lvlJc w:val="left" /&gt;
            &lt;w:pPr&gt;
              &lt;w:ind w:left="5968" w:hanging="360" /&gt;
            &lt;/w:pPr&gt;
          &lt;/w:lvl&gt;
          &lt;w:lvl w:ilvl="8" w:tplc="0409001B" w:tentative="1"&gt;
            &lt;w:start w:val="1" /&gt;
            &lt;w:numFmt w:val="lowerRoman" /&gt;
            &lt;w:lvlText w:val="%9." /&gt;
            &lt;w:lvlJc w:val="right" /&gt;
            &lt;w:pPr&gt;
              &lt;w:ind w:left="6688" w:hanging="180" /&gt;
            &lt;/w:pPr&gt;
          &lt;/w:lvl&gt;
        &lt;/w:abstractNum&gt;
        &lt;w:abstractNum w:abstractNumId="82"&gt;
          &lt;w:nsid w:val="6D762647" /&gt;
          &lt;w:multiLevelType w:val="hybridMultilevel" /&gt;
          &lt;w:tmpl w:val="767CFDA0" /&gt;
          &lt;w:lvl w:ilvl="0" w:tplc="8A5430F2"&gt;
            &lt;w:start w:val="1" /&gt;
            &lt;w:numFmt w:val="decimal"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w:abstractNumId="84"&gt;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w:abstractNumId="85"&gt;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w:abstractNumId="86"&gt;
          &lt;w:nsid w:val="715E7661" /&gt;
          &lt;w:multiLevelType w:val="hybridMultilevel" /&gt;
          &lt;w:tmpl w:val="6B644DB4"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w:abstractNumId="87"&gt;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w:abstractNumId="88"&gt;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w:abstractNumId="89"&gt;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w:abstractNumId="90"&gt;
          &lt;w:nsid w:val="7BDD14CF"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w:abstractNumId="91"&gt;
          &lt;w:nsid w:val="7C884488" /&gt;
          &lt;w:multiLevelType w:val="hybridMultilevel" /&gt;
          &lt;w:tmpl w:val="B2223808"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w:abstractNumId="92"&gt;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w:val="46" /&gt;
        &lt;/w:num&gt;
        &lt;w:num w:numId="3"&gt;
          &lt;w:abstractNumId w:val="82" /&gt;
        &lt;/w:num&gt;
        &lt;w:num w:numId="4"&gt;
          &lt;w:abstractNumId w:val="13" /&gt;
        &lt;/w:num&gt;
        &lt;w:num w:numId="5"&gt;
          &lt;w:abstractNumId w:val="45" /&gt;
        &lt;/w:num&gt;
        &lt;w:num w:numId="6"&gt;
          &lt;w:abstractNumId w:val="34" /&gt;
        &lt;/w:num&gt;
        &lt;w:num w:numId="7"&gt;
          &lt;w:abstractNumId w:val="19" /&gt;
        &lt;/w:num&gt;
        &lt;w:num w:numId="8"&gt;
          &lt;w:abstractNumId w:val="16" /&gt;
        &lt;/w:num&gt;
        &lt;w:num w:numId="9"&gt;
          &lt;w:abstractNumId w:val="69" /&gt;
        &lt;/w:num&gt;
        &lt;w:num w:numId="10"&gt;
          &lt;w:abstractNumId w:val="88" /&gt;
        &lt;/w:num&gt;
        &lt;w:num w:numId="11"&gt;
          &lt;w:abstractNumId w:val="50" /&gt;
        &lt;/w:num&gt;
        &lt;w:num w:numId="12"&gt;
          &lt;w:abstractNumId w:val="11" /&gt;
        &lt;/w:num&gt;
        &lt;w:num w:numId="13"&gt;
          &lt;w:abstractNumId w:val="71" /&gt;
        &lt;/w:num&gt;
        &lt;w:num w:numId="14"&gt;
          &lt;w:abstractNumId w:val="40" /&gt;
        &lt;/w:num&gt;
        &lt;w:num w:numId="15"&gt;
          &lt;w:abstractNumId w:val="49" /&gt;
        &lt;/w:num&gt;
        &lt;w:num w:numId="16"&gt;
          &lt;w:abstractNumId w:val="75" /&gt;
        &lt;/w:num&gt;
        &lt;w:num w:numId="17"&gt;
          &lt;w:abstractNumId w:val="72"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w:val="26" /&gt;
        &lt;/w:num&gt;
        &lt;w:num w:numId="19"&gt;
          &lt;w:abstractNumId w:val="77" /&gt;
        &lt;/w:num&gt;
        &lt;w:num w:numId="20"&gt;
          &lt;w:abstractNumId w:val="58" /&gt;
        &lt;/w:num&gt;
        &lt;w:num w:numId="21"&gt;
          &lt;w:abstractNumId w:val="12" /&gt;
        &lt;/w:num&gt;
        &lt;w:num w:numId="22"&gt;
          &lt;w:abstractNumId w:val="66" /&gt;
        &lt;/w:num&gt;
        &lt;w:num w:numId="23"&gt;
          &lt;w:abstractNumId w:val="55" /&gt;
        &lt;/w:num&gt;
        &lt;w:num w:numId="24"&gt;
          &lt;w:abstractNumId w:val="41" /&gt;
        &lt;/w:num&gt;
        &lt;w:num w:numId="25"&gt;
          &lt;w:abstractNumId w:val="54" /&gt;
        &lt;/w:num&gt;
        &lt;w:num w:numId="26"&gt;
          &lt;w:abstractNumId w:val="63" /&gt;
        &lt;/w:num&gt;
        &lt;w:num w:numId="27"&gt;
          &lt;w:abstractNumId w:val="27" /&gt;
        &lt;/w:num&gt;
        &lt;w:num w:numId="28"&gt;
          &lt;w:abstractNumId w:val="92" /&gt;
        &lt;/w:num&gt;
        &lt;w:num w:numId="29"&gt;
          &lt;w:abstractNumId w:val="89" /&gt;
        &lt;/w:num&gt;
        &lt;w:num w:numId="30"&gt;
          &lt;w:abstractNumId w:val="56" /&gt;
        &lt;/w:num&gt;
        &lt;w:num w:numId="31"&gt;
          &lt;w:abstractNumId w:val="38" /&gt;
        &lt;/w:num&gt;
        &lt;w:num w:numId="32"&gt;
          &lt;w:abstractNumId w:val="28" /&gt;
        &lt;/w:num&gt;
        &lt;w:num w:numId="33"&gt;
          &lt;w:abstractNumId w:val="53" /&gt;
        &lt;/w:num&gt;
        &lt;w:num w:numId="34"&gt;
          &lt;w:abstractNumId w:val="37" /&gt;
        &lt;/w:num&gt;
        &lt;w:num w:numId="35"&gt;
          &lt;w:abstractNumId w:val="64" /&gt;
        &lt;/w:num&gt;
        &lt;w:num w:numId="36"&gt;
          &lt;w:abstractNumId w:val="44" /&gt;
        &lt;/w:num&gt;
        &lt;w:num w:numId="37"&gt;
          &lt;w:abstractNumId w:val="24" /&gt;
        &lt;/w:num&gt;
        &lt;w:num w:numId="38"&gt;
          &lt;w:abstractNumId w:val="68" /&gt;
        &lt;/w:num&gt;
        &lt;w:num w:numId="39"&gt;
          &lt;w:abstractNumId w:val="33" /&gt;
        &lt;/w:num&gt;
        &lt;w:num w:numId="40"&gt;
          &lt;w:abstractNumId w:val="42" /&gt;
        &lt;/w:num&gt;
        &lt;w:num w:numId="41"&gt;
          &lt;w:abstractNumId w:val="70" /&gt;
        &lt;/w:num&gt;
        &lt;w:num w:numId="42"&gt;
          &lt;w:abstractNumId w:val="57" /&gt;
        &lt;/w:num&gt;
        &lt;w:num w:numId="43"&gt;
          &lt;w:abstractNumId w:val="51" /&gt;
        &lt;/w:num&gt;
        &lt;w:num w:numId="44"&gt;
          &lt;w:abstractNumId w:val="73" /&gt;
        &lt;/w:num&gt;
        &lt;w:num w:numId="45"&gt;
          &lt;w:abstractNumId w:val="84" /&gt;
        &lt;/w:num&gt;
        &lt;w:num w:numId="46"&gt;
          &lt;w:abstractNumId w:val="39" /&gt;
        &lt;/w:num&gt;
        &lt;w:num w:numId="47"&gt;
          &lt;w:abstractNumId w:val="35" /&gt;
        &lt;/w:num&gt;
        &lt;w:num w:numId="48"&gt;
          &lt;w:abstractNumId w:val="21" /&gt;
        &lt;/w:num&gt;
        &lt;w:num w:numId="49"&gt;
          &lt;w:abstractNumId w:val="14" /&gt;
        &lt;/w:num&gt;
        &lt;w:num w:numId="50"&gt;
          &lt;w:abstractNumId w:val="15" /&gt;
        &lt;/w:num&gt;
        &lt;w:num w:numId="51"&gt;
          &lt;w:abstractNumId w:val="83" /&gt;
        &lt;/w:num&gt;
        &lt;w:num w:numId="52"&gt;
          &lt;w:abstractNumId w:val="81" /&gt;
        &lt;/w:num&gt;
        &lt;w:num w:numId="53"&gt;
          &lt;w:abstractNumId w:val="32" /&gt;
        &lt;/w:num&gt;
        &lt;w:num w:numId="54"&gt;
          &lt;w:abstractNumId w:val="52" /&gt;
        &lt;/w:num&gt;
        &lt;w:num w:numId="55"&gt;
          &lt;w:abstractNumId w:val="78" /&gt;
        &lt;/w:num&gt;
        &lt;w:num w:numId="56"&gt;
          &lt;w:abstractNumId w:val="87" /&gt;
        &lt;/w:num&gt;
        &lt;w:num w:numId="57"&gt;
          &lt;w:abstractNumId w:val="20" /&gt;
        &lt;/w:num&gt;
        &lt;w:num w:numId="58"&gt;
          &lt;w:abstractNumId w:val="67" /&gt;
        &lt;/w:num&gt;
        &lt;w:num w:numId="59"&gt;
          &lt;w:abstractNumId w:val="85" /&gt;
        &lt;/w:num&gt;
        &lt;w:num w:numId="60"&gt;
          &lt;w:abstractNumId w:val="60" /&gt;
        &lt;/w:num&gt;
        &lt;w:num w:numId="61"&gt;
          &lt;w:abstractNumId w:val="59" /&gt;
        &lt;/w:num&gt;
        &lt;w:num w:numId="62"&gt;
          &lt;w:abstractNumId w:val="31" /&gt;
        &lt;/w:num&gt;
        &lt;w:num w:numId="63"&gt;
          &lt;w:abstractNumId w:val="74" /&gt;
        &lt;/w:num&gt;
        &lt;w:num w:numId="64"&gt;
          &lt;w:abstractNumId w:val="22" /&gt;
        &lt;/w:num&gt;
        &lt;w:num w:numId="65"&gt;
          &lt;w:abstractNumId w:val="48" /&gt;
        &lt;/w:num&gt;
        &lt;w:num w:numId="66"&gt;
          &lt;w:abstractNumId w:val="80" /&gt;
        &lt;/w:num&gt;
        &lt;w:num w:numId="67"&gt;
          &lt;w:abstractNumId w:val="10" /&gt;
        &lt;/w:num&gt;
        &lt;w:num w:numId="68"&gt;
          &lt;w:abstractNumId w:val="47" /&gt;
        &lt;/w:num&gt;
        &lt;w:num w:numId="69"&gt;
          &lt;w:abstractNumId w:val="18" /&gt;
        &lt;/w:num&gt;
        &lt;w:num w:numId="70"&gt;
          &lt;w:abstractNumId w:val="43" /&gt;
        &lt;/w:num&gt;
        &lt;w:num w:numId="71"&gt;
          &lt;w:abstractNumId w:val="79" /&gt;
        &lt;/w:num&gt;
        &lt;w:num w:numId="72"&gt;
          &lt;w:abstractNumId w:val="62" /&gt;
        &lt;/w:num&gt;
        &lt;w:num w:numId="73"&gt;
          &lt;w:abstractNumId w:val="7" /&gt;
        &lt;/w:num&gt;
        &lt;w:num w:numId="74"&gt;
          &lt;w:abstractNumId w:val="6" /&gt;
        &lt;/w:num&gt;
        &lt;w:num w:numId="75"&gt;
          &lt;w:abstractNumId w:val="5" /&gt;
        &lt;/w:num&gt;
        &lt;w:num w:numId="76"&gt;
          &lt;w:abstractNumId w:val="4" /&gt;
        &lt;/w:num&gt;
        &lt;w:num w:numId="77"&gt;
          &lt;w:abstractNumId w:val="8" /&gt;
        &lt;/w:num&gt;
        &lt;w:num w:numId="78"&gt;
          &lt;w:abstractNumId w:val="3" /&gt;
        &lt;/w:num&gt;
        &lt;w:num w:numId="79"&gt;
          &lt;w:abstractNumId w:val="2" /&gt;
        &lt;/w:num&gt;
        &lt;w:num w:numId="80"&gt;
          &lt;w:abstractNumId w:val="1" /&gt;
        &lt;/w:num&gt;
        &lt;w:num w:numId="81"&gt;
          &lt;w:abstractNumId w:val="0" /&gt;
        &lt;/w:num&gt;
        &lt;w:num w:numId="82"&gt;
          &lt;w:abstractNumId w:val="29" /&gt;
        &lt;/w:num&gt;
        &lt;w:num w:numId="83"&gt;
          &lt;w:abstractNumId w:val="76" /&gt;
        &lt;/w:num&gt;
        &lt;w:num w:numId="84"&gt;
          &lt;w:abstractNumId w:val="17" /&gt;
        &lt;/w:num&gt;
        &lt;w:num w:numId="85"&gt;
          &lt;w:abstractNumId w:val="25" /&gt;
        &lt;/w:num&gt;
        &lt;w:num w:numId="86"&gt;
          &lt;w:abstractNumId w:val="90" /&gt;
        &lt;/w:num&gt;
        &lt;w:num w:numId="87"&gt;
          &lt;w:abstractNumId w:val="65" /&gt;
        &lt;/w:num&gt;
        &lt;w:num w:numId="88"&gt;
          &lt;w:abstractNumId w:val="86" /&gt;
        &lt;/w:num&gt;
        &lt;w:num w:numId="89"&gt;
          &lt;w:abstractNumId w:val="30" /&gt;
        &lt;/w:num&gt;
        &lt;w:num w:numId="90"&gt;
          &lt;w:abstractNumId w:val="36" /&gt;
        &lt;/w:num&gt;
        &lt;w:num w:numId="91"&gt;
          &lt;w:abstractNumId w:val="23" /&gt;
        &lt;/w:num&gt;
        &lt;w:num w:numId="92"&gt;
          &lt;w:abstractNumId w:val="91" /&gt;
        &lt;/w:num&gt;
        &lt;w:num w:numId="93"&gt;
          &lt;w:abstractNumId w:val="61" /&gt;
        &lt;/w:num&gt;
        &lt;w:numIdMacAtCleanup w:val="90" /&gt;
      &lt;/w:numbering&gt;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w:id="2057311510"&gt;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w:id="2118090268"&gt;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pkg:name="/word/people.xml" pkg:contentType="application/vnd.openxmlformats-officedocument.wordprocessingml.people+xml"&gt;
    &lt;pkg:xmlData&gt;
      &lt;w15:people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&lt;w15:person w15:author="Stacy Tegan"&gt;
          &lt;w15:presenceInfo w15:providerId="None" w15:userId="Stacy Tegan" /&gt;
        &lt;/w15:person&gt;
      &lt;/w15:people&gt;
    &lt;/pkg:xmlData&gt;
  &lt;/pkg:part&gt;
  &lt;pkg:part pkg:name="/word/commentsExtended.xml" pkg:contentType="application/vnd.openxmlformats-officedocument.wordprocessingml.commentsExtended+xml"&gt;
    &lt;pkg:xmlData&gt;
      &lt;w15:commentsEx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&lt;w15:commentEx w15:paraId="3A53BF52" w15:done="0" /&gt;
        &lt;w15:commentEx w15:paraId="21D7C13A" w15:done="0" /&gt;
        &lt;w15:commentEx w15:paraId="2451C35C" w15:done="0" /&gt;
        &lt;w15:commentEx w15:paraId="153CB5F7" w15:done="0" /&gt;
        &lt;w15:commentEx w15:paraId="003DF36E" w15:done="0" /&gt;
        &lt;w15:commentEx w15:paraId="188BD655" w15:done="0" /&gt;
        &lt;w15:commentEx w15:paraId="6DCF61D8" w15:done="0" /&gt;
        &lt;w15:commentEx w15:paraId="18BB442E" w15:done="0" /&gt;
        &lt;w15:commentEx w15:paraId="7437DC8F" w15:done="0" /&gt;
        &lt;w15:commentEx w15:paraId="263809FA" w15:done="0" /&gt;
        &lt;w15:commentEx w15:paraId="44BD0A90" w15:done="0" /&gt;
        &lt;w15:commentEx w15:paraId="2EFD0CEA" w15:done="0" /&gt;
      &lt;/w15:commentsEx&gt;
    &lt;/pkg:xmlData&gt;
  &lt;/pkg:part&gt;
&lt;/pkg:package&gt;</TreatmentGroupsAndDuration>
  <StudyTreatmentName>
    <Treatment/>
    <Treatment/>
    <Treatment/>
  </StudyTreatmentName>
  <Dosageformulation>
    <Formulation/>
    <Formulation/>
    <Formulation/>
  </Dosageformulation>
  <UnitDoseStrength>
    <Dose/>
    <Dose/>
    <Dose/>
  </UnitDoseStrength>
  <RouteOfAdministration>
    <Route/>
    <Route/>
    <Route/>
  </RouteOfAdministration>
  <InclusionCriteria>&lt;?mso-application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Id="rId7" Type="http://schemas.openxmlformats.org/officeDocument/2006/relationships/endnotes" Target="endnotes.xml"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Id="rId4" Type="http://schemas.openxmlformats.org/officeDocument/2006/relationships/settings" Target="settings.xml" /&gt;
        &lt;Relationship Id="rId9" Type="http://schemas.openxmlformats.org/officeDocument/2006/relationships/theme" Target="theme/theme1.xml"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&lt;w:p&gt;
            &lt;w:pPr&gt;
              &lt;w:rPr&gt;
                &lt;w:rFonts w:cs="Times New Roman" /&gt;
                &lt;w:szCs w:val="24" /&gt;
              &lt;/w:rPr&gt;
            &lt;/w:pPr&gt;
          &lt;/w:p&gt;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&lt;/w:endnote&gt;
        &lt;w:endnote w:type="continuationSeparator" w:id="0"&gt;
          &lt;w:p&gt;
            &lt;w:pPr&gt;
              &lt;w:spacing w:after="0" w:line="240" w:lineRule="auto" /&gt;
            &lt;/w:pPr&gt;
            &lt;w:r&gt;
              &lt;w:continuationSeparator /&gt;
            &lt;/w:r&gt;
          &lt;/w:p&gt;
        &lt;/w:endnote&gt;
        &lt;w:endnote w:type="continuationNotice" w:id="1"&gt;
          &lt;w:p&gt;
            &lt;w:pPr&gt;
              &lt;w:spacing w:after="0" w:line="240" w:lineRule="auto" /&gt;
            &lt;/w:pPr&gt;
          &lt;/w:p&gt;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&lt;/w:footnote&gt;
        &lt;w:footnote w:type="continuationSeparator" w:id="0"&gt;
          &lt;w:p&gt;
            &lt;w:pPr&gt;
              &lt;w:spacing w:after="0" w:line="240" w:lineRule="auto" /&gt;
            &lt;/w:pPr&gt;
            &lt;w:r&gt;
              &lt;w:continuationSeparator /&gt;
            &lt;/w:r&gt;
          &lt;/w:p&gt;
        &lt;/w:footnote&gt;
        &lt;w:footnote w:type="continuationNotice" w:id="1"&gt;
          &lt;w:p&gt;
            &lt;w:pPr&gt;
              &lt;w:spacing w:after="0" w:line="240" w:lineRule="auto" /&gt;
            &lt;/w:pPr&gt;
          &lt;/w:p&gt;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w:percent="130"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&lt;w:savePreviewPicture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w:val="12" /&gt;
        &lt;/w:compat&gt;
        &lt;w:docVars&gt;
          &lt;w:docVar w:name="LibraryFilter" w:val="CPT Library_Asthma_20150609.docx|CPT Library_Patient_20150611.docx|"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w:asciiTheme="minorHAnsi" w:eastAsiaTheme="minorEastAsia" w:hAnsiTheme="minorHAnsi" w:cstheme="minorBidi" /&gt;
              &lt;w:sz w:val="22" /&gt;
              &lt;w:szCs w:val="22" /&gt;
              &lt;w:lang w:val="en-US" w:eastAsia="en-US" w:bidi="ar-SA" /&gt;
            &lt;/w:rPr&gt;
          &lt;/w:rPrDefault&gt;
          &lt;w:pPrDefault&gt;
            &lt;w:pPr&gt;
              &lt;w:spacing w:after="200" w:line="276" w:lineRule="auto" /&gt;
            &lt;/w:pPr&gt;
          &lt;/w:pPrDefault&gt;
        &lt;/w:docDefaults&gt;
        &lt;w:latentStyles w:defLockedState="0" w:defUIPriority="99" w:defSemiHidden="1" w:defUnhideWhenUsed="1" w:defQFormat="0" w:count="267"&gt;
          &lt;w:lsdException w:name="Normal" w:semiHidden="0" w:uiPriority="0" w:unhideWhenUsed="0" w:qFormat="1" /&gt;
          &lt;w:lsdException w:name="heading 1" w:semiHidden="0" w:uiPriority="9" w:unhideWhenUsed="0" w:qFormat="1" /&gt;
          &lt;w:lsdException w:name="heading 2" w:uiPriority="9" w:qFormat="1" /&gt;
          &lt;w:lsdException w:name="heading 3" w:uiPriority="9" w:qFormat="1" /&gt;
          &lt;w:lsdException w:name="heading 4" w:uiPriority="9" w:qFormat="1" /&gt;
          &lt;w:lsdException w:name="heading 5" w:uiPriority="9" w:qFormat="1" /&gt;
          &lt;w:lsdException w:name="heading 6" w:uiPriority="9" w:qFormat="1" /&gt;
          &lt;w:lsdException w:name="heading 7" w:uiPriority="9" w:qFormat="1" /&gt;
          &lt;w:lsdException w:name="heading 8" w:uiPriority="9" w:qFormat="1" /&gt;
          &lt;w:lsdException w:name="heading 9" w:uiPriority="9"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w:name="caption" w:uiPriority="35" w:qFormat="1" /&gt;
          &lt;w:lsdException w:name="Title" w:semiHidden="0" w:uiPriority="10" w:unhideWhenUsed="0" w:qFormat="1" /&gt;
          &lt;w:lsdException w:name="Default Paragraph Font" w:uiPriority="1" /&gt;
          &lt;w:lsdException w:name="Subtitle" w:semiHidden="0" w:uiPriority="11" w:unhideWhenUsed="0" w:qFormat="1" /&gt;
          &lt;w:lsdException w:name="Strong" w:semiHidden="0" w:uiPriority="22" w:unhideWhenUsed="0" w:qFormat="1" /&gt;
          &lt;w:lsdException w:name="Emphasis" w:semiHidden="0" w:uiPriority="20" w:unhideWhenUsed="0" w:qFormat="1" /&gt;
          &lt;w:lsdException w:name="Table Grid" w:semiHidden="0" w:uiPriority="59" w:unhideWhenUsed="0" /&gt;
          &lt;w:lsdException w:name="Placeholder Text" w:unhideWhenUsed="0" /&gt;
          &lt;w:lsdException w:name="No Spacing" w:semiHidden="0" w:uiPriority="1" w:unhideWhenUsed="0" w:qFormat="1"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w:unhideWhenUsed="0" /&gt;
          &lt;w:lsdException w:name="List Paragraph" w:semiHidden="0" w:uiPriority="34" w:unhideWhenUsed="0" w:qFormat="1" /&gt;
          &lt;w:lsdException w:name="Quote" w:semiHidden="0" w:uiPriority="29" w:unhideWhenUsed="0" w:qFormat="1" /&gt;
          &lt;w:lsdException w:name="Intense Quote" w:semiHidden="0" w:uiPriority="30" w:unhideWhenUsed="0" w:qFormat="1"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w:qFormat="1" /&gt;
          &lt;w:lsdException w:name="Subtle Reference" w:semiHidden="0" w:uiPriority="31" w:unhideWhenUsed="0" w:qFormat="1" /&gt;
          &lt;w:lsdException w:name="Intense Reference" w:semiHidden="0" w:uiPriority="32" w:unhideWhenUsed="0" w:qFormat="1" /&gt;
          &lt;w:lsdException w:name="Book Title" w:semiHidden="0" w:uiPriority="33" w:unhideWhenUsed="0" w:qFormat="1" /&gt;
          &lt;w:lsdException w:name="Bibliography" w:uiPriority="37" /&gt;
          &lt;w:lsdException w:name="TOC Heading" w:uiPriority="39" w:qFormat="1" /&gt;
        &lt;/w:latentStyles&gt;
        &lt;w:style w:type="paragraph" w:default="1" w:styleId="Normal"&gt;
          &lt;w:name w:val="Normal" /&gt;
          &lt;w:qFormat /&gt;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w:type="numbering" w:customStyle="1" w:styleId="Heading1Char"&gt;
          &lt;w:name w:val="111111" /&gt;
          &lt;w:pPr&gt;
            &lt;w:numPr&gt;
              &lt;w:numId w:val="76" /&gt;
            &lt;/w:numPr&gt;
          &lt;/w:pPr&gt;
        &lt;/w:style&gt;
        &lt;w:style w:type="numbering" w:customStyle="1" w:styleId="BodyText"&gt;
          &lt;w:name w:val="ArticleSection" /&gt;
          &lt;w:pPr&gt;
            &lt;w:numPr&gt;
              &lt;w:numId w:val="78" /&gt;
            &lt;/w:numPr&gt;
          &lt;/w:pPr&gt;
        &lt;/w:style&gt;
        &lt;w:style w:type="numbering" w:customStyle="1" w:styleId="BodyTextChar"&gt;
          &lt;w:name w:val="1ai" /&gt;
          &lt;w:pPr&gt;
            &lt;w:numPr&gt;
              &lt;w:numId w:val="77" /&gt;
            &lt;/w:numPr&gt;
          &lt;/w:pPr&gt;
        &lt;/w:style&gt;
      &lt;/w:styles&gt;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w:qFormat="1"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w:name="caption" w:uiPriority="99" w:qFormat="1" /&gt;
          &lt;w:lsdException w:name="table of figures"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w:qFormat="1"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w:qFormat="1"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w:qFormat="1"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w:qFormat="1" /&gt;
          &lt;w:lsdException w:name="Subtle Reference" w:semiHidden="0" w:uiPriority="31" w:unhideWhenUsed="0" w:qFormat="1" /&gt;
          &lt;w:lsdException w:name="Intense Reference" w:semiHidden="0" w:uiPriority="32" w:unhideWhenUsed="0" w:qFormat="1" /&gt;
          &lt;w:lsdException w:name="Book Title" w:semiHidden="0" w:uiPriority="33" w:unhideWhenUsed="0" w:qFormat="1" /&gt;
          &lt;w:lsdException w:name="Bibliography" w:uiPriority="37" /&gt;
          &lt;w:lsdException w:name="TOC Heading" w:uiPriority="39" w:qFormat="1"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&lt;w:qFormat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w:type="paragraph" w:styleId="BodyText"&gt;
          &lt;w:name w:val="Body Text" /&gt;
          &lt;w:basedOn w:val="Normal" /&gt;
          &lt;w:link w:val="BodyTextChar" /&gt;
          &lt;w:uiPriority w:val="99" /&gt;
          &lt;w:pPr&gt;
            &lt;w:spacing w:before="14" w:line="300" w:lineRule="atLeast" /&gt;
          &lt;/w:pPr&gt;
          &lt;w:rPr&gt;
            &lt;w:rFonts w:eastAsia="Times New Roman" w:cs="Times New Roman" /&gt;
            &lt;w:szCs w:val="24" /&gt;
          &lt;/w:rPr&gt;
        &lt;/w:style&gt;
        &lt;w:style w:type="character" w:customStyle="1" w:styleId="BodyTextChar"&gt;
          &lt;w:name w:val="Body Text Char" /&gt;
          &lt;w:link w:val="BodyText" /&gt;
          &lt;w:uiPriority w:val="99" /&gt;
          &lt;w:rPr&gt;
            &lt;w:rFonts w:eastAsia="Times New Roman" /&gt;
            &lt;w:sz w:val="24" /&gt;
            &lt;w:szCs w:val="24"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w:styleId="TOC5"&gt;
          &lt;w:name w:val="toc 5" /&gt;
          &lt;w:basedOn w:val="TOC4" /&gt;
          &lt;w:next w:val="Normal" /&gt;
          &lt;w:uiPriority w:val="39" /&gt;
          &lt;w:pPr&gt;
            &lt;w:ind w:left="2016" w:hanging="1296" /&gt;
          &lt;/w:pPr&gt;
        &lt;/w:style&gt;
        &lt;w:style w:type="paragraph" w:styleId="TOC6"&gt;
          &lt;w:name w:val="toc 6" /&gt;
          &lt;w:basedOn w:val="TOC1" /&gt;
          &lt;w:next w:val="Normal" /&gt;
          &lt;w:uiPriority w:val="39" /&gt;
          &lt;w:pPr&gt;
            &lt;w:spacing w:before="0" /&gt;
            &lt;w:ind w:left="2376" w:hanging="1469" /&gt;
          &lt;/w:pPr&gt;
        &lt;/w:style&gt;
        &lt;w:style w:type="paragraph" w:styleId="TOC7"&gt;
          &lt;w:name w:val="toc 7" /&gt;
          &lt;w:basedOn w:val="Normal" /&gt;
          &lt;w:next w:val="Normal" /&gt;
          &lt;w:uiPriority w:val="39" /&gt;
          &lt;w:pPr&gt;
            &lt;w:tabs&gt;
              &lt;w:tab w:val="right" w:leader="dot" w:pos="8640" /&gt;
            &lt;/w:tabs&gt;
            &lt;w:spacing w:before="14" w:after="144" w:line="300" w:lineRule="atLeast" /&gt;
            &lt;w:ind w:left="1440" /&gt;
          &lt;/w:pPr&gt;
          &lt;w:rPr&gt;
            &lt;w:rFonts w:eastAsia="Times New Roman" w:cs="Times New Roman" /&gt;
            &lt;w:color w:val="0000FF" /&gt;
            &lt;w:szCs w:val="24" /&gt;
          &lt;/w:rPr&gt;
        &lt;/w:style&gt;
        &lt;w:style w:type="paragraph" w:styleId="TOC8"&gt;
          &lt;w:name w:val="toc 8" /&gt;
          &lt;w:basedOn w:val="Normal" /&gt;
          &lt;w:next w:val="Normal" /&gt;
          &lt;w:uiPriority w:val="39" /&gt;
          &lt;w:pPr&gt;
            &lt;w:tabs&gt;
              &lt;w:tab w:val="right" w:leader="dot" w:pos="8640" /&gt;
            &lt;/w:tabs&gt;
            &lt;w:spacing w:before="14" w:after="144" w:line="300" w:lineRule="atLeast" /&gt;
            &lt;w:ind w:left="1680" /&gt;
          &lt;/w:pPr&gt;
          &lt;w:rPr&gt;
            &lt;w:rFonts w:eastAsia="Times New Roman" w:cs="Times New Roman" /&gt;
            &lt;w:color w:val="0000FF" /&gt;
            &lt;w:szCs w:val="24" /&gt;
          &lt;/w:rPr&gt;
        &lt;/w:style&gt;
        &lt;w:style w:type="paragraph" w:styleId="TOC9"&gt;
          &lt;w:name w:val="toc 9" /&gt;
          &lt;w:basedOn w:val="Normal" /&gt;
          &lt;w:next w:val="Normal" /&gt;
          &lt;w:uiPriority w:val="39" /&gt;
          &lt;w:pPr&gt;
            &lt;w:tabs&gt;
              &lt;w:tab w:val="right" w:leader="dot" w:pos="8640" /&gt;
            &lt;/w:tabs&gt;
            &lt;w:spacing w:before="14" w:after="144" w:line="300" w:lineRule="atLeast" /&gt;
            &lt;w:ind w:left="1920" /&gt;
          &lt;/w:pPr&gt;
          &lt;w:rPr&gt;
            &lt;w:rFonts w:eastAsia="Times New Roman" w:cs="Times New Roman" /&gt;
            &lt;w:color w:val="0000FF" /&gt;
            &lt;w:szCs w:val="24" /&gt;
          &lt;/w:rPr&gt;
        &lt;/w:style&gt;
        &lt;w:style w:type="paragraph" w:styleId="NormalIndent"&gt;
          &lt;w:name w:val="Normal Indent" /&gt;
          &lt;w:basedOn w:val="Normal" /&gt;
          &lt;w:next w:val="Normal" /&gt;
          &lt;w:uiPriority w:val="99" /&gt;
          &lt;w:pPr&gt;
            &lt;w:tabs&gt;
              &lt;w:tab w:val="left" w:pos="720" /&gt;
              &lt;w:tab w:val="left" w:pos="2160" /&gt;
              &lt;w:tab w:val="left" w:pos="3600" /&gt;
              &lt;w:tab w:val="left" w:pos="5040" /&gt;
            &lt;/w:tabs&gt;
            &lt;w:spacing w:before="14" w:after="144" w:line="259" w:lineRule="atLeast" /&gt;
            &lt;w:ind w:left="720" /&gt;
          &lt;/w:pPr&gt;
          &lt;w:rPr&gt;
            &lt;w:rFonts w:eastAsia="Times New Roman" w:cs="Times New Roman" /&gt;
            &lt;w:szCs w:val="24" /&gt;
          &lt;/w:rPr&gt;
        &lt;/w:style&gt;
        &lt;w:style w:type="paragraph" w:styleId="CommentText"&gt;
          &lt;w:name w:val="annotation text" /&gt;
          &lt;w:basedOn w:val="Normal" /&gt;
          &lt;w:link w:val="CommentTextChar" /&gt;
          &lt;w:pPr&gt;
            &lt;w:overflowPunct w:val="0" /&gt;
            &lt;w:autoSpaceDE w:val="0" /&gt;
            &lt;w:autoSpaceDN w:val="0" /&gt;
            &lt;w:adjustRightInd w:val="0" /&gt;
            &lt;w:spacing w:before="14" w:after="144" w:line="300" w:lineRule="atLeast" /&gt;
            &lt;w:textAlignment w:val="baseline" /&gt;
          &lt;/w:pPr&gt;
          &lt;w:rPr&gt;
            &lt;w:rFonts w:eastAsia="Times New Roman" w:cs="Times New Roman" /&gt;
            &lt;w:sz w:val="20" /&gt;
            &lt;w:szCs w:val="24" /&gt;
          &lt;/w:rPr&gt;
        &lt;/w:style&gt;
        &lt;w:style w:type="character" w:customStyle="1" w:styleId="CommentTextChar"&gt;
          &lt;w:name w:val="Comment Text Char" /&gt;
          &lt;w:link w:val="CommentText" /&gt;
          &lt;w:rPr&gt;
            &lt;w:rFonts w:eastAsia="Times New Roman" /&gt;
            &lt;w:szCs w:val="24" /&gt;
          &lt;/w:rPr&gt;
        &lt;/w:style&gt;
        &lt;w:style w:type="paragraph" w:styleId="Header"&gt;
          &lt;w:name w:val="header" /&gt;
          &lt;w:basedOn w:val="Normal" /&gt;
          &lt;w:link w:val="HeaderChar" /&gt;
          &lt;w:pPr&gt;
            &lt;w:tabs&gt;
              &lt;w:tab w:val="right" w:pos="9360" /&gt;
            &lt;/w:tabs&gt;
            &lt;w:spacing w:after="0" w:line="240" w:lineRule="auto" /&gt;
          &lt;/w:pPr&gt;
          &lt;w:rPr&gt;
            &lt;w:rFonts w:eastAsia="Times New Roman" w:cs="Times New Roman" /&gt;
            &lt;w:szCs w:val="24" /&gt;
          &lt;/w:rPr&gt;
        &lt;/w:style&gt;
        &lt;w:style w:type="character" w:customStyle="1" w:styleId="HeaderChar"&gt;
          &lt;w:name w:val="Header Char" /&gt;
          &lt;w:link w:val="Header" /&gt;
          &lt;w:rPr&gt;
            &lt;w:rFonts w:eastAsia="Times New Roman" /&gt;
            &lt;w:sz w:val="24" /&gt;
            &lt;w:szCs w:val="24" /&gt;
          &lt;/w:rPr&gt;
        &lt;/w:style&gt;
        &lt;w:style w:type="paragraph" w:styleId="Footer"&gt;
          &lt;w:name w:val="footer" /&gt;
          &lt;w:basedOn w:val="Normal" /&gt;
          &lt;w:link w:val="FooterChar" /&gt;
          &lt;w:pPr&gt;
            &lt;w:tabs&gt;
              &lt;w:tab w:val="right" w:pos="9360" /&gt;
            &lt;/w:tabs&gt;
            &lt;w:spacing w:after="0" w:line="240" w:lineRule="auto" /&gt;
          &lt;/w:pPr&gt;
          &lt;w:rPr&gt;
            &lt;w:szCs w:val="20" /&gt;
          &lt;/w:rPr&gt;
        &lt;/w:style&gt;
        &lt;w:style w:type="character" w:customStyle="1" w:styleId="FooterChar"&gt;
          &lt;w:name w:val="Footer Char" /&gt;
          &lt;w:link w:val="Footer" /&gt;
          &lt;w:rPr&gt;
            &lt;w:rFonts w:eastAsia="Calibri" w:cs="Cordia New" /&gt;
            &lt;w:sz w:val="24" /&gt;
          &lt;/w:rPr&gt;
        &lt;/w:style&gt;
        &lt;w:style w:type="paragraph" w:styleId="Caption"&gt;
          &lt;w:name w:val="caption" /&gt;
          &lt;w:basedOn w:val="Normal" /&gt;
          &lt;w:next w:val="Normal" /&gt;
          &lt;w:uiPriority w:val="99" /&gt;
          &lt;w:qFormat /&gt;
          &lt;w:pPr&gt;
            &lt;w:keepNext /&gt;
            &lt;w:keepLines /&gt;
            &lt;w:spacing w:before="240" w:line="259" w:lineRule="atLeast" /&gt;
            &lt;w:ind w:left="2304" w:hanging="2304" /&gt;
          &lt;/w:pPr&gt;
          &lt;w:rPr&gt;
            &lt;w:rFonts w:ascii="Arial" w:hAnsi="Arial" /&gt;
            &lt;w:b /&gt;
            &lt;w:bCs /&gt;
          &lt;/w:rPr&gt;
        &lt;/w:style&gt;
        &lt;w:style w:type="paragraph" w:styleId="TableofFigures"&gt;
          &lt;w:name w:val="table of figures" /&gt;
          &lt;w:basedOn w:val="Normal" /&gt;
          &lt;w:next w:val="Normal" /&gt;
          &lt;w:uiPriority w:val="99" /&gt;
          &lt;w:pPr&gt;
            &lt;w:keepLines /&gt;
            &lt;w:tabs&gt;
              &lt;w:tab w:val="left" w:pos="1710" /&gt;
              &lt;w:tab w:val="right" w:leader="dot" w:pos="9360" /&gt;
            &lt;/w:tabs&gt;
            &lt;w:spacing w:before="14" w:after="144" w:line="300" w:lineRule="atLeast" /&gt;
            &lt;w:ind w:left="1714" w:right="720" w:hanging="1714" /&gt;
          &lt;/w:pPr&gt;
          &lt;w:rPr&gt;
            &lt;w:rFonts w:eastAsia="Times New Roman" w:cs="Times New Roman" /&gt;
            &lt;w:noProof /&gt;
            &lt;w:color w:val="0000FF" /&gt;
            &lt;w:szCs w:val="24" /&gt;
          &lt;/w:rPr&gt;
        &lt;/w:style&gt;
        &lt;w:style w:type="character" w:styleId="CommentReference"&gt;
          &lt;w:name w:val="annotation reference" /&gt;
          &lt;w:rPr&gt;
            &lt;w:rFonts w:cs="Times New Roman" /&gt;
            &lt;w:sz w:val="16" /&gt;
            &lt;w:szCs w:val="16" /&gt;
          &lt;/w:rPr&gt;
        &lt;/w:style&gt;
        &lt;w:style w:type="character" w:styleId="PageNumber"&gt;
          &lt;w:name w:val="page number" /&gt;
          &lt;w:rPr&gt;
            &lt;w:rFonts w:cs="Times New Roman" /&gt;
          &lt;/w:rPr&gt;
        &lt;/w:style&gt;
        &lt;w:style w:type="character" w:styleId="Hyperlink"&gt;
          &lt;w:name w:val="Hyperlink" /&gt;
          &lt;w:uiPriority w:val="99" /&gt;
          &lt;w:rPr&gt;
            &lt;w:rFonts w:ascii="Times New Roman" w:hAnsi="Times New Roman" w:cs="Times New Roman" /&gt;
            &lt;w:color w:val="0000FF" /&gt;
            &lt;w:u w:val="single" /&gt;
          &lt;/w:rPr&gt;
        &lt;/w:style&gt;
        &lt;w:style w:type="character" w:styleId="FollowedHyperlink"&gt;
          &lt;w:name w:val="FollowedHyperlink" /&gt;
          &lt;w:uiPriority w:val="99" /&gt;
          &lt;w:rPr&gt;
            &lt;w:rFonts w:cs="Times New Roman" /&gt;
            &lt;w:color w:val="800080" /&gt;
            &lt;w:u w:val="single" /&gt;
          &lt;/w:rPr&gt;
        &lt;/w:style&gt;
        &lt;w:style w:type="character" w:styleId="Strong"&gt;
          &lt;w:name w:val="Strong" /&gt;
          &lt;w:uiPriority w:val="22" /&gt;
          &lt;w:qFormat /&gt;
          &lt;w:rPr&gt;
            &lt;w:rFonts w:cs="Times New Roman" /&gt;
            &lt;w:b /&gt;
          &lt;/w:rPr&gt;
        &lt;/w:style&gt;
        &lt;w:style w:type="character" w:styleId="Emphasis"&gt;
          &lt;w:name w:val="Emphasis" /&gt;
          &lt;w:uiPriority w:val="20" /&gt;
          &lt;w:qFormat /&gt;
          &lt;w:rPr&gt;
            &lt;w:i /&gt;
            &lt;w:iCs /&gt;
          &lt;/w:rPr&gt;
        &lt;/w:style&gt;
        &lt;w:style w:type="paragraph" w:styleId="DocumentMap"&gt;
          &lt;w:name w:val="Document Map" /&gt;
          &lt;w:basedOn w:val="Normal" /&gt;
          &lt;w:link w:val="DocumentMapChar" /&gt;
          &lt;w:uiPriority w:val="99" /&gt;
          &lt;w:unhideWhenUsed /&gt;
          &lt;w:pPr&gt;
            &lt;w:spacing w:after="0" w:line="240" w:lineRule="auto" /&gt;
          &lt;/w:pPr&gt;
          &lt;w:rPr&gt;
            &lt;w:rFonts w:ascii="Tahoma" w:hAnsi="Tahoma" w:cs="Tahoma" /&gt;
            &lt;w:sz w:val="16" /&gt;
            &lt;w:szCs w:val="16" /&gt;
          &lt;/w:rPr&gt;
        &lt;/w:style&gt;
        &lt;w:style w:type="character" w:customStyle="1" w:styleId="DocumentMapChar"&gt;
          &lt;w:name w:val="Document Map Char" /&gt;
          &lt;w:link w:val="DocumentMap" /&gt;
          &lt;w:uiPriority w:val="99" /&gt;
          &lt;w:rPr&gt;
            &lt;w:rFonts w:ascii="Tahoma" w:eastAsia="Times New Roman" w:hAnsi="Tahoma" w:cs="Tahoma" /&gt;
            &lt;w:sz w:val="16" /&gt;
            &lt;w:szCs w:val="16" /&gt;
          &lt;/w:rPr&gt;
        &lt;/w:style&gt;
        &lt;w:style w:type="paragraph" w:styleId="CommentSubject"&gt;
          &lt;w:name w:val="annotation subject" /&gt;
          &lt;w:basedOn w:val="CommentText" /&gt;
          &lt;w:next w:val="CommentText" /&gt;
          &lt;w:link w:val="CommentSubjectChar" /&gt;
          &lt;w:uiPriority w:val="99" /&gt;
          &lt;w:unhideWhenUsed /&gt;
          &lt;w:pPr&gt;
            &lt;w:overflowPunct /&gt;
            &lt;w:autoSpaceDE /&gt;
            &lt;w:autoSpaceDN /&gt;
            &lt;w:adjustRightInd /&gt;
            &lt;w:spacing w:before="0" w:after="200" w:line="240" w:lineRule="auto" /&gt;
            &lt;w:textAlignment w:val="auto" /&gt;
          &lt;/w:pPr&gt;
          &lt;w:rPr&gt;
            &lt;w:rFonts w:ascii="Arial" w:eastAsia="Calibri" w:hAnsi="Arial" w:cs="Angsana New" /&gt;
            &lt;w:b /&gt;
            &lt;w:bCs /&gt;
          &lt;/w:rPr&gt;
        &lt;/w:style&gt;
        &lt;w:style w:type="character" w:customStyle="1" w:styleId="CommentSubjectChar"&gt;
          &lt;w:name w:val="Comment Subject Char" /&gt;
          &lt;w:link w:val="CommentSubject" /&gt;
          &lt;w:uiPriority w:val="99" /&gt;
          &lt;w:rPr&gt;
            &lt;w:rFonts w:ascii="Arial" w:eastAsia="Times New Roman" w:hAnsi="Arial" w:cs="Angsana New" /&gt;
            &lt;w:b /&gt;
            &lt;w:bCs /&gt;
          &lt;/w:rPr&gt;
        &lt;/w:style&gt;
        &lt;w:style w:type="paragraph" w:styleId="BalloonText"&gt;
          &lt;w:name w:val="Balloon Text" /&gt;
          &lt;w:basedOn w:val="Normal" /&gt;
          &lt;w:link w:val="BalloonTextChar" /&gt;
          &lt;w:uiPriority w:val="99" /&gt;
          &lt;w:pPr&gt;
            &lt;w:spacing w:after="0" w:line="240" w:lineRule="auto" /&gt;
          &lt;/w:pPr&gt;
          &lt;w:rPr&gt;
            &lt;w:rFonts w:ascii="Tahoma" w:hAnsi="Tahoma" w:cs="Tahoma" /&gt;
            &lt;w:sz w:val="16" /&gt;
            &lt;w:szCs w:val="16" /&gt;
          &lt;/w:rPr&gt;
        &lt;/w:style&gt;
        &lt;w:style w:type="character" w:customStyle="1" w:styleId="BalloonTextChar"&gt;
          &lt;w:name w:val="Balloon Text Char" /&gt;
          &lt;w:link w:val="BalloonText" /&gt;
          &lt;w:uiPriority w:val="99" /&gt;
          &lt;w:rPr&gt;
            &lt;w:rFonts w:ascii="Tahoma" w:eastAsia="Times New Roman"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w:styleId="DocTitle"&gt;
          &lt;w:name w:val="Doc Title" /&gt;
          &lt;w:basedOn w:val="Normal" /&gt;
          &lt;w:next w:val="Normal" /&gt;
          &lt;w:link w:val="DocTitleChar" /&gt;
          &lt;w:uiPriority w:val="99" /&gt;
          &lt;w:pPr&gt;
            &lt;w:keepLines /&gt;
            &lt;w:spacing w:after="662" w:line="378" w:lineRule="exact" /&gt;
            &lt;w:jc w:val="center" /&gt;
          &lt;/w:pPr&gt;
          &lt;w:rPr&gt;
            &lt;w:rFonts w:ascii="Arial" w:hAnsi="Arial" /&gt;
            &lt;w:b /&gt;
            &lt;w:sz w:val="32" /&gt;
          &lt;/w:rPr&gt;
        &lt;/w:style&gt;
        &lt;w:style w:type="character" w:customStyle="1" w:styleId="DocTitleChar"&gt;
          &lt;w:name w:val="Doc Title Char" /&gt;
          &lt;w:link w:val="DocTitle" /&gt;
          &lt;w:uiPriority w:val="99" /&gt;
          &lt;w:locked /&gt;
          &lt;w:rPr&gt;
            &lt;w:rFonts w:ascii="Arial" w:eastAsia="Times New Roman" w:hAnsi="Arial" /&gt;
            &lt;w:b /&gt;
            &lt;w:sz w:val="32" /&gt;
          &lt;/w:rPr&gt;
        &lt;/w:style&gt;
        &lt;w:style w:type="paragraph" w:customStyle="1" w:styleId="FigFootnote"&gt;
          &lt;w:name w:val="Fig Footnote" /&gt;
          &lt;w:basedOn w:val="Normal" /&gt;
          &lt;w:next w:val="Normal" /&gt;
          &lt;w:uiPriority w:val="99" /&gt;
          &lt;w:pPr&gt;
            &lt;w:keepNext /&gt;
            &lt;w:keepLines /&gt;
            &lt;w:spacing w:after="0" w:line="259" w:lineRule="atLeast" /&gt;
            &lt;w:ind w:left="2304" /&gt;
          &lt;/w:pPr&gt;
          &lt;w:rPr&gt;
            &lt;w:rFonts w:eastAsia="Times New Roman" w:cs="Times New Roman" /&gt;
            &lt;w:sz w:val="20" /&gt;
            &lt;w:szCs w:val="24" /&gt;
          &lt;/w:rPr&gt;
        &lt;/w:style&gt;
        &lt;w:style w:type="paragraph" w:customStyle="1" w:styleId="FigTitle"&gt;
          &lt;w:name w:val="Fig Title" /&gt;
          &lt;w:basedOn w:val="Normal" /&gt;
          &lt;w:next w:val="Normal" /&gt;
          &lt;w:uiPriority w:val="99" /&gt;
          &lt;w:pPr&gt;
            &lt;w:keepLines /&gt;
            &lt;w:spacing w:before="240" w:after="216" w:line="259" w:lineRule="atLeast" /&gt;
            &lt;w:ind w:left="2304" w:hanging="2304" /&gt;
          &lt;/w:pPr&gt;
          &lt;w:rPr&gt;
            &lt;w:rFonts w:ascii="Arial" w:hAnsi="Arial" /&gt;
            &lt;w:b /&gt;
          &lt;/w:rPr&gt;
        &lt;/w:style&gt;
        &lt;w:style w:type="paragraph" w:customStyle="1" w:styleId="FigTitleCont"&gt;
          &lt;w:name w:val="Fig Title Cont" /&gt;
          &lt;w:basedOn w:val="FigTitle" /&gt;
          &lt;w:next w:val="Normal" /&gt;
          &lt;w:uiPriority w:val="99" /&gt;
        &lt;/w:style&gt;
        &lt;w:style w:type="paragraph" w:customStyle="1" w:styleId="Landscapefooter"&gt;
          &lt;w:name w:val="Landscape footer" /&gt;
          &lt;w:basedOn w:val="Header" /&gt;
          &lt;w:uiPriority w:val="99" /&gt;
          &lt;w:pPr&gt;
            &lt;w:tabs&gt;
              &lt;w:tab w:val="clear" w:pos="9360" /&gt;
              &lt;w:tab w:val="right" w:pos="12960" /&gt;
            &lt;/w:tabs&gt;
          &lt;/w:pPr&gt;
        &lt;/w:style&gt;
        &lt;w:style w:type="paragraph" w:customStyle="1" w:styleId="Landscapeheader"&gt;
          &lt;w:name w:val="Landscape header" /&gt;
          &lt;w:basedOn w:val="Footer" /&gt;
          &lt;w:link w:val="LandscapeheaderChar" /&gt;
          &lt;w:uiPriority w:val="99" /&gt;
          &lt;w:pPr&gt;
            &lt;w:tabs&gt;
              &lt;w:tab w:val="clear" w:pos="9360" /&gt;
              &lt;w:tab w:val="right" w:pos="12960" /&gt;
            &lt;/w:tabs&gt;
          &lt;/w:pPr&gt;
        &lt;/w:style&gt;
        &lt;w:style w:type="character" w:customStyle="1" w:styleId="LandscapeheaderChar"&gt;
          &lt;w:name w:val="Landscape header Char" /&gt;
          &lt;w:link w:val="Landscapeheader" /&gt;
          &lt;w:uiPriority w:val="99" /&gt;
          &lt;w:locked /&gt;
          &lt;w:rPr&gt;
            &lt;w:rFonts w:ascii="Arial" w:eastAsia="Times New Roman" w:hAnsi="Arial" /&gt;
            &lt;w:sz w:val="16" /&gt;
            &lt;w:szCs w:val="20" /&gt;
          &lt;/w:rPr&gt;
        &lt;/w:style&gt;
        &lt;w:style w:type="paragraph" w:customStyle="1" w:styleId="mdAppCovPg"&gt;
          &lt;w:name w:val="md_App Cov Pg" /&gt;
          &lt;w:basedOn w:val="Heading1" /&gt;
          &lt;w:next w:val="Normal" /&gt;
          &lt;w:uiPriority w:val="99" /&gt;
          &lt;w:pPr&gt;
            &lt;w:numPr&gt;
              &lt;w:numId w:val="2" /&gt;
            &lt;/w:numPr&gt;
            &lt;w:pBdr&gt;
              &lt;w:top w:val="single" w:sz="12" w:space="1" w:color="auto" /&gt;
              &lt;w:bottom w:val="single" w:sz="12" w:space="1" w:color="auto" /&gt;
            &lt;/w:pBdr&gt;
            &lt;w:spacing w:after="700" /&gt;
          &lt;/w:pPr&gt;
        &lt;/w:style&gt;
        &lt;w:style w:type="paragraph" w:customStyle="1" w:styleId="mdAppTblTitle"&gt;
          &lt;w:name w:val="md_App Tbl Title" /&gt;
          &lt;w:basedOn w:val="Normal" /&gt;
          &lt;w:uiPriority w:val="99" /&gt;
          &lt;w:pPr&gt;
            &lt;w:keepNext /&gt;
            &lt;w:keepLines /&gt;
            &lt;w:spacing w:after="0" w:line="180" w:lineRule="exact" /&gt;
            &lt;w:jc w:val="center" /&gt;
          &lt;/w:pPr&gt;
          &lt;w:rPr&gt;
            &lt;w:rFonts w:ascii="Courier New" w:hAnsi="Courier New" /&gt;
            &lt;w:b /&gt;
            &lt;w:sz w:val="16" /&gt;
          &lt;/w:rPr&gt;
        &lt;/w:style&gt;
        &lt;w:style w:type="paragraph" w:customStyle="1" w:styleId="mdBoxText"&gt;
          &lt;w:name w:val="md_Box Text" /&gt;
          &lt;w:basedOn w:val="Normal" /&gt;
          &lt;w:next w:val="Normal" /&gt;
          &lt;w:uiPriority w:val="99" /&gt;
          &lt;w:pPr&gt;
            &lt;w:pBdr&gt;
              &lt;w:top w:val="single" w:sz="12" w:space="1" w:color="auto" /&gt;
              &lt;w:left w:val="single" w:sz="12" w:space="1" w:color="auto" /&gt;
              &lt;w:bottom w:val="single" w:sz="12" w:space="1" w:color="auto" /&gt;
              &lt;w:right w:val="single" w:sz="12" w:space="1" w:color="auto" /&gt;
            &lt;/w:pBdr&gt;
            &lt;w:spacing w:before="180" w:after="180" w:line="240" w:lineRule="atLeast" /&gt;
            &lt;w:ind w:left="1440" w:right="1440" /&gt;
          &lt;/w:pPr&gt;
          &lt;w:rPr&gt;
            &lt;w:rFonts w:ascii="Arial" w:hAnsi="Arial" /&gt;
            &lt;w:sz w:val="16" /&gt;
          &lt;/w:rPr&gt;
        &lt;/w:style&gt;
        &lt;w:style w:type="paragraph" w:customStyle="1" w:styleId="mdBoxBoldText"&gt;
          &lt;w:name w:val="md_Box Bold Text" /&gt;
          &lt;w:basedOn w:val="mdBoxText" /&gt;
          &lt;w:next w:val="mdBoxText" /&gt;
          &lt;w:uiPriority w:val="99" /&gt;
          &lt;w:pPr&gt;
            &lt;w:spacing w:after="0" w:line="240" w:lineRule="auto" /&gt;
            &lt;w:jc w:val="center" /&gt;
          &lt;/w:pPr&gt;
          &lt;w:rPr&gt;
            &lt;w:b /&gt;
            &lt;w:sz w:val="28" /&gt;
          &lt;/w:rPr&gt;
        &lt;/w:style&gt;
        &lt;w:style w:type="paragraph" w:customStyle="1" w:styleId="mdBrktdBullet"&gt;
          &lt;w:name w:val="md_Brktd Bullet" /&gt;
          &lt;w:basedOn w:val="Normal" /&gt;
          &lt;w:uiPriority w:val="99" /&gt;
          &lt;w:pPr&gt;
            &lt;w:keepLines /&gt;
            &lt;w:spacing w:before="14" w:after="144" w:line="279" w:lineRule="atLeast" /&gt;
            &lt;w:ind w:left="1080" w:right="720" w:hanging="504" /&gt;
          &lt;/w:pPr&gt;
          &lt;w:rPr&gt;
            &lt;w:rFonts w:eastAsia="Times New Roman" w:cs="Times New Roman" /&gt;
            &lt;w:szCs w:val="24" /&gt;
          &lt;/w:rPr&gt;
        &lt;/w:style&gt;
        &lt;w:style w:type="paragraph" w:customStyle="1" w:styleId="mdBullet"&gt;
          &lt;w:name w:val="md_Bullet" /&gt;
          &lt;w:basedOn w:val="Normal" /&gt;
          &lt;w:next w:val="Normal" /&gt;
          &lt;w:link w:val="mdBulletChar" /&gt;
          &lt;w:pPr&gt;
            &lt;w:keepLines /&gt;
            &lt;w:spacing w:before="14" w:after="144" w:line="279" w:lineRule="exact" /&gt;
            &lt;w:ind w:left="720" w:right="720" w:hanging="360" /&gt;
          &lt;/w:pPr&gt;
          &lt;w:rPr&gt;
            &lt;w:rFonts w:eastAsia="Times New Roman" w:cs="Times New Roman" /&gt;
            &lt;w:szCs w:val="24" /&gt;
          &lt;/w:rPr&gt;
        &lt;/w:style&gt;
        &lt;w:style w:type="paragraph" w:customStyle="1" w:styleId="mdCRTCovPg"&gt;
          &lt;w:name w:val="md_CRT Cov Pg" /&gt;
          &lt;w:basedOn w:val="mdAppCovPg" /&gt;
          &lt;w:next w:val="Normal" /&gt;
          &lt;w:uiPriority w:val="99" /&gt;
          &lt;w:pPr&gt;
            &lt;w:numPr&gt;
              &lt;w:numId w:val="0" /&gt;
            &lt;/w:numPr&gt;
          &lt;/w:pPr&gt;
        &lt;/w:style&gt;
        &lt;w:style w:type="paragraph" w:customStyle="1" w:styleId="mdCRTTblTitle"&gt;
          &lt;w:name w:val="md_CRT Tbl Title" /&gt;
          &lt;w:basedOn w:val="mdAppTblTitle" /&gt;
          &lt;w:uiPriority w:val="99" /&gt;
        &lt;/w:style&gt;
        &lt;w:style w:type="paragraph" w:customStyle="1" w:styleId="mdDefinition"&gt;
          &lt;w:name w:val="md_Definition" /&gt;
          &lt;w:basedOn w:val="Normal" /&gt;
          &lt;w:link w:val="mdDefinitionChar" /&gt;
          &lt;w:uiPriority w:val="99" /&gt;
          &lt;w:pPr&gt;
            &lt;w:spacing w:line="240" w:lineRule="auto" /&gt;
          &lt;/w:pPr&gt;
          &lt;w:rPr&gt;
            &lt;w:rFonts w:eastAsia="Times New Roman" w:cs="Times New Roman" /&gt;
            &lt;w:sz w:val="20" /&gt;
            &lt;w:szCs w:val="24" /&gt;
          &lt;/w:rPr&gt;
        &lt;/w:style&gt;
        &lt;w:style w:type="character" w:customStyle="1" w:styleId="mdDefinitionChar"&gt;
          &lt;w:name w:val="md_Definition Char" /&gt;
          &lt;w:link w:val="mdDefinition" /&gt;
          &lt;w:uiPriority w:val="99" /&gt;
          &lt;w:locked /&gt;
          &lt;w:rPr&gt;
            &lt;w:rFonts w:eastAsia="Times New Roman" /&gt;
            &lt;w:szCs w:val="24" /&gt;
          &lt;/w:rPr&gt;
        &lt;/w:style&gt;
        &lt;w:style w:type="paragraph" w:customStyle="1" w:styleId="mdDefinitionBullet"&gt;
          &lt;w:name w:val="md_Definition Bullet" /&gt;
          &lt;w:basedOn w:val="Normal" /&gt;
          &lt;w:uiPriority w:val="99" /&gt;
          &lt;w:pPr&gt;
            &lt;w:spacing w:after="0" w:line="240" w:lineRule="auto" /&gt;
            &lt;w:ind w:left="360" w:hanging="360" /&gt;
          &lt;/w:pPr&gt;
          &lt;w:rPr&gt;
            &lt;w:rFonts w:eastAsia="Times New Roman" w:cs="Times New Roman" /&gt;
            &lt;w:sz w:val="20" /&gt;
            &lt;w:szCs w:val="24" /&gt;
          &lt;/w:rPr&gt;
        &lt;/w:style&gt;
        &lt;w:style w:type="paragraph" w:customStyle="1" w:styleId="mdDRAFT"&gt;
          &lt;w:name w:val="md_DRAFT" /&gt;
          &lt;w:basedOn w:val="Normal" /&gt;
          &lt;w:uiPriority w:val="99" /&gt;
          &lt;w:pPr&gt;
            &lt;w:spacing w:before="400" w:after="0" w:line="240" w:lineRule="auto" /&gt;
            &lt;w:jc w:val="center" /&gt;
          &lt;/w:pPr&gt;
          &lt;w:rPr&gt;
            &lt;w:rFonts w:ascii="Arial" w:hAnsi="Arial" /&gt;
            &lt;w:b /&gt;
            &lt;w:i /&gt;
            &lt;w:color w:val="FF0000" /&gt;
            &lt;w:sz w:val="48" /&gt;
          &lt;/w:rPr&gt;
        &lt;/w:style&gt;
        &lt;w:style w:type="paragraph" w:customStyle="1" w:styleId="mdFigure"&gt;
          &lt;w:name w:val="md_Figure" /&gt;
          &lt;w:basedOn w:val="Normal" /&gt;
          &lt;w:uiPriority w:val="99" /&gt;
          &lt;w:pPr&gt;
            &lt;w:keepNext /&gt;
            &lt;w:keepLines /&gt;
            &lt;w:tabs&gt;
              &lt;w:tab w:val="left" w:pos="2880" /&gt;
              &lt;w:tab w:val="left" w:pos="3240" /&gt;
            &lt;/w:tabs&gt;
            &lt;w:spacing w:after="0" w:line="299" w:lineRule="atLeast" /&gt;
            &lt;w:jc w:val="center" /&gt;
          &lt;/w:pPr&gt;
          &lt;w:rPr&gt;
            &lt;w:rFonts w:eastAsia="Times New Roman" w:cs="Times New Roman" /&gt;
            &lt;w:szCs w:val="24" /&gt;
          &lt;/w:rPr&gt;
        &lt;/w:style&gt;
        &lt;w:style w:type="paragraph" w:customStyle="1" w:styleId="mdHangIndent"&gt;
          &lt;w:name w:val="md_Hang Indent" /&gt;
          &lt;w:basedOn w:val="Normal" /&gt;
          &lt;w:uiPriority w:val="99" /&gt;
          &lt;w:pPr&gt;
            &lt;w:spacing w:before="14" w:after="144" w:line="300" w:lineRule="atLeast" /&gt;
            &lt;w:ind w:left="1440" w:hanging="1440" /&gt;
          &lt;/w:pPr&gt;
          &lt;w:rPr&gt;
            &lt;w:rFonts w:eastAsia="Times New Roman" w:cs="Times New Roman" /&gt;
            &lt;w:szCs w:val="24" /&gt;
          &lt;/w:rPr&gt;
        &lt;/w:style&gt;
        &lt;w:style w:type="paragraph" w:customStyle="1" w:styleId="mdInstructions"&gt;
          &lt;w:name w:val="md_Instructions" /&gt;
          &lt;w:basedOn w:val="Normal" /&gt;
          &lt;w:link w:val="mdInstructionsChar" /&gt;
          &lt;w:uiPriority w:val="99" /&gt;
          &lt;w:qFormat /&gt;
          &lt;w:pPr&gt;
            &lt;w:spacing w:line="240" w:lineRule="atLeast" /&gt;
          &lt;/w:pPr&gt;
          &lt;w:rPr&gt;
            &lt;w:rFonts w:eastAsia="Times New Roman" w:cs="Times New Roman" /&gt;
            &lt;w:color w:val="FF0000" /&gt;
            &lt;w:sz w:val="20" /&gt;
            &lt;w:szCs w:val="24" /&gt;
          &lt;/w:rPr&gt;
        &lt;/w:style&gt;
        &lt;w:style w:type="character" w:customStyle="1" w:styleId="mdInstructionsChar"&gt;
          &lt;w:name w:val="md_Instructions Char" /&gt;
          &lt;w:link w:val="mdInstructions" /&gt;
          &lt;w:uiPriority w:val="99" /&gt;
          &lt;w:locked /&gt;
          &lt;w:rPr&gt;
            &lt;w:rFonts w:eastAsia="Times New Roman" /&gt;
            &lt;w:color w:val="FF0000" /&gt;
            &lt;w:szCs w:val="24" /&gt;
          &lt;/w:rPr&gt;
        &lt;/w:style&gt;
        &lt;w:style w:type="paragraph" w:customStyle="1" w:styleId="mdSASTblEntry"&gt;
          &lt;w:name w:val="md_SAS Tbl Entry" /&gt;
          &lt;w:basedOn w:val="Normal" /&gt;
          &lt;w:uiPriority w:val="99" /&gt;
          &lt;w:pPr&gt;
            &lt;w:spacing w:after="0" w:line="240" w:lineRule="auto" /&gt;
          &lt;/w:pPr&gt;
          &lt;w:rPr&gt;
            &lt;w:rFonts w:ascii="Courier New" w:hAnsi="Courier New" /&gt;
            &lt;w:b /&gt;
            &lt;w:sz w:val="16" /&gt;
          &lt;/w:rPr&gt;
        &lt;/w:style&gt;
        &lt;w:style w:type="paragraph" w:customStyle="1" w:styleId="mdSubterm"&gt;
          &lt;w:name w:val="md_Subterm" /&gt;
          &lt;w:basedOn w:val="Normal" /&gt;
          &lt;w:uiPriority w:val="99" /&gt;
          &lt;w:pPr&gt;
            &lt;w:spacing w:after="60" w:line="240" w:lineRule="auto" /&gt;
          &lt;/w:pPr&gt;
          &lt;w:rPr&gt;
            &lt;w:rFonts w:ascii="Arial" w:hAnsi="Arial" /&gt;
            &lt;w:i /&gt;
            &lt;w:sz w:val="18" /&gt;
          &lt;/w:rPr&gt;
        &lt;/w:style&gt;
        &lt;w:style w:type="paragraph" w:customStyle="1" w:styleId="mdTblEntry"&gt;
          &lt;w:name w:val="md_Tbl Entry" /&gt;
          &lt;w:basedOn w:val="Normal" /&gt;
          &lt;w:link w:val="mdTblEntryChar" /&gt;
          &lt;w:uiPriority w:val="99" /&gt;
          &lt;w:pPr&gt;
            &lt;w:keepLines /&gt;
            &lt;w:spacing w:after="0" w:line="259" w:lineRule="atLeast" /&gt;
          &lt;/w:pPr&gt;
          &lt;w:rPr&gt;
            &lt;w:rFonts w:eastAsia="Times New Roman" w:cs="Times New Roman" /&gt;
            &lt;w:sz w:val="20" /&gt;
            &lt;w:szCs w:val="24" /&gt;
          &lt;/w:rPr&gt;
        &lt;/w:style&gt;
        &lt;w:style w:type="character" w:customStyle="1" w:styleId="mdTblEntryChar"&gt;
          &lt;w:name w:val="md_Tbl Entry Char" /&gt;
          &lt;w:link w:val="mdTblEntry" /&gt;
          &lt;w:uiPriority w:val="99" /&gt;
          &lt;w:locked /&gt;
          &lt;w:rPr&gt;
            &lt;w:rFonts w:eastAsia="Times New Roman" /&gt;
            &lt;w:szCs w:val="24" /&gt;
          &lt;/w:rPr&gt;
        &lt;/w:style&gt;
        &lt;w:style w:type="paragraph" w:customStyle="1" w:styleId="mdTblEntryC"&gt;
          &lt;w:name w:val="md_Tbl Entry/C" /&gt;
          &lt;w:basedOn w:val="Normal" /&gt;
          &lt;w:uiPriority w:val="99" /&gt;
          &lt;w:pPr&gt;
            &lt;w:keepNext /&gt;
            &lt;w:keepLines /&gt;
            &lt;w:spacing w:after="0" w:line="259" w:lineRule="atLeast" /&gt;
            &lt;w:jc w:val="center" /&gt;
          &lt;/w:pPr&gt;
          &lt;w:rPr&gt;
            &lt;w:rFonts w:eastAsia="Times New Roman" w:cs="Times New Roman" /&gt;
            &lt;w:sz w:val="20" /&gt;
            &lt;w:szCs w:val="24" /&gt;
          &lt;/w:rPr&gt;
        &lt;/w:style&gt;
        &lt;w:style w:type="paragraph" w:customStyle="1" w:styleId="mdTblEntryL"&gt;
          &lt;w:name w:val="md_Tbl Entry/L" /&gt;
          &lt;w:basedOn w:val="Normal" /&gt;
          &lt;w:uiPriority w:val="99" /&gt;
          &lt;w:pPr&gt;
            &lt;w:keepNext /&gt;
            &lt;w:keepLines /&gt;
            &lt;w:spacing w:after="0" w:line="259" w:lineRule="atLeast" /&gt;
          &lt;/w:pPr&gt;
          &lt;w:rPr&gt;
            &lt;w:rFonts w:eastAsia="Times New Roman" w:cs="Times New Roman" /&gt;
            &lt;w:sz w:val="20" /&gt;
            &lt;w:szCs w:val="24" /&gt;
          &lt;/w:rPr&gt;
        &lt;/w:style&gt;
        &lt;w:style w:type="paragraph" w:customStyle="1" w:styleId="mdTblEntryMod"&gt;
          &lt;w:name w:val="md_Tbl Entry/Mod" /&gt;
          &lt;w:basedOn w:val="Normal" /&gt;
          &lt;w:uiPriority w:val="99" /&gt;
          &lt;w:pPr&gt;
            &lt;w:keepNext /&gt;
            &lt;w:keepLines /&gt;
            &lt;w:spacing w:after="0" w:line="259" w:lineRule="atLeast" /&gt;
          &lt;/w:pPr&gt;
          &lt;w:rPr&gt;
            &lt;w:rFonts w:eastAsia="Times New Roman" w:cs="Times New Roman" /&gt;
            &lt;w:sz w:val="20" /&gt;
            &lt;w:szCs w:val="24" /&gt;
          &lt;/w:rPr&gt;
        &lt;/w:style&gt;
        &lt;w:style w:type="paragraph" w:customStyle="1" w:styleId="mdTblEntryR"&gt;
          &lt;w:name w:val="md_Tbl Entry/R" /&gt;
          &lt;w:basedOn w:val="Normal" /&gt;
          &lt;w:uiPriority w:val="99" /&gt;
          &lt;w:pPr&gt;
            &lt;w:keepNext /&gt;
            &lt;w:keepLines /&gt;
            &lt;w:spacing w:after="0" w:line="259" w:lineRule="atLeast" /&gt;
            &lt;w:jc w:val="right" /&gt;
          &lt;/w:pPr&gt;
          &lt;w:rPr&gt;
            &lt;w:rFonts w:eastAsia="Times New Roman" w:cs="Times New Roman" /&gt;
            &lt;w:sz w:val="20" /&gt;
            &lt;w:szCs w:val="24" /&gt;
          &lt;/w:rPr&gt;
        &lt;/w:style&gt;
        &lt;w:style w:type="paragraph" w:customStyle="1" w:styleId="mdTerm"&gt;
          &lt;w:name w:val="md_Term" /&gt;
          &lt;w:basedOn w:val="Normal" /&gt;
          &lt;w:uiPriority w:val="99" /&gt;
          &lt;w:pPr&gt;
            &lt;w:spacing w:after="60" w:line="240" w:lineRule="auto" /&gt;
          &lt;/w:pPr&gt;
          &lt;w:rPr&gt;
            &lt;w:rFonts w:ascii="Arial" w:hAnsi="Arial" /&gt;
            &lt;w:b /&gt;
            &lt;w:sz w:val="18" /&gt;
          &lt;/w:rPr&gt;
        &lt;/w:style&gt;
        &lt;w:style w:type="paragraph" w:customStyle="1" w:styleId="mdTermAbbreviation"&gt;
          &lt;w:name w:val="md_Term Abbreviation" /&gt;
          &lt;w:basedOn w:val="mdTerm" /&gt;
          &lt;w:uiPriority w:val="99" /&gt;
          &lt;w:pPr&gt;
            &lt;w:spacing w:before="60" /&gt;
          &lt;/w:pPr&gt;
          &lt;w:rPr&gt;
            &lt;w:i /&gt;
            &lt;w:sz w:val="16" /&gt;
          &lt;/w:rPr&gt;
        &lt;/w:style&gt;
        &lt;w:style w:type="paragraph" w:customStyle="1" w:styleId="mdTitlePgText"&gt;
          &lt;w:name w:val="md_Title Pg Text" /&gt;
          &lt;w:basedOn w:val="Normal" /&gt;
          &lt;w:uiPriority w:val="99" /&gt;
          &lt;w:pPr&gt;
            &lt;w:spacing w:before="960" w:after="0" w:line="259" w:lineRule="atLeast" /&gt;
            &lt;w:jc w:val="center" /&gt;
          &lt;/w:pPr&gt;
          &lt;w:rPr&gt;
            &lt;w:rFonts w:ascii="Arial" w:eastAsia="Times New Roman" w:hAnsi="Arial" w:cs="Times New Roman" /&gt;
            &lt;w:szCs w:val="24" /&gt;
          &lt;/w:rPr&gt;
        &lt;/w:style&gt;
        &lt;w:style w:type="paragraph" w:customStyle="1" w:styleId="mdTOCTitle"&gt;
          &lt;w:name w:val="md_TOC Title" /&gt;
          &lt;w:basedOn w:val="Normal" /&gt;
          &lt;w:pPr&gt;
            &lt;w:pageBreakBefore /&gt;
            &lt;w:spacing w:after="0" w:line="279" w:lineRule="atLeast" /&gt;
            &lt;w:jc w:val="center" /&gt;
          &lt;/w:pPr&gt;
          &lt;w:rPr&gt;
            &lt;w:rFonts w:ascii="Arial" w:hAnsi="Arial" /&gt;
            &lt;w:b /&gt;
          &lt;/w:rPr&gt;
        &lt;/w:style&gt;
        &lt;w:style w:type="paragraph" w:customStyle="1" w:styleId="Reference"&gt;
          &lt;w:name w:val="Reference" /&gt;
          &lt;w:basedOn w:val="Normal" /&gt;
          &lt;w:next w:val="Normal" /&gt;
          &lt;w:uiPriority w:val="99" /&gt;
          &lt;w:pPr&gt;
            &lt;w:spacing w:before="101" w:after="101" w:line="283" w:lineRule="exact" /&gt;
            &lt;w:ind w:left="216" w:hanging="216" /&gt;
          &lt;/w:pPr&gt;
          &lt;w:rPr&gt;
            &lt;w:rFonts w:eastAsia="Times New Roman" w:cs="Times New Roman" /&gt;
            &lt;w:szCs w:val="24" /&gt;
          &lt;/w:rPr&gt;
        &lt;/w:style&gt;
        &lt;w:style w:type="paragraph" w:customStyle="1" w:styleId="SignLine"&gt;
          &lt;w:name w:val="SignLine" /&gt;
          &lt;w:basedOn w:val="Normal" /&gt;
          &lt;w:next w:val="Normal" /&gt;
          &lt;w:uiPriority w:val="99" /&gt;
          &lt;w:pPr&gt;
            &lt;w:tabs&gt;
              &lt;w:tab w:val="right" w:leader="underscore" w:pos="4680" /&gt;
              &lt;w:tab w:val="left" w:pos="5040" /&gt;
              &lt;w:tab w:val="right" w:leader="underscore" w:pos="8640" /&gt;
            &lt;/w:tabs&gt;
            &lt;w:spacing w:before="360" w:after="0" w:line="300" w:lineRule="atLeast" /&gt;
          &lt;/w:pPr&gt;
          &lt;w:rPr&gt;
            &lt;w:rFonts w:eastAsia="Times New Roman" w:cs="Times New Roman" /&gt;
            &lt;w:sz w:val="20" /&gt;
            &lt;w:szCs w:val="24" /&gt;
          &lt;/w:rPr&gt;
        &lt;/w:style&gt;
        &lt;w:style w:type="paragraph" w:customStyle="1" w:styleId="SignName"&gt;
          &lt;w:name w:val="SignName" /&gt;
          &lt;w:basedOn w:val="Normal" /&gt;
          &lt;w:next w:val="Normal" /&gt;
          &lt;w:uiPriority w:val="99" /&gt;
          &lt;w:pPr&gt;
            &lt;w:tabs&gt;
              &lt;w:tab w:val="center" w:pos="6840" /&gt;
            &lt;/w:tabs&gt;
            &lt;w:spacing w:before="60" w:after="0" w:line="271" w:lineRule="exact" /&gt;
          &lt;/w:pPr&gt;
          &lt;w:rPr&gt;
            &lt;w:rFonts w:eastAsia="Times New Roman" w:cs="Times New Roman" /&gt;
            &lt;w:szCs w:val="24" /&gt;
          &lt;/w:rPr&gt;
        &lt;/w:style&gt;
        &lt;w:style w:type="paragraph" w:customStyle="1" w:styleId="SumHeading"&gt;
          &lt;w:name w:val="SumHeading" /&gt;
          &lt;w:basedOn w:val="Normal" /&gt;
          &lt;w:next w:val="Normal" /&gt;
          &lt;w:uiPriority w:val="99" /&gt;
          &lt;w:pPr&gt;
            &lt;w:spacing w:line="240" w:lineRule="auto" /&gt;
          &lt;/w:pPr&gt;
          &lt;w:rPr&gt;
            &lt;w:rFonts w:ascii="Arial" w:hAnsi="Arial" /&gt;
            &lt;w:b /&gt;
            &lt;w:sz w:val="20" /&gt;
          &lt;/w:rPr&gt;
        &lt;/w:style&gt;
        &lt;w:style w:type="paragraph" w:customStyle="1" w:styleId="Synopsis"&gt;
          &lt;w:name w:val="Synopsis" /&gt;
          &lt;w:basedOn w:val="Normal" /&gt;
          &lt;w:uiPriority w:val="99" /&gt;
          &lt;w:pPr&gt;
            &lt;w:spacing w:line="259" w:lineRule="atLeast" /&gt;
            &lt;w:ind w:left="2707" w:hanging="2707" /&gt;
          &lt;/w:pPr&gt;
          &lt;w:rPr&gt;
            &lt;w:rFonts w:eastAsia="Times New Roman" w:cs="Times New Roman" /&gt;
            &lt;w:szCs w:val="24" /&gt;
          &lt;/w:rPr&gt;
        &lt;/w:style&gt;
        &lt;w:style w:type="paragraph" w:customStyle="1" w:styleId="SynopsisBoxA"&gt;
          &lt;w:name w:val="Synopsis Box A" /&gt;
          &lt;w:basedOn w:val="Synopsis" /&gt;
          &lt;w:uiPriority w:val="99" /&gt;
          &lt;w:pPr&gt;
            &lt;w:pBdr&gt;
              &lt;w:top w:val="single" w:sz="6" w:space="1" w:color="auto" /&gt;
              &lt;w:left w:val="single" w:sz="6" w:space="1" w:color="auto" /&gt;
              &lt;w:bottom w:val="single" w:sz="6" w:space="1" w:color="auto" /&gt;
              &lt;w:right w:val="single" w:sz="6" w:space="1" w:color="auto" /&gt;
            &lt;/w:pBdr&gt;
            &lt;w:tabs&gt;
              &lt;w:tab w:val="left" w:pos="2340" /&gt;
              &lt;w:tab w:val="left" w:pos="5400" /&gt;
            &lt;/w:tabs&gt;
            &lt;w:ind w:left="0" w:firstLine="0" /&gt;
          &lt;/w:pPr&gt;
        &lt;/w:style&gt;
        &lt;w:style w:type="paragraph" w:customStyle="1" w:styleId="SynopsisBoxB"&gt;
          &lt;w:name w:val="Synopsis Box B" /&gt;
          &lt;w:basedOn w:val="Synopsis" /&gt;
          &lt;w:uiPriority w:val="99" /&gt;
          &lt;w:pPr&gt;
            &lt;w:pBdr&gt;
              &lt;w:top w:val="single" w:sz="6" w:space="1" w:color="auto" /&gt;
              &lt;w:left w:val="single" w:sz="6" w:space="1" w:color="auto" /&gt;
              &lt;w:bottom w:val="single" w:sz="6" w:space="1" w:color="auto" /&gt;
              &lt;w:right w:val="single" w:sz="6" w:space="1" w:color="auto" /&gt;
            &lt;/w:pBdr&gt;
            &lt;w:tabs&gt;
              &lt;w:tab w:val="left" w:pos="810" /&gt;
              &lt;w:tab w:val="left" w:pos="2700" /&gt;
              &lt;w:tab w:val="left" w:pos="3510" /&gt;
            &lt;/w:tabs&gt;
            &lt;w:ind w:left="0" w:firstLine="0" /&gt;
          &lt;/w:pPr&gt;
          &lt;w:rPr&gt;
            &lt;w:u w:val="single" /&gt;
          &lt;/w:rPr&gt;
        &lt;/w:style&gt;
        &lt;w:style w:type="paragraph" w:customStyle="1" w:styleId="SynopsisBoxC"&gt;
          &lt;w:name w:val="Synopsis Box C" /&gt;
          &lt;w:basedOn w:val="Synopsis" /&gt;
          &lt;w:uiPriority w:val="99" /&gt;
          &lt;w:pPr&gt;
            &lt;w:pBdr&gt;
              &lt;w:top w:val="single" w:sz="6" w:space="1" w:color="auto" /&gt;
              &lt;w:left w:val="single" w:sz="6" w:space="1" w:color="auto" /&gt;
              &lt;w:bottom w:val="single" w:sz="6" w:space="1" w:color="auto" /&gt;
              &lt;w:right w:val="single" w:sz="6" w:space="1" w:color="auto" /&gt;
            &lt;/w:pBdr&gt;
            &lt;w:tabs&gt;
              &lt;w:tab w:val="left" w:pos="990" /&gt;
            &lt;/w:tabs&gt;
            &lt;w:ind w:left="0" w:firstLine="0" /&gt;
          &lt;/w:pPr&gt;
        &lt;/w:style&gt;
        &lt;w:style w:type="paragraph" w:customStyle="1" w:styleId="SynopsisSingle"&gt;
          &lt;w:name w:val="Synopsis Single" /&gt;
          &lt;w:basedOn w:val="Synopsis" /&gt;
          &lt;w:uiPriority w:val="99" /&gt;
          &lt;w:pPr&gt;
            &lt;w:spacing w:after="0" /&gt;
          &lt;/w:pPr&gt;
        &lt;/w:style&gt;
        &lt;w:style w:type="paragraph" w:customStyle="1" w:styleId="SynopsisTitleLine"&gt;
          &lt;w:name w:val="Synopsis Title Line" /&gt;
          &lt;w:basedOn w:val="Normal" /&gt;
          &lt;w:uiPriority w:val="99" /&gt;
          &lt;w:pPr&gt;
            &lt;w:spacing w:before="240" w:after="240" w:line="259" w:lineRule="atLeast" /&gt;
            &lt;w:jc w:val="center" /&gt;
          &lt;/w:pPr&gt;
          &lt;w:rPr&gt;
            &lt;w:rFonts w:eastAsia="Times New Roman" w:cs="Times New Roman" /&gt;
            &lt;w:szCs w:val="24" /&gt;
          &lt;/w:rPr&gt;
        &lt;/w:style&gt;
        &lt;w:style w:type="paragraph" w:customStyle="1" w:styleId="TableBold"&gt;
          &lt;w:name w:val="TableBold" /&gt;
          &lt;w:basedOn w:val="Normal" /&gt;
          &lt;w:uiPriority w:val="99" /&gt;
          &lt;w:pPr&gt;
            &lt;w:spacing w:after="0" w:line="240" w:lineRule="auto" /&gt;
          &lt;/w:pPr&gt;
          &lt;w:rPr&gt;
            &lt;w:rFonts w:ascii="Arial" w:hAnsi="Arial" /&gt;
            &lt;w:b /&gt;
            &lt;w:sz w:val="20"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w:customStyle="1" w:styleId="TblTitle"&gt;
          &lt;w:name w:val="Tbl Title" /&gt;
          &lt;w:basedOn w:val="Normal" /&gt;
          &lt;w:next w:val="Normal" /&gt;
          &lt;w:uiPriority w:val="99" /&gt;
          &lt;w:pPr&gt;
            &lt;w:keepNext /&gt;
            &lt;w:keepLines /&gt;
            &lt;w:spacing w:before="240" w:line="259" w:lineRule="atLeast" /&gt;
            &lt;w:ind w:left="2304" w:hanging="2304" /&gt;
          &lt;/w:pPr&gt;
          &lt;w:rPr&gt;
            &lt;w:rFonts w:ascii="Arial" w:hAnsi="Arial" /&gt;
            &lt;w:b /&gt;
          &lt;/w:rPr&gt;
        &lt;/w:style&gt;
        &lt;w:style w:type="paragraph" w:customStyle="1" w:styleId="TblTitleCont"&gt;
          &lt;w:name w:val="Tbl Title Cont" /&gt;
          &lt;w:basedOn w:val="Normal" /&gt;
          &lt;w:next w:val="Normal" /&gt;
          &lt;w:uiPriority w:val="99" /&gt;
          &lt;w:pPr&gt;
            &lt;w:keepNext /&gt;
            &lt;w:keepLines /&gt;
            &lt;w:spacing w:before="240" w:line="259" w:lineRule="atLeast" /&gt;
            &lt;w:ind w:left="2304" w:hanging="2304" /&gt;
          &lt;/w:pPr&gt;
          &lt;w:rPr&gt;
            &lt;w:rFonts w:ascii="Arial" w:hAnsi="Arial" /&gt;
            &lt;w:b /&gt;
          &lt;/w:rPr&gt;
        &lt;/w:style&gt;
        &lt;w:style w:type="paragraph" w:customStyle="1" w:styleId="TOCColHead"&gt;
          &lt;w:name w:val="TOC Col Head" /&gt;
          &lt;w:basedOn w:val="Normal" /&gt;
          &lt;w:uiPriority w:val="99" /&gt;
          &lt;w:pPr&gt;
            &lt;w:tabs&gt;
              &lt;w:tab w:val="right" w:pos="9360" /&gt;
            &lt;/w:tabs&gt;
            &lt;w:spacing w:before="14" w:after="144" w:line="300" w:lineRule="atLeast" /&gt;
          &lt;/w:pPr&gt;
          &lt;w:rPr&gt;
            &lt;w:rFonts w:ascii="Arial" w:eastAsia="Times New Roman" w:hAnsi="Arial" w:cs="Times New Roman" /&gt;
            &lt;w:b /&gt;
            &lt;w:szCs w:val="24" /&gt;
          &lt;/w:rPr&gt;
        &lt;/w:style&gt;
        &lt;w:style w:type="paragraph" w:customStyle="1" w:styleId="Style1"&gt;
          &lt;w:name w:val="Style1" /&gt;
          &lt;w:basedOn w:val="Normal" /&gt;
          &lt;w:next w:val="Normal" /&gt;
          &lt;w:qFormat /&gt;
          &lt;w:pPr&gt;
            &lt;w:numPr&gt;
              &lt;w:numId w:val="4" /&gt;
            &lt;/w:numPr&gt;
            &lt;w:spacing w:after="0" w:line="240" w:lineRule="auto" /&gt;
          &lt;/w:pPr&gt;
          &lt;w:rPr&gt;
            &lt;w:rFonts w:ascii="Arial" w:hAnsi="Arial" w:cs="Arial" /&gt;
            &lt;w:b /&gt;
            &lt;w:sz w:val="32" /&gt;
            &lt;w:szCs w:val="32" /&gt;
          &lt;/w:rPr&gt;
        &lt;/w:style&gt;
        &lt;w:style w:type="paragraph" w:customStyle="1" w:styleId="mdAttCovPg"&gt;
          &lt;w:name w:val="md_Att Cov Pg" /&gt;
          &lt;w:basedOn w:val="mdAppCovPg" /&gt;
          &lt;w:next w:val="Normal" /&gt;
          &lt;w:qFormat /&gt;
          &lt;w:pPr&gt;
            &lt;w:numPr&gt;
              &lt;w:numId w:val="3" /&gt;
            &lt;/w:numPr&gt;
          &lt;/w:pPr&gt;
        &lt;/w:style&gt;
        &lt;w:style w:type="character" w:customStyle="1" w:styleId="mdInstructionsChar1"&gt;
          &lt;w:name w:val="md_Instructions Char1" /&gt;
          &lt;w:uiPriority w:val="99" /&gt;
          &lt;w:rPr&gt;
            &lt;w:rFonts w:cs="Times New Roman" /&gt;
            &lt;w:color w:val="FF0000" /&gt;
            &lt;w:lang w:val="en-US" w:eastAsia="en-US" w:bidi="ar-SA" /&gt;
          &lt;/w:rPr&gt;
        &lt;/w:style&gt;
        &lt;w:style w:type="paragraph" w:customStyle="1" w:styleId="Center"&gt;
          &lt;w:name w:val="Center" /&gt;
          &lt;w:pPr&gt;
            &lt;w:keepLines /&gt;
            &lt;w:widowControl w:val="0" /&gt;
            &lt;w:overflowPunct w:val="0" /&gt;
            &lt;w:autoSpaceDE w:val="0" /&gt;
            &lt;w:autoSpaceDN w:val="0" /&gt;
            &lt;w:adjustRightInd w:val="0" /&gt;
            &lt;w:spacing w:before="199" w:after="576" w:line="377" w:lineRule="exact" /&gt;
            &lt;w:jc w:val="center" /&gt;
            &lt;w:textAlignment w:val="baseline" /&gt;
          &lt;/w:pPr&gt;
          &lt;w:rPr&gt;
            &lt;w:rFonts w:ascii="Arial" w:eastAsia="Times New Roman" w:hAnsi="Arial" /&gt;
            &lt;w:b /&gt;
            &lt;w:sz w:val="32" /&gt;
            &lt;w:szCs w:val="24" /&gt;
          &lt;/w:rPr&gt;
        &lt;/w:style&gt;
        &lt;w:style w:type="paragraph" w:customStyle="1" w:styleId="NormalTop"&gt;
          &lt;w:name w:val="Normal + Top" /&gt;
          &lt;w:basedOn w:val="Normal" /&gt;
          &lt;w:next w:val="Normal" /&gt;
          &lt;w:pPr&gt;
            &lt;w:spacing w:before="360" w:after="144" w:line="300" w:lineRule="atLeast" /&gt;
          &lt;/w:pPr&gt;
          &lt;w:rPr&gt;
            &lt;w:rFonts w:eastAsia="Times New Roman" w:cs="Times New Roman" /&gt;
            &lt;w:szCs w:val="24" /&gt;
          &lt;/w:rPr&gt;
        &lt;/w:style&gt;
        &lt;w:style w:type="paragraph" w:customStyle="1" w:styleId="txcenterbold"&gt;
          &lt;w:name w:val="tx_center_bold" /&gt;
          &lt;w:pPr&gt;
            &lt;w:keepLines /&gt;
            &lt;w:widowControl w:val="0" /&gt;
            &lt;w:overflowPunct w:val="0" /&gt;
            &lt;w:autoSpaceDE w:val="0" /&gt;
            &lt;w:autoSpaceDN w:val="0" /&gt;
            &lt;w:adjustRightInd w:val="0" /&gt;
            &lt;w:spacing w:before="140" w:after="140" w:line="283" w:lineRule="exact" /&gt;
            &lt;w:jc w:val="center" /&gt;
            &lt;w:textAlignment w:val="baseline" /&gt;
          &lt;/w:pPr&gt;
          &lt;w:rPr&gt;
            &lt;w:rFonts w:ascii="Arial" w:eastAsia="Times New Roman" w:hAnsi="Arial" /&gt;
            &lt;w:b /&gt;
            &lt;w:sz w:val="24" /&gt;
            &lt;w:szCs w:val="24" /&gt;
          &lt;/w:rPr&gt;
        &lt;/w:style&gt;
        &lt;w:style w:type="paragraph" w:customStyle="1" w:styleId="txcenterunbold"&gt;
          &lt;w:name w:val="tx_center_unbold" /&gt;
          &lt;w:pPr&gt;
            &lt;w:keepLines /&gt;
            &lt;w:widowControl w:val="0" /&gt;
            &lt;w:overflowPunct w:val="0" /&gt;
            &lt;w:autoSpaceDE w:val="0" /&gt;
            &lt;w:autoSpaceDN w:val="0" /&gt;
            &lt;w:adjustRightInd w:val="0" /&gt;
            &lt;w:spacing w:before="200" w:after="200" w:line="283" w:lineRule="exact" /&gt;
            &lt;w:jc w:val="center" /&gt;
            &lt;w:textAlignment w:val="baseline" /&gt;
          &lt;/w:pPr&gt;
          &lt;w:rPr&gt;
            &lt;w:rFonts w:ascii="Arial" w:eastAsia="Times New Roman" w:hAnsi="Arial" /&gt;
            &lt;w:sz w:val="24" /&gt;
            &lt;w:szCs w:val="24" /&gt;
          &lt;/w:rPr&gt;
        &lt;/w:style&gt;
        &lt;w:style w:type="paragraph" w:customStyle="1" w:styleId="txtbl97lnspc"&gt;
          &lt;w:name w:val="tx_tbl.97lnspc" /&gt;
          &lt;w:basedOn w:val="Normal" /&gt;
          &lt;w:pPr&gt;
            &lt;w:spacing w:after="0" w:line="233" w:lineRule="auto" /&gt;
          &lt;/w:pPr&gt;
          &lt;w:rPr&gt;
            &lt;w:rFonts w:ascii="Courier New" w:hAnsi="Courier New" /&gt;
            &lt;w:sz w:val="16" /&gt;
          &lt;/w:rPr&gt;
        &lt;/w:style&gt;
        &lt;w:style w:type="paragraph" w:customStyle="1" w:styleId="txHeading1cont"&gt;
          &lt;w:name w:val="tx_Heading 1 cont" /&gt;
          &lt;w:pPr&gt;
            &lt;w:keepLines /&gt;
            &lt;w:pageBreakBefore /&gt;
            &lt;w:widowControl w:val="0" /&gt;
            &lt;w:tabs&gt;
              &lt;w:tab w:val="left" w:pos="720" /&gt;
              &lt;w:tab w:val="left" w:pos="1440" /&gt;
              &lt;w:tab w:val="left" w:pos="2160" /&gt;
              &lt;w:tab w:val="left" w:pos="2880" /&gt;
              &lt;w:tab w:val="left" w:pos="3600" /&gt;
              &lt;w:tab w:val="left" w:pos="4320" /&gt;
              &lt;w:tab w:val="left" w:pos="5040" /&gt;
              &lt;w:tab w:val="left" w:pos="5760" /&gt;
              &lt;w:tab w:val="left" w:pos="6480" /&gt;
              &lt;w:tab w:val="left" w:pos="7200" /&gt;
              &lt;w:tab w:val="left" w:pos="7920" /&gt;
            &lt;/w:tabs&gt;
            &lt;w:overflowPunct w:val="0" /&gt;
            &lt;w:autoSpaceDE w:val="0" /&gt;
            &lt;w:autoSpaceDN w:val="0" /&gt;
            &lt;w:adjustRightInd w:val="0" /&gt;
            &lt;w:spacing w:before="519" w:after="576" w:line="377" w:lineRule="exact" /&gt;
            &lt;w:jc w:val="center" /&gt;
            &lt;w:textAlignment w:val="baseline" /&gt;
          &lt;/w:pPr&gt;
          &lt;w:rPr&gt;
            &lt;w:rFonts w:ascii="Arial" w:eastAsia="Times New Roman" w:hAnsi="Arial" /&gt;
            &lt;w:b /&gt;
            &lt;w:sz w:val="32" /&gt;
            &lt;w:szCs w:val="24" /&gt;
          &lt;/w:rPr&gt;
        &lt;/w:style&gt;
        &lt;w:style w:type="paragraph" w:customStyle="1" w:styleId="Abstract"&gt;
          &lt;w:name w:val="Abstract" /&gt;
          &lt;w:pPr&gt;
            &lt;w:widowControl w:val="0" /&gt;
            &lt;w:tabs&gt;
              &lt;w:tab w:val="left" w:pos="2880" /&gt;
              &lt;w:tab w:val="left" w:pos="3960" /&gt;
              &lt;w:tab w:val="left" w:pos="5040" /&gt;
              &lt;w:tab w:val="left" w:pos="5760" /&gt;
              &lt;w:tab w:val="left" w:pos="6480" /&gt;
              &lt;w:tab w:val="left" w:pos="7200" /&gt;
              &lt;w:tab w:val="left" w:pos="7920" /&gt;
              &lt;w:tab w:val="left" w:pos="8640" /&gt;
              &lt;w:tab w:val="left" w:pos="9360" /&gt;
              &lt;w:tab w:val="left" w:pos="10080" /&gt;
              &lt;w:tab w:val="left" w:pos="10800" /&gt;
            &lt;/w:tabs&gt;
            &lt;w:overflowPunct w:val="0" /&gt;
            &lt;w:autoSpaceDE w:val="0" /&gt;
            &lt;w:autoSpaceDN w:val="0" /&gt;
            &lt;w:adjustRightInd w:val="0" /&gt;
            &lt;w:spacing w:after="58" w:line="271" w:lineRule="atLeast" /&gt;
            &lt;w:textAlignment w:val="baseline" /&gt;
          &lt;/w:pPr&gt;
          &lt;w:rPr&gt;
            &lt;w:rFonts w:eastAsia="Times New Roman" /&gt;
            &lt;w:sz w:val="24" /&gt;
            &lt;w:szCs w:val="24" /&gt;
          &lt;/w:rPr&gt;
        &lt;/w:style&gt;
        &lt;w:style w:type="paragraph" w:customStyle="1" w:styleId="txtbl9lnspc"&gt;
          &lt;w:name w:val="tx_tbl.9lnspc" /&gt;
          &lt;w:basedOn w:val="Normal" /&gt;
          &lt;w:pPr&gt;
            &lt;w:spacing w:after="0" w:line="216" w:lineRule="auto" /&gt;
          &lt;/w:pPr&gt;
          &lt;w:rPr&gt;
            &lt;w:rFonts w:ascii="Courier New" w:hAnsi="Courier New" /&gt;
            &lt;w:sz w:val="16" /&gt;
          &lt;/w:rPr&gt;
        &lt;/w:style&gt;
        &lt;w:style w:type="paragraph" w:customStyle="1" w:styleId="txNormalfont11"&gt;
          &lt;w:name w:val="tx_Normal font 11" /&gt;
          &lt;w:pPr&gt;
            &lt;w:widowControl w:val="0" /&gt;
            &lt;w:tabs&gt;
              &lt;w:tab w:val="left" w:pos="288" /&gt;
            &lt;/w:tabs&gt;
            &lt;w:overflowPunct w:val="0" /&gt;
            &lt;w:autoSpaceDE w:val="0" /&gt;
            &lt;w:autoSpaceDN w:val="0" /&gt;
            &lt;w:adjustRightInd w:val="0" /&gt;
            &lt;w:spacing w:line="255" w:lineRule="atLeast" /&gt;
            &lt;w:textAlignment w:val="baseline" /&gt;
          &lt;/w:pPr&gt;
          &lt;w:rPr&gt;
            &lt;w:rFonts w:eastAsia="Times New Roman" /&gt;
            &lt;w:sz w:val="22" /&gt;
            &lt;w:szCs w:val="24" /&gt;
          &lt;/w:rPr&gt;
        &lt;/w:style&gt;
        &lt;w:style w:type="paragraph" w:customStyle="1" w:styleId="txNormalfont10"&gt;
          &lt;w:name w:val="tx_Normal font 10" /&gt;
          &lt;w:basedOn w:val="txNormalfont11" /&gt;
          &lt;w:rPr&gt;
            &lt;w:sz w:val="20" /&gt;
          &lt;/w:rPr&gt;
        &lt;/w:style&gt;
        &lt;w:style w:type="paragraph" w:customStyle="1" w:styleId="txHeading4"&gt;
          &lt;w:name w:val="tx_Heading 4" /&gt;
          &lt;w:basedOn w:val="Heading4" /&gt;
          &lt;w:pPr&gt;
            &lt;w:outlineLvl w:val="9" /&gt;
          &lt;/w:pPr&gt;
          &lt;w:rPr&gt;
            &lt;w:rFonts w:eastAsia="Times New Roman" /&gt;
          &lt;/w:rPr&gt;
        &lt;/w:style&gt;
        &lt;w:style w:type="paragraph" w:customStyle="1" w:styleId="txHeading5"&gt;
          &lt;w:name w:val="tx_Heading 5" /&gt;
          &lt;w:basedOn w:val="Heading5" /&gt;
          &lt;w:pPr&gt;
            &lt;w:spacing w:before="20" /&gt;
            &lt;w:outlineLvl w:val="9" /&gt;
          &lt;/w:pPr&gt;
          &lt;w:rPr&gt;
            &lt;w:rFonts w:eastAsia="Times New Roman" /&gt;
          &lt;/w:rPr&gt;
        &lt;/w:style&gt;
        &lt;w:style w:type="paragraph" w:customStyle="1" w:styleId="portraitfooter"&gt;
          &lt;w:name w:val="portrait footer" /&gt;
          &lt;w:basedOn w:val="Footer" /&gt;
          &lt;w:link w:val="portraitfooterChar" /&gt;
          &lt;w:qFormat /&gt;
        &lt;/w:style&gt;
        &lt;w:style w:type="character" w:customStyle="1" w:styleId="portraitfooterChar"&gt;
          &lt;w:name w:val="portrait footer Char" /&gt;
          &lt;w:link w:val="portraitfooter" /&gt;
          &lt;w:rPr&gt;
            &lt;w:rFonts w:ascii="Arial" w:eastAsia="Times New Roman" w:hAnsi="Arial" /&gt;
            &lt;w:sz w:val="16" /&gt;
            &lt;w:szCs w:val="20" /&gt;
          &lt;/w:rPr&gt;
        &lt;/w:style&gt;
        &lt;w:style w:type="paragraph" w:customStyle="1" w:styleId="PortraitHeader"&gt;
          &lt;w:name w:val="Portrait Header" /&gt;
          &lt;w:basedOn w:val="Header" /&gt;
          &lt;w:link w:val="PortraitHeaderChar" /&gt;
          &lt;w:qFormat /&gt;
        &lt;/w:style&gt;
        &lt;w:style w:type="character" w:customStyle="1" w:styleId="PortraitHeaderChar"&gt;
          &lt;w:name w:val="Portrait Header Char" /&gt;
          &lt;w:link w:val="PortraitHeader" /&gt;
          &lt;w:rPr&gt;
            &lt;w:rFonts w:ascii="Arial" w:eastAsia="Times New Roman" w:hAnsi="Arial" /&gt;
            &lt;w:b /&gt;
            &lt;w:sz w:val="24" /&gt;
          &lt;/w:rPr&gt;
        &lt;/w:style&gt;
        &lt;w:style w:type="paragraph" w:styleId="Revision"&gt;
          &lt;w:name w:val="Revision" /&gt;
          &lt;w:hidden /&gt;
          &lt;w:uiPriority w:val="99" /&gt;
          &lt;w:semiHidden /&gt;
          &lt;w:rPr&gt;
            &lt;w:rFonts w:eastAsia="Times New Roman" /&gt;
            &lt;w:sz w:val="24" /&gt;
            &lt;w:szCs w:val="24" /&gt;
          &lt;/w:rPr&gt;
        &lt;/w:style&gt;
        &lt;w:style w:type="paragraph" w:styleId="FootnoteText"&gt;
          &lt;w:name w:val="footnote text" /&gt;
          &lt;w:basedOn w:val="Normal" /&gt;
          &lt;w:link w:val="FootnoteTextChar" /&gt;
          &lt;w:pPr&gt;
            &lt;w:spacing w:line="240" w:lineRule="auto" /&gt;
          &lt;/w:pPr&gt;
          &lt;w:rPr&gt;
            &lt;w:rFonts w:ascii="Arial" w:hAnsi="Arial" /&gt;
            &lt;w:sz w:val="16" /&gt;
          &lt;/w:rPr&gt;
        &lt;/w:style&gt;
        &lt;w:style w:type="character" w:customStyle="1" w:styleId="FootnoteTextChar"&gt;
          &lt;w:name w:val="Footnote Text Char" /&gt;
          &lt;w:link w:val="FootnoteText" /&gt;
          &lt;w:rPr&gt;
            &lt;w:rFonts w:ascii="Arial" w:eastAsia="Times New Roman" w:hAnsi="Arial" /&gt;
            &lt;w:sz w:val="16" /&gt;
          &lt;/w:rPr&gt;
        &lt;/w:style&gt;
        &lt;w:style w:type="paragraph" w:styleId="EndnoteText"&gt;
          &lt;w:name w:val="endnote text" /&gt;
          &lt;w:basedOn w:val="Normal" /&gt;
          &lt;w:link w:val="EndnoteTextChar" /&gt;
          &lt;w:pPr&gt;
            &lt;w:spacing w:line="240" w:lineRule="auto" /&gt;
          &lt;/w:pPr&gt;
          &lt;w:rPr&gt;
            &lt;w:rFonts w:ascii="Arial" w:hAnsi="Arial" /&gt;
            &lt;w:vanish /&gt;
            &lt;w:sz w:val="18" /&gt;
          &lt;/w:rPr&gt;
        &lt;/w:style&gt;
        &lt;w:style w:type="character" w:customStyle="1" w:styleId="EndnoteTextChar"&gt;
          &lt;w:name w:val="Endnote Text Char" /&gt;
          &lt;w:link w:val="EndnoteText" /&gt;
          &lt;w:rPr&gt;
            &lt;w:rFonts w:ascii="Arial" w:eastAsia="Times New Roman" w:hAnsi="Arial" /&gt;
            &lt;w:vanish /&gt;
            &lt;w:sz w:val="18" /&gt;
          &lt;/w:rPr&gt;
        &lt;/w:style&gt;
        &lt;w:style w:type="character" w:styleId="HTMLTypewriter"&gt;
          &lt;w:name w:val="HTML Typewriter" /&gt;
          &lt;w:uiPriority w:val="99" /&gt;
          &lt;w:unhideWhenUsed /&gt;
          &lt;w:rPr&gt;
            &lt;w:rFonts w:ascii="Courier New" w:eastAsia="Calibri" w:hAnsi="Courier New" w:cs="Courier New" w:hint="default" /&gt;
            &lt;w:sz w:val="20" /&gt;
            &lt;w:szCs w:val="20" /&gt;
          &lt;/w:rPr&gt;
        &lt;/w:style&gt;
        &lt;w:style w:type="paragraph" w:customStyle="1" w:styleId="NormalBlue"&gt;
          &lt;w:name w:val="Normal + Blue" /&gt;
          &lt;w:basedOn w:val="Normal" /&gt;
          &lt;w:link w:val="NormalBlueChar" /&gt;
          &lt;w:pPr&gt;
            &lt;w:autoSpaceDE w:val="0" /&gt;
            &lt;w:autoSpaceDN w:val="0" /&gt;
            &lt;w:adjustRightInd w:val="0" /&gt;
            &lt;w:spacing w:after="240" w:line="240" w:lineRule="atLeast" /&gt;
          &lt;/w:pPr&gt;
          &lt;w:rPr&gt;
            &lt;w:rFonts w:cs="Times New Roman" /&gt;
            &lt;w:color w:val="0000FF" /&gt;
            &lt;w:szCs w:val="24" /&gt;
          &lt;/w:rPr&gt;
        &lt;/w:style&gt;
        &lt;w:style w:type="character" w:customStyle="1" w:styleId="NormalBlueChar"&gt;
          &lt;w:name w:val="Normal + Blue Char" /&gt;
          &lt;w:link w:val="NormalBlue" /&gt;
          &lt;w:rPr&gt;
            &lt;w:rFonts w:eastAsia="Calibri" /&gt;
            &lt;w:color w:val="0000FF"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w:styleId="mdBulletChar"&gt;
          &lt;w:name w:val="md_Bullet Char" /&gt;
          &lt;w:link w:val="mdBullet" /&gt;
          &lt;w:locked /&gt;
          &lt;w:rPr&gt;
            &lt;w:rFonts w:eastAsia="Times New Roman" /&gt;
            &lt;w:sz w:val="24" /&gt;
            &lt;w:szCs w:val="24" /&gt;
          &lt;/w:rPr&gt;
        &lt;/w:style&gt;
        &lt;w:style w:type="character" w:customStyle="1" w:styleId="TblFootnoteChar"&gt;
          &lt;w:name w:val="Tbl Footnote Char" /&gt;
          &lt;w:link w:val="TblFootnote" /&gt;
          &lt;w:locked /&gt;
          &lt;w:rPr&gt;
            &lt;w:rFonts w:eastAsia="Times New Roman" /&gt;
            &lt;w:szCs w:val="24" /&gt;
          &lt;/w:rPr&gt;
        &lt;/w:style&gt;
        &lt;w:style w:type="paragraph" w:styleId="NormalWeb"&gt;
          &lt;w:name w:val="Normal (Web)" /&gt;
          &lt;w:basedOn w:val="Normal" /&gt;
          &lt;w:uiPriority w:val="99" /&gt;
          &lt;w:unhideWhenUsed /&gt;
          &lt;w:pPr&gt;
            &lt;w:spacing w:before="100" w:beforeAutospacing="1" w:after="100" w:afterAutospacing="1" w:line="240" w:lineRule="auto" /&gt;
          &lt;/w:pPr&gt;
          &lt;w:rPr&gt;
            &lt;w:rFonts w:eastAsia="Times New Roman" w:cs="Times New Roman" /&gt;
            &lt;w:szCs w:val="24" /&gt;
          &lt;/w:rPr&gt;
        &lt;/w:style&gt;
        &lt;w:style w:type="paragraph" w:customStyle="1" w:styleId="Blue"&gt;
          &lt;w:name w:val="Blue" /&gt;
          &lt;w:basedOn w:val="Normal" /&gt;
          &lt;w:pPr&gt;
            &lt;w:spacing w:before="14" w:after="144" w:line="300" w:lineRule="atLeast" /&gt;
          &lt;/w:pPr&gt;
          &lt;w:rPr&gt;
            &lt;w:rFonts w:eastAsia="MS Mincho" w:cs="Times New Roman" /&gt;
            &lt;w:color w:val="000000" /&gt;
            &lt;w:szCs w:val="20" /&gt;
          &lt;/w:rPr&gt;
        &lt;/w:style&gt;
        &lt;w:style w:type="character" w:customStyle="1" w:styleId="1"&gt;
          &lt;w:name w:val="コメント文字列 (文字)1" /&gt;
          &lt;w:basedOn w:val="DefaultParagraphFont" /&gt;
          &lt;w:uiPriority w:val="99" /&gt;
          &lt;w:locked /&gt;
        &lt;/w:style&gt;
        &lt;w:style w:type="paragraph" w:customStyle="1" w:styleId="GuideBullet"&gt;
          &lt;w:name w:val="GuideBullet" /&gt;
          &lt;w:pPr&gt;
            &lt;w:numPr&gt;
              &lt;w:numId w:val="5" /&gt;
            &lt;/w:numPr&gt;
            &lt;w:tabs&gt;
              &lt;w:tab w:val="left" w:pos="288" /&gt;
            &lt;/w:tabs&gt;
            &lt;w:spacing w:after="40" /&gt;
          &lt;/w:pPr&gt;
          &lt;w:rPr&gt;
            &lt;w:rFonts w:eastAsia="Times New Roman" /&gt;
            &lt;w:sz w:val="22" /&gt;
          &lt;/w:rPr&gt;
        &lt;/w:style&gt;
        &lt;w:style w:type="paragraph" w:customStyle="1" w:styleId="HiddenText"&gt;
          &lt;w:name w:val="Hidden Text" /&gt;
          &lt;w:basedOn w:val="Normal" /&gt;
          &lt;w:next w:val="Normal" /&gt;
          &lt;w:link w:val="HiddenTextChar" /&gt;
          &lt;w:pPr&gt;
            &lt;w:spacing w:after="240" w:line="240" w:lineRule="auto" /&gt;
          &lt;/w:pPr&gt;
          &lt;w:rPr&gt;
            &lt;w:rFonts w:eastAsia="Times New Roman" w:cs="Arial" /&gt;
            &lt;w:vanish /&gt;
            &lt;w:color w:val="FF0000" /&gt;
            &lt;w:szCs w:val="20" /&gt;
            &lt;w:lang w:val="en-GB" /&gt;
          &lt;/w:rPr&gt;
        &lt;/w:style&gt;
        &lt;w:style w:type="character" w:customStyle="1" w:styleId="HiddenTextChar"&gt;
          &lt;w:name w:val="Hidden Text Char" /&gt;
          &lt;w:basedOn w:val="DefaultParagraphFont" /&gt;
          &lt;w:link w:val="HiddenText" /&gt;
          &lt;w:rPr&gt;
            &lt;w:rFonts w:eastAsia="Times New Roman" w:cs="Arial" /&gt;
            &lt;w:vanish /&gt;
            &lt;w:color w:val="FF0000" /&gt;
            &lt;w:sz w:val="24" /&gt;
            &lt;w:lang w:val="en-GB"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w:styleId="NoNumHead2"&gt;
          &lt;w:name w:val="NoNum:Head2" /&gt;
          &lt;w:basedOn w:val="Normal" /&gt;
          &lt;w:next w:val="Normal" /&gt;
          &lt;w:pPr&gt;
            &lt;w:keepNext /&gt;
            &lt;w:spacing w:after="240" w:line="240" w:lineRule="auto" /&gt;
            &lt;w:outlineLvl w:val="0" /&gt;
          &lt;/w:pPr&gt;
          &lt;w:rPr&gt;
            &lt;w:rFonts w:ascii="Arial" w:eastAsia="Times New Roman" w:hAnsi="Arial" w:cs="Arial" /&gt;
            &lt;w:b /&gt;
            &lt;w:bCs /&gt;
            &lt;w:sz w:val="26" /&gt;
            &lt;w:szCs w:val="26"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w:styleId="GuideText"&gt;
          &lt;w:name w:val="GuideText" /&gt;
          &lt;w:pPr&gt;
            &lt;w:keepLines /&gt;
            &lt;w:spacing w:after="100" /&gt;
          &lt;/w:pPr&gt;
          &lt;w:rPr&gt;
            &lt;w:rFonts w:eastAsia="Times New Roman" /&gt;
            &lt;w:sz w:val="22" /&gt;
          &lt;/w:rPr&gt;
        &lt;/w:style&gt;
        &lt;w:style w:type="paragraph" w:customStyle="1" w:styleId="TableFootnote"&gt;
          &lt;w:name w:val="Table Footnote" /&gt;
          &lt;w:qFormat /&gt;
          &lt;w:pPr&gt;
            &lt;w:tabs&gt;
              &lt;w:tab w:val="left" w:pos="288" /&gt;
            &lt;/w:tabs&gt;
            &lt;w:ind w:left="288" w:hanging="288" /&gt;
          &lt;/w:pPr&gt;
          &lt;w:rPr&gt;
            &lt;w:rFonts w:eastAsia="Times New Roman" /&gt;
          &lt;/w:rPr&gt;
        &lt;/w:style&gt;
        &lt;w:style w:type="paragraph" w:customStyle="1" w:styleId="tableref"&gt;
          &lt;w:name w:val="table:ref" /&gt;
          &lt;w:basedOn w:val="Normal" /&gt;
          &lt;w:link w:val="tablerefChar" /&gt;
          &lt;w:pPr&gt;
            &lt;w:tabs&gt;
              &lt;w:tab w:val="left" w:pos="360" /&gt;
            &lt;/w:tabs&gt;
            &lt;w:spacing w:after="0" w:line="240" w:lineRule="auto" /&gt;
            &lt;w:ind w:left="360" w:hanging="360" /&gt;
          &lt;/w:pPr&gt;
          &lt;w:rPr&gt;
            &lt;w:rFonts w:ascii="Arial Narrow" w:eastAsia="Times New Roman" w:hAnsi="Arial Narrow" w:cs="Arial Narrow" /&gt;
            &lt;w:sz w:val="20" /&gt;
            &lt;w:szCs w:val="20" /&gt;
            &lt;w:lang w:val="en-GB" /&gt;
          &lt;/w:rPr&gt;
        &lt;/w:style&gt;
        &lt;w:style w:type="character" w:customStyle="1" w:styleId="tablerefChar"&gt;
          &lt;w:name w:val="table:ref Char" /&gt;
          &lt;w:basedOn w:val="DefaultParagraphFont" /&gt;
          &lt;w:link w:val="tableref" /&gt;
          &lt;w:rPr&gt;
            &lt;w:rFonts w:ascii="Arial Narrow" w:eastAsia="Times New Roman" w:hAnsi="Arial Narrow" w:cs="Arial Narrow"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&lt;w:qFormat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w:styleId="Greeninstructionpara"&gt;
          &lt;w:name w:val="Green instruction para" /&gt;
          &lt;w:basedOn w:val="Normal" /&gt;
          &lt;w:link w:val="GreeninstructionparaChar" /&gt;
          &lt;w:qFormat /&gt;
          &lt;w:pPr&gt;
            &lt;w:spacing w:line="280" w:lineRule="exact" /&gt;
          &lt;/w:pPr&gt;
          &lt;w:rPr&gt;
            &lt;w:rFonts w:ascii="Arial" w:eastAsia="SimSun" w:hAnsi="Arial" w:cs="Times New Roman" /&gt;
            &lt;w:b /&gt;
            &lt;w:i /&gt;
            &lt;w:color w:val="008000" /&gt;
            &lt;w:sz w:val="20" /&gt;
            &lt;w:szCs w:val="20" /&gt;
            &lt;w:lang w:eastAsia="zh-CN" /&gt;
          &lt;/w:rPr&gt;
        &lt;/w:style&gt;
        &lt;w:style w:type="character" w:customStyle="1" w:styleId="GreeninstructionparaChar"&gt;
          &lt;w:name w:val="Green instruction para Char" /&gt;
          &lt;w:link w:val="Greeninstructionpara" /&gt;
          &lt;w:rPr&gt;
            &lt;w:rFonts w:ascii="Arial" w:eastAsia="SimSun" w:hAnsi="Arial" /&gt;
            &lt;w:b /&gt;
            &lt;w:i /&gt;
            &lt;w:color w:val="008000" /&gt;
            &lt;w:lang w:eastAsia="zh-CN" /&gt;
          &lt;/w:rPr&gt;
        &lt;/w:style&gt;
        &lt;w:style w:type="paragraph" w:customStyle="1" w:styleId="listnum"&gt;
          &lt;w:name w:val="list:num" /&gt;
          &lt;w:basedOn w:val="listalpha" /&gt;
          &lt;w:link w:val="listnumChar" /&gt;
          &lt;w:pPr&gt;
            &lt;w:numPr&gt;
              &lt;w:numId w:val="8" /&gt;
            &lt;/w:numPr&gt;
          &lt;/w:pPr&gt;
        &lt;/w:style&gt;
        &lt;w:style w:type="character" w:customStyle="1" w:styleId="listnumChar"&gt;
          &lt;w:name w:val="list:num Char" /&gt;
          &lt;w:basedOn w:val="DefaultParagraphFont" /&gt;
          &lt;w:link w:val="listnum" /&gt;
          &lt;w:locked /&gt;
          &lt;w:rPr&gt;
            &lt;w:rFonts w:eastAsia="Times New Roman" /&gt;
            &lt;w:sz w:val="24" /&gt;
            &lt;w:szCs w:val="24" /&gt;
            &lt;w:lang w:val="en-GB" /&gt;
          &lt;/w:rPr&gt;
        &lt;/w:style&gt;
        &lt;w:style w:type="paragraph" w:customStyle="1" w:styleId="Paragraph"&gt;
          &lt;w:name w:val="Paragraph" /&gt;
          &lt;w:link w:val="ParagraphChar" /&gt;
          &lt;w:pPr&gt;
            &lt;w:spacing w:after="240" w:line="360" w:lineRule="exact" /&gt;
          &lt;/w:pPr&gt;
          &lt;w:rPr&gt;
            &lt;w:sz w:val="24" /&gt;
            &lt;w:szCs w:val="24" /&gt;
            &lt;w:lang w:eastAsia="ja-JP" /&gt;
          &lt;/w:rPr&gt;
        &lt;/w:style&gt;
        &lt;w:style w:type="character" w:customStyle="1" w:styleId="ParagraphChar"&gt;
          &lt;w:name w:val="Paragraph Char" /&gt;
          &lt;w:link w:val="Paragraph" /&gt;
          &lt;w:rPr&gt;
            &lt;w:sz w:val="24" /&gt;
            &lt;w:szCs w:val="24" /&gt;
            &lt;w:lang w:eastAsia="ja-JP" /&gt;
          &lt;/w:rPr&gt;
        &lt;/w:style&gt;
        &lt;w:style w:type="paragraph" w:customStyle="1" w:styleId="BodyText12"&gt;
          &lt;w:name w:val="Body Text 12" /&gt;
          &lt;w:qFormat /&gt;
          &lt;w:pPr&gt;
            &lt;w:spacing w:after="240" w:line="264" w:lineRule="auto" /&gt;
            &lt;w:jc w:val="both" /&gt;
          &lt;/w:pPr&gt;
          &lt;w:rPr&gt;
            &lt;w:rFonts w:eastAsia="Times New Roman" /&gt;
            &lt;w:sz w:val="24" /&gt;
          &lt;/w:rPr&gt;
        &lt;/w:style&gt;
        &lt;w:style w:type="paragraph" w:customStyle="1" w:styleId="GuideDash"&gt;
          &lt;w:name w:val="GuideDash" /&gt;
          &lt;w:pPr&gt;
            &lt;w:tabs&gt;
              &lt;w:tab w:val="left" w:pos="576" /&gt;
            &lt;/w:tabs&gt;
            &lt;w:spacing w:after="40" /&gt;
          &lt;/w:pPr&gt;
          &lt;w:rPr&gt;
            &lt;w:rFonts w:eastAsia="Times New Roman" /&gt;
            &lt;w:sz w:val="22" /&gt;
          &lt;/w:rPr&gt;
        &lt;/w:style&gt;
        &lt;w:style w:type="paragraph" w:customStyle="1" w:styleId="ParagraphList"&gt;
          &lt;w:name w:val="Paragraph List" /&gt;
          &lt;w:basedOn w:val="Paragraph" /&gt;
          &lt;w:next w:val="Paragraph" /&gt;
          &lt;w:link w:val="ParagraphListChar" /&gt;
          &lt;w:pPr&gt;
            &lt;w:keepNext /&gt;
            &lt;w:spacing w:after="100" w:line="300" w:lineRule="atLeast" /&gt;
          &lt;/w:pPr&gt;
          &lt;w:rPr&gt;
            &lt;w:rFonts w:ascii="Arial" w:eastAsia="SimSun" w:hAnsi="Arial" /&gt;
            &lt;w:lang w:eastAsia="zh-CN" /&gt;
          &lt;/w:rPr&gt;
        &lt;/w:style&gt;
        &lt;w:style w:type="character" w:customStyle="1" w:styleId="ParagraphListChar"&gt;
          &lt;w:name w:val="Paragraph List Char" /&gt;
          &lt;w:basedOn w:val="ParagraphChar" /&gt;
          &lt;w:link w:val="ParagraphList" /&gt;
          &lt;w:rPr&gt;
            &lt;w:rFonts w:ascii="Arial" w:eastAsia="SimSun" w:hAnsi="Arial" /&gt;
            &lt;w:sz w:val="24" /&gt;
            &lt;w:szCs w:val="24" /&gt;
            &lt;w:lang w:eastAsia="zh-CN" /&gt;
          &lt;/w:rPr&gt;
        &lt;/w:style&gt;
        &lt;w:style w:type="paragraph" w:customStyle="1" w:styleId="Bullet12-1"&gt;
          &lt;w:name w:val="Bullet 12-1" /&gt;
          &lt;w:qFormat /&gt;
          &lt;w:pPr&gt;
            &lt;w:numPr&gt;
              &lt;w:numId w:val="9" /&gt;
            &lt;/w:numPr&gt;
            &lt;w:spacing w:after="120" /&gt;
            &lt;w:jc w:val="both" /&gt;
          &lt;/w:pPr&gt;
          &lt;w:rPr&gt;
            &lt;w:rFonts w:eastAsia="Times New Roman" /&gt;
            &lt;w:sz w:val="24"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w:styleId="SubheadingBold12"&gt;
          &lt;w:name w:val="Subheading Bold 12" /&gt;
          &lt;w:next w:val="BodyText12" /&gt;
          &lt;w:qFormat /&gt;
          &lt;w:pPr&gt;
            &lt;w:keepNext /&gt;
            &lt;w:keepLines /&gt;
            &lt;w:spacing w:before="240" w:after="120" /&gt;
          &lt;/w:pPr&gt;
          &lt;w:rPr&gt;
            &lt;w:rFonts w:eastAsia="Times New Roman" /&gt;
            &lt;w:b /&gt;
            &lt;w:sz w:val="24" /&gt;
          &lt;/w:rPr&gt;
        &lt;/w:style&gt;
        &lt;w:style w:type="character" w:customStyle="1" w:styleId="Greenheadingembedded"&gt;
          &lt;w:name w:val="Green heading embedded" /&gt;
          &lt;w:qFormat /&gt;
          &lt;w:rPr&gt;
            &lt;w:rFonts w:ascii="Arial" w:hAnsi="Arial" /&gt;
            &lt;w:b w:val="0" /&gt;
            &lt;w:i /&gt;
            &lt;w:color w:val="008000" /&gt;
            &lt;w:sz w:val="20" /&gt;
            &lt;w:u w:val="none" /&gt;
            &lt;w:lang w:eastAsia="zh-CN" /&gt;
          &lt;/w:rPr&gt;
        &lt;/w:style&gt;
        &lt;w:style w:type="character" w:customStyle="1" w:styleId="Greentextembedded"&gt;
          &lt;w:name w:val="Green text embedded" /&gt;
          &lt;w:qFormat /&gt;
          &lt;w:rPr&gt;
            &lt;w:rFonts w:ascii="Arial" w:hAnsi="Arial" /&gt;
            &lt;w:b /&gt;
            &lt;w:i /&gt;
            &lt;w:color w:val="008000" /&gt;
            &lt;w:sz w:val="20" /&gt;
            &lt;w:u w:val="none" /&gt;
            &lt;w:lang w:eastAsia="zh-CN"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w:styleId="Greenbulletinstructions"&gt;
          &lt;w:name w:val="Green bullet instructions" /&gt;
          &lt;w:basedOn w:val="Greeninstructionpara" /&gt;
          &lt;w:link w:val="GreenbulletinstructionsChar" /&gt;
          &lt;w:qFormat /&gt;
          &lt;w:pPr&gt;
            &lt;w:numPr&gt;
              &lt;w:numId w:val="12" /&gt;
            &lt;/w:numPr&gt;
            &lt;w:spacing w:line="240" w:lineRule="exact" /&gt;
          &lt;/w:pPr&gt;
        &lt;/w:style&gt;
        &lt;w:style w:type="character" w:customStyle="1" w:styleId="GreenbulletinstructionsChar"&gt;
          &lt;w:name w:val="Green bullet instructions Char" /&gt;
          &lt;w:basedOn w:val="GreeninstructionparaChar" /&gt;
          &lt;w:link w:val="Greenbulletinstructions" /&gt;
          &lt;w:rPr&gt;
            &lt;w:rFonts w:ascii="Arial" w:eastAsia="SimSun" w:hAnsi="Arial" /&gt;
            &lt;w:b /&gt;
            &lt;w:i /&gt;
            &lt;w:color w:val="008000" /&gt;
            &lt;w:lang w:eastAsia="zh-CN" /&gt;
          &lt;/w:rPr&gt;
        &lt;/w:style&gt;
        &lt;w:style w:type="paragraph" w:customStyle="1" w:styleId="Heading0"&gt;
          &lt;w:name w:val="Heading 0" /&gt;
          &lt;w:next w:val="Normal" /&gt;
          &lt;w:qFormat /&gt;
          &lt;w:pPr&gt;
            &lt;w:keepNext /&gt;
            &lt;w:keepLines /&gt;
            &lt;w:spacing w:before="240" w:after="120" /&gt;
            &lt;w:outlineLvl w:val="0" /&gt;
          &lt;/w:pPr&gt;
          &lt;w:rPr&gt;
            &lt;w:rFonts w:ascii="Arial" w:eastAsia="Times New Roman" w:hAnsi="Arial" /&gt;
            &lt;w:b /&gt;
            &lt;w:caps /&gt;
            &lt;w:sz w:val="24" /&gt;
          &lt;/w:rPr&gt;
        &lt;/w:style&gt;
        &lt;w:style w:type="paragraph" w:customStyle="1" w:styleId="Basic12"&gt;
          &lt;w:name w:val="Basic 12" /&gt;
          &lt;w:qFormat /&gt;
          &lt;w:rPr&gt;
            &lt;w:rFonts w:eastAsia="Times New Roman" /&gt;
            &lt;w:sz w:val="24" /&gt;
          &lt;/w:rPr&gt;
        &lt;/w:style&gt;
        &lt;w:style w:type="paragraph" w:customStyle="1" w:styleId="TableLeft"&gt;
          &lt;w:name w:val="Table Left" /&gt;
          &lt;w:pPr&gt;
            &lt;w:keepNext /&gt;
            &lt;w:keepLines /&gt;
            &lt;w:tabs&gt;
              &lt;w:tab w:val="left" w:pos="360" /&gt;
            &lt;/w:tabs&gt;
            &lt;w:spacing w:before="40" w:after="40" w:line="240" w:lineRule="exact" /&gt;
          &lt;/w:pPr&gt;
          &lt;w:rPr&gt;
            &lt;w:lang w:eastAsia="ja-JP" /&gt;
          &lt;/w:rPr&gt;
        &lt;/w:style&gt;
        &lt;w:style w:type="paragraph" w:customStyle="1" w:styleId="TableNote"&gt;
          &lt;w:name w:val="Table Note" /&gt;
          &lt;w:basedOn w:val="Normal" /&gt;
          &lt;w:next w:val="BodyText" /&gt;
          &lt;w:link w:val="TableNoteChar1" /&gt;
          &lt;w:pPr&gt;
            &lt;w:keepLines /&gt;
            &lt;w:tabs&gt;
              &lt;w:tab w:val="left" w:pos="360" /&gt;
            &lt;/w:tabs&gt;
            &lt;w:spacing w:before="20" w:after="20" w:line="240" w:lineRule="auto" /&gt;
            &lt;w:ind w:left="360" w:hanging="360" /&gt;
          &lt;/w:pPr&gt;
          &lt;w:rPr&gt;
            &lt;w:rFonts w:eastAsia="Times New Roman" w:cs="Times New Roman" /&gt;
            &lt;w:sz w:val="18" /&gt;
            &lt;w:szCs w:val="20" /&gt;
          &lt;/w:rPr&gt;
        &lt;/w:style&gt;
        &lt;w:style w:type="character" w:customStyle="1" w:styleId="TableNoteChar1"&gt;
          &lt;w:name w:val="Table Note Char1" /&gt;
          &lt;w:link w:val="TableNote" /&gt;
          &lt;w:rPr&gt;
            &lt;w:rFonts w:eastAsia="Times New Roman" /&gt;
            &lt;w:sz w:val="18" /&gt;
          &lt;/w:rPr&gt;
        &lt;/w:style&gt;
        &lt;w:style w:type="paragraph" w:customStyle="1" w:styleId="AppTitle"&gt;
          &lt;w:name w:val="App Title" /&gt;
          &lt;w:basedOn w:val="Normal" /&gt;
          &lt;w:next w:val="Paragraph" /&gt;
          &lt;w:link w:val="AppTitleChar" /&gt;
          &lt;w:pPr&gt;
            &lt;w:keepNext /&gt;
            &lt;w:keepLines /&gt;
            &lt;w:pageBreakBefore /&gt;
            &lt;w:spacing w:line="280" w:lineRule="exact" /&gt;
            &lt;w:jc w:val="center" /&gt;
          &lt;/w:pPr&gt;
          &lt;w:rPr&gt;
            &lt;w:rFonts w:ascii="Arial" w:eastAsia="SimSun" w:hAnsi="Arial" w:cs="Times New Roman" /&gt;
            &lt;w:b /&gt;
            &lt;w:sz w:val="28" /&gt;
            &lt;w:szCs w:val="24" /&gt;
            &lt;w:lang w:eastAsia="zh-CN" /&gt;
          &lt;/w:rPr&gt;
        &lt;/w:style&gt;
        &lt;w:style w:type="character" w:customStyle="1" w:styleId="AppTitleChar"&gt;
          &lt;w:name w:val="App Title Char" /&gt;
          &lt;w:link w:val="AppTitle" /&gt;
          &lt;w:rPr&gt;
            &lt;w:rFonts w:ascii="Arial" w:eastAsia="SimSun" w:hAnsi="Arial" /&gt;
            &lt;w:b /&gt;
            &lt;w:sz w:val="28" /&gt;
            &lt;w:szCs w:val="24" /&gt;
            &lt;w:lang w:eastAsia="zh-CN" /&gt;
          &lt;/w:rPr&gt;
        &lt;/w:style&gt;
        &lt;w:style w:type="paragraph" w:customStyle="1" w:styleId="TableCellLeft"&gt;
          &lt;w:name w:val="Table Cell Left" /&gt;
          &lt;w:basedOn w:val="Paragraph" /&gt;
          &lt;w:link w:val="TableCellLeftChar" /&gt;
          &lt;w:pPr&gt;
            &lt;w:keepNext /&gt;
            &lt;w:keepLines /&gt;
            &lt;w:spacing w:before="50" w:after="50" w:line="240" w:lineRule="exact" /&gt;
          &lt;/w:pPr&gt;
          &lt;w:rPr&gt;
            &lt;w:rFonts w:ascii="Arial" w:eastAsia="Times New Roman" w:hAnsi="Arial" /&gt;
            &lt;w:sz w:val="20" /&gt;
            &lt;w:szCs w:val="20" /&gt;
            &lt;w:lang w:eastAsia="en-US" /&gt;
          &lt;/w:rPr&gt;
        &lt;/w:style&gt;
        &lt;w:style w:type="character" w:customStyle="1" w:styleId="TableCellLeftChar"&gt;
          &lt;w:name w:val="Table Cell Left Char" /&gt;
          &lt;w:link w:val="TableCellLeft" /&gt;
          &lt;w:rPr&gt;
            &lt;w:rFonts w:ascii="Arial" w:eastAsia="Times New Roman" w:hAnsi="Arial" /&gt;
          &lt;/w:rPr&gt;
        &lt;/w:style&gt;
        &lt;w:style w:type="paragraph" w:customStyle="1" w:styleId="TableCellCenter"&gt;
          &lt;w:name w:val="Table Cell Center" /&gt;
          &lt;w:basedOn w:val="Paragraph" /&gt;
          &lt;w:link w:val="TableCellCenterChar" /&gt;
          &lt;w:pPr&gt;
            &lt;w:keepNext /&gt;
            &lt;w:keepLines /&gt;
            &lt;w:spacing w:before="50" w:after="50" w:line="240" w:lineRule="exact" /&gt;
            &lt;w:jc w:val="center" /&gt;
          &lt;/w:pPr&gt;
          &lt;w:rPr&gt;
            &lt;w:rFonts w:ascii="Arial" w:eastAsia="Times New Roman" w:hAnsi="Arial" /&gt;
            &lt;w:sz w:val="20" /&gt;
            &lt;w:szCs w:val="20" /&gt;
            &lt;w:lang w:eastAsia="en-US" /&gt;
          &lt;/w:rPr&gt;
        &lt;/w:style&gt;
        &lt;w:style w:type="character" w:customStyle="1" w:styleId="TableCellCenterChar"&gt;
          &lt;w:name w:val="Table Cell Center Char" /&gt;
          &lt;w:link w:val="TableCellCenter" /&gt;
          &lt;w:rPr&gt;
            &lt;w:rFonts w:ascii="Arial" w:eastAsia="Times New Roman" w:hAnsi="Arial" /&gt;
          &lt;/w:rPr&gt;
        &lt;/w:style&gt;
        &lt;w:style w:type="paragraph" w:customStyle="1" w:styleId="TableFooter"&gt;
          &lt;w:name w:val="Table Footer" /&gt;
          &lt;w:basedOn w:val="TableNote" /&gt;
          &lt;w:link w:val="TableFooterChar" /&gt;
          &lt;w:pPr&gt;
            &lt;w:keepNext /&gt;
            &lt;w:tabs&gt;
              &lt;w:tab w:val="clear" w:pos="360" /&gt;
            &lt;/w:tabs&gt;
            &lt;w:spacing w:before="40" w:after="0" w:line="240" w:lineRule="exact" /&gt;
            &lt;w:ind w:left="245" w:hanging="216" /&gt;
          &lt;/w:pPr&gt;
          &lt;w:rPr&gt;
            &lt;w:rFonts w:ascii="Arial" w:hAnsi="Arial" /&gt;
            &lt;w:sz w:val="20" /&gt;
          &lt;/w:rPr&gt;
        &lt;/w:style&gt;
        &lt;w:style w:type="character" w:customStyle="1" w:styleId="TableFooterChar"&gt;
          &lt;w:name w:val="Table Footer Char" /&gt;
          &lt;w:link w:val="TableFooter" /&gt;
          &lt;w:rPr&gt;
            &lt;w:rFonts w:ascii="Arial" w:eastAsia="Times New Roman" w:hAnsi="Arial" /&gt;
          &lt;/w:rPr&gt;
        &lt;/w:style&gt;
        &lt;w:style w:type="paragraph" w:customStyle="1" w:styleId="tablecellcenter0"&gt;
          &lt;w:name w:val="tablecellcenter" /&gt;
          &lt;w:basedOn w:val="Normal" /&gt;
          &lt;w:pPr&gt;
            &lt;w:spacing w:before="100" w:beforeAutospacing="1" w:after="100" w:afterAutospacing="1" w:line="240" w:lineRule="auto" /&gt;
          &lt;/w:pPr&gt;
          &lt;w:rPr&gt;
            &lt;w:rFonts w:eastAsia="Times New Roman" w:cs="Times New Roman" /&gt;
            &lt;w:szCs w:val="24" /&gt;
          &lt;/w:rPr&gt;
        &lt;/w:style&gt;
        &lt;w:style w:type="paragraph" w:customStyle="1" w:styleId="Numbered11-1"&gt;
          &lt;w:name w:val="Numbered 11-1" /&gt;
          &lt;w:qFormat /&gt;
          &lt;w:pPr&gt;
            &lt;w:numPr&gt;
              &lt;w:numId w:val="13" /&gt;
            &lt;/w:numPr&gt;
            &lt;w:spacing w:after="120" /&gt;
            &lt;w:jc w:val="both" /&gt;
          &lt;/w:pPr&gt;
          &lt;w:rPr&gt;
            &lt;w:rFonts w:eastAsia="Times New Roman" /&gt;
            &lt;w:sz w:val="22"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w:styleId="NarrativeText"&gt;
          &lt;w:name w:val="NarrativeText" /&gt;
          &lt;w:pPr&gt;
            &lt;w:spacing w:after="200" /&gt;
            &lt;w:jc w:val="both" /&gt;
          &lt;/w:pPr&gt;
          &lt;w:rPr&gt;
            &lt;w:rFonts w:eastAsia="Times New Roman" /&gt;
            &lt;w:sz w:val="24" /&gt;
          &lt;/w:rPr&gt;
        &lt;/w:style&gt;
        &lt;w:style w:type="paragraph" w:customStyle="1" w:styleId="Blank"&gt;
          &lt;w:name w:val="Blank" /&gt;
          &lt;w:rPr&gt;
            &lt;w:rFonts w:eastAsia="Times New Roman" /&gt;
          &lt;/w:rPr&gt;
        &lt;/w:style&gt;
        &lt;w:style w:type="paragraph" w:customStyle="1" w:styleId="apphead1"&gt;
          &lt;w:name w:val="app:head1" /&gt;
          &lt;w:basedOn w:val="Heading1" /&gt;
          &lt;w:next w:val="Normal" /&gt;
          &lt;w:pPr&gt;
            &lt;w:pageBreakBefore w:val="0" /&gt;
            &lt;w:numPr&gt;
              &lt;w:numId w:val="0" /&gt;
            &lt;/w:numPr&gt;
            &lt;w:tabs&gt;
              &lt;w:tab w:val="left" w:pos="2160" /&gt;
            &lt;/w:tabs&gt;
            &lt;w:adjustRightInd /&gt;
            &lt;w:snapToGrid /&gt;
            &lt;w:spacing w:before="120" w:after="240" /&gt;
            &lt;w:ind w:left="2160" w:hanging="2160" /&gt;
            &lt;w:textAlignment w:val="auto" /&gt;
            &lt;w:outlineLvl w:val="9" /&gt;
          &lt;/w:pPr&gt;
          &lt;w:rPr&gt;
            &lt;w:rFonts w:eastAsia="Times New Roman" w:cs="Arial" /&gt;
            &lt;w:bCs /&gt;
            &lt;w:caps /&gt;
            &lt;w:szCs w:val="28" /&gt;
            &lt;w:lang w:val="en-GB" w:eastAsia="en-US"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w:styleId="TableCell10Left"&gt;
          &lt;w:name w:val="Table Cell 10 Left" /&gt;
          &lt;w:basedOn w:val="Normal" /&gt;
          &lt;w:pPr&gt;
            &lt;w:keepNext /&gt;
            &lt;w:keepLines /&gt;
            &lt;w:spacing w:before="50" w:after="50" w:line="240" w:lineRule="exact" /&gt;
          &lt;/w:pPr&gt;
          &lt;w:rPr&gt;
            &lt;w:rFonts w:ascii="Arial" w:eastAsia="SimSun" w:hAnsi="Arial" w:cs="Times New Roman" /&gt;
            &lt;w:sz w:val="20" /&gt;
            &lt;w:szCs w:val="24" /&gt;
            &lt;w:lang w:eastAsia="zh-CN" /&gt;
          &lt;/w:rPr&gt;
        &lt;/w:style&gt;
        &lt;w:style w:type="paragraph" w:customStyle="1" w:styleId="ListText"&gt;
          &lt;w:name w:val="List Text" /&gt;
          &lt;w:basedOn w:val="Normal" /&gt;
          &lt;w:pPr&gt;
            &lt;w:spacing w:after="100" /&gt;
            &lt;w:ind w:left="432" /&gt;
          &lt;/w:pPr&gt;
          &lt;w:rPr&gt;
            &lt;w:rFonts w:ascii="Arial" w:eastAsia="SimSun" w:hAnsi="Arial" w:cs="Times New Roman" /&gt;
            &lt;w:szCs w:val="24" /&gt;
            &lt;w:lang w:eastAsia="zh-CN" /&gt;
          &lt;/w:rPr&gt;
        &lt;/w:style&gt;
        &lt;w:style w:type="paragraph" w:styleId="BlockText"&gt;
          &lt;w:name w:val="Block Text" /&gt;
          &lt;w:basedOn w:val="Normal" /&gt;
          &lt;w:unhideWhenUsed /&gt;
          &lt;w:qFormat /&gt;
          &lt;w:pPr&gt;
            &lt;w:spacing w:after="0" w:line="240" w:lineRule="auto" /&gt;
          &lt;/w:pPr&gt;
          &lt;w:rPr&gt;
            &lt;w:rFonts w:eastAsia="Times New Roman" w:cs="Times New Roman" /&gt;
            &lt;w:color w:val="000000" /&gt;
            &lt;w:szCs w:val="24" /&gt;
          &lt;/w:rPr&gt;
        &lt;/w:style&gt;
        &lt;w:style w:type="paragraph" w:customStyle="1" w:styleId="BulletText1"&gt;
          &lt;w:name w:val="Bullet Text 1" /&gt;
          &lt;w:basedOn w:val="Normal" /&gt;
          &lt;w:qFormat /&gt;
          &lt;w:pPr&gt;
            &lt;w:numPr&gt;
              &lt;w:numId w:val="17" /&gt;
            &lt;/w:numPr&gt;
            &lt;w:spacing w:after="0" w:line="240" w:lineRule="auto" /&gt;
          &lt;/w:pPr&gt;
          &lt;w:rPr&gt;
            &lt;w:rFonts w:eastAsia="Times New Roman" w:cs="Times New Roman" /&gt;
            &lt;w:color w:val="000000" /&gt;
            &lt;w:szCs w:val="20"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&lt;w:qFormat /&gt;
          &lt;w:rPr&gt;
            &lt;w:rFonts w:cs="Arial" /&gt;
            &lt;w:vanish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w:styleId="Heading1non-numbered"&gt;
          &lt;w:name w:val="Heading 1 (non-numbered)" /&gt;
          &lt;w:basedOn w:val="Heading1" /&gt;
          &lt;w:qFormat /&gt;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w:type="character" w:customStyle="1" w:styleId="apple-converted-space"&gt;
          &lt;w:name w:val="apple-converted-space" /&gt;
          &lt;w:basedOn w:val="DefaultParagraphFont" /&gt;
        &lt;/w:style&gt;
        &lt;w:style w:type="paragraph" w:customStyle="1" w:styleId="CPTExample"&gt;
          &lt;w:name w:val="CPT_Example" /&gt;
          &lt;w:basedOn w:val="Normal" /&gt;
          &lt;w:rPr&gt;
            &lt;w:rFonts w:ascii="Arial" w:eastAsia="Times New Roman" w:hAnsi="Arial" w:cs="Times New Roman" /&gt;
            &lt;w:i /&gt;
            &lt;w:color w:val="00B050" /&gt;
            &lt;w:sz w:val="20" /&gt;
            &lt;w:szCs w:val="20" /&gt;
          &lt;/w:rPr&gt;
        &lt;/w:style&gt;
        &lt;w:style w:type="character" w:customStyle="1" w:styleId="Instructions"&gt;
          &lt;w:name w:val="Instructions" /&gt;
          &lt;w:rPr&gt;
            &lt;w:i /&gt;
            &lt;w:iCs /&gt;
            &lt;w:color w:val="008000" /&gt;
          &lt;/w:rPr&gt;
        &lt;/w:style&gt;
        &lt;w:style w:type="paragraph" w:customStyle="1" w:styleId="paragraph0"&gt;
          &lt;w:name w:val="paragraph" /&gt;
          &lt;w:basedOn w:val="Normal" /&gt;
          &lt;w:pPr&gt;
            &lt;w:spacing w:before="0" w:after="0" w:line="240" w:lineRule="auto" /&gt;
          &lt;/w:pPr&gt;
          &lt;w:rPr&gt;
            &lt;w:rFonts w:eastAsia="Times New Roman" w:cs="Times New Roman" /&gt;
            &lt;w:szCs w:val="24" /&gt;
          &lt;/w:rPr&gt;
        &lt;/w:style&gt;
        &lt;w:style w:type="character" w:customStyle="1" w:styleId="normaltextrun"&gt;
          &lt;w:name w:val="normaltextrun" /&gt;
          &lt;w:basedOn w:val="DefaultParagraphFont" /&gt;
        &lt;/w:style&gt;
        &lt;w:style w:type="character" w:customStyle="1" w:styleId="eop"&gt;
          &lt;w:name w:val="eop" /&gt;
          &lt;w:basedOn w:val="DefaultParagraphFont" /&gt;
        &lt;/w:style&gt;
        &lt;w:style w:type="character" w:customStyle="1" w:styleId="spellingerror"&gt;
          &lt;w:name w:val="spellingerror" /&gt;
          &lt;w:basedOn w:val="DefaultParagraphFont" /&gt;
        &lt;/w:style&gt;
        &lt;w:style w:type="paragraph" w:customStyle="1" w:styleId="paragraph1"&gt;
          &lt;w:name w:val="paragraph1" /&gt;
          &lt;w:basedOn w:val="Normal" /&gt;
          &lt;w:pPr&gt;
            &lt;w:spacing w:before="0" w:after="0" w:line="240" w:lineRule="auto" /&gt;
          &lt;/w:pPr&gt;
          &lt;w:rPr&gt;
            &lt;w:rFonts w:eastAsia="Times New Roman" w:cs="Times New Roman" /&gt;
            &lt;w:szCs w:val="24" /&gt;
          &lt;/w:rPr&gt;
        &lt;/w:style&gt;
        &lt;w:style w:type="numbering" w:styleId="111111"&gt;
          &lt;w:name w:val="Outline List 2" /&gt;
          &lt;w:basedOn w:val="NoList" /&gt;
          &lt;w:semiHidden /&gt;
          &lt;w:unhideWhenUsed /&gt;
          &lt;w:pPr&gt;
            &lt;w:numPr&gt;
              &lt;w:numId w:val="76" /&gt;
            &lt;/w:numPr&gt;
          &lt;/w:pPr&gt;
        &lt;/w:style&gt;
        &lt;w:style w:type="numbering" w:styleId="1ai"&gt;
          &lt;w:name w:val="Outline List 1" /&gt;
          &lt;w:basedOn w:val="NoList" /&gt;
          &lt;w:semiHidden /&gt;
          &lt;w:unhideWhenUsed /&gt;
          &lt;w:pPr&gt;
            &lt;w:numPr&gt;
              &lt;w:numId w:val="77" /&gt;
            &lt;/w:numPr&gt;
          &lt;/w:pPr&gt;
        &lt;/w:style&gt;
        &lt;w:style w:type="numbering" w:styleId="ArticleSection"&gt;
          &lt;w:name w:val="Outline List 3" /&gt;
          &lt;w:basedOn w:val="NoList" /&gt;
          &lt;w:semiHidden /&gt;
          &lt;w:unhideWhenUsed /&gt;
          &lt;w:pPr&gt;
            &lt;w:numPr&gt;
              &lt;w:numId w:val="78"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w:styleId="BodyTextFirstIndent"&gt;
          &lt;w:name w:val="Body Text First Indent" /&gt;
          &lt;w:basedOn w:val="BodyText" /&gt;
          &lt;w:link w:val="BodyTextFirstIndentChar" /&gt;
          &lt;w:pPr&gt;
            &lt;w:spacing w:before="120" w:line="280" w:lineRule="atLeast" /&gt;
            &lt;w:ind w:firstLine="360" /&gt;
          &lt;/w:pPr&gt;
          &lt;w:rPr&gt;
            &lt;w:rFonts w:eastAsia="Calibri" w:cs="Cordia New" /&gt;
            &lt;w:szCs w:val="22" /&gt;
          &lt;/w:rPr&gt;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w:type="character" w:styleId="IntenseEmphasis"&gt;
          &lt;w:name w:val="Intense Emphasis" /&gt;
          &lt;w:basedOn w:val="DefaultParagraphFont" /&gt;
          &lt;w:uiPriority w:val="21" /&gt;
          &lt;w:qFormat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&lt;w:qFormat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&lt;w:qFormat /&gt;
          &lt;w:rPr&gt;
            &lt;w:b /&gt;
            &lt;w:bCs /&gt;
            &lt;w:smallCaps /&gt;
            &lt;w:color w:val="C0504D" w:themeColor="accent2" /&gt;
            &lt;w:spacing w:val="5" /&gt;
            &lt;w:u w:val="single"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w:styleId="ListBullet2"&gt;
          &lt;w:name w:val="List Bullet 2" /&gt;
          &lt;w:basedOn w:val="Normal" /&gt;
          &lt;w:semiHidden /&gt;
          &lt;w:unhideWhenUsed /&gt;
          &lt;w:pPr&gt;
            &lt;w:numPr&gt;
              &lt;w:numId w:val="79" /&gt;
            &lt;/w:numPr&gt;
            &lt;w:contextualSpacing /&gt;
          &lt;/w:pPr&gt;
        &lt;/w:style&gt;
        &lt;w:style w:type="paragraph" w:styleId="ListBullet3"&gt;
          &lt;w:name w:val="List Bullet 3" /&gt;
          &lt;w:basedOn w:val="Normal" /&gt;
          &lt;w:semiHidden /&gt;
          &lt;w:unhideWhenUsed /&gt;
          &lt;w:pPr&gt;
            &lt;w:numPr&gt;
              &lt;w:numId w:val="80" /&gt;
            &lt;/w:numPr&gt;
            &lt;w:contextualSpacing /&gt;
          &lt;/w:pPr&gt;
        &lt;/w:style&gt;
        &lt;w:style w:type="paragraph" w:styleId="ListBullet4"&gt;
          &lt;w:name w:val="List Bullet 4" /&gt;
          &lt;w:basedOn w:val="Normal" /&gt;
          &lt;w:semiHidden /&gt;
          &lt;w:unhideWhenUsed /&gt;
          &lt;w:pPr&gt;
            &lt;w:numPr&gt;
              &lt;w:numId w:val="81" /&gt;
            &lt;/w:numPr&gt;
            &lt;w:contextualSpacing /&gt;
          &lt;/w:pPr&gt;
        &lt;/w:style&gt;
        &lt;w:style w:type="paragraph" w:styleId="ListBullet5"&gt;
          &lt;w:name w:val="List Bullet 5" /&gt;
          &lt;w:basedOn w:val="Normal" /&gt;
          &lt;w:semiHidden /&gt;
          &lt;w:unhideWhenUsed /&gt;
          &lt;w:pPr&gt;
            &lt;w:numPr&gt;
              &lt;w:numId w:val="82"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w:styleId="ListNumber"&gt;
          &lt;w:name w:val="List Number" /&gt;
          &lt;w:basedOn w:val="Normal" /&gt;
          &lt;w:pPr&gt;
            &lt;w:numPr&gt;
              &lt;w:numId w:val="83" /&gt;
            &lt;/w:numPr&gt;
            &lt;w:contextualSpacing /&gt;
          &lt;/w:pPr&gt;
        &lt;/w:style&gt;
        &lt;w:style w:type="paragraph" w:styleId="ListNumber2"&gt;
          &lt;w:name w:val="List Number 2" /&gt;
          &lt;w:basedOn w:val="Normal" /&gt;
          &lt;w:semiHidden /&gt;
          &lt;w:unhideWhenUsed /&gt;
          &lt;w:pPr&gt;
            &lt;w:numPr&gt;
              &lt;w:numId w:val="84" /&gt;
            &lt;/w:numPr&gt;
            &lt;w:contextualSpacing /&gt;
          &lt;/w:pPr&gt;
        &lt;/w:style&gt;
        &lt;w:style w:type="paragraph" w:styleId="ListNumber3"&gt;
          &lt;w:name w:val="List Number 3" /&gt;
          &lt;w:basedOn w:val="Normal" /&gt;
          &lt;w:semiHidden /&gt;
          &lt;w:unhideWhenUsed /&gt;
          &lt;w:pPr&gt;
            &lt;w:numPr&gt;
              &lt;w:numId w:val="85" /&gt;
            &lt;/w:numPr&gt;
            &lt;w:contextualSpacing /&gt;
          &lt;/w:pPr&gt;
        &lt;/w:style&gt;
        &lt;w:style w:type="paragraph" w:styleId="ListNumber4"&gt;
          &lt;w:name w:val="List Number 4" /&gt;
          &lt;w:basedOn w:val="Normal" /&gt;
          &lt;w:semiHidden /&gt;
          &lt;w:unhideWhenUsed /&gt;
          &lt;w:pPr&gt;
            &lt;w:numPr&gt;
              &lt;w:numId w:val="86" /&gt;
            &lt;/w:numPr&gt;
            &lt;w:contextualSpacing /&gt;
          &lt;/w:pPr&gt;
        &lt;/w:style&gt;
        &lt;w:style w:type="paragraph" w:styleId="ListNumber5"&gt;
          &lt;w:name w:val="List Number 5" /&gt;
          &lt;w:basedOn w:val="Normal" /&gt;
          &lt;w:semiHidden /&gt;
          &lt;w:unhideWhenUsed /&gt;
          &lt;w:pPr&gt;
            &lt;w:numPr&gt;
              &lt;w:numId w:val="87"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w:styleId="NoSpacing"&gt;
          &lt;w:name w:val="No Spacing" /&gt;
          &lt;w:uiPriority w:val="1" /&gt;
          &lt;w:qFormat /&gt;
          &lt;w:rPr&gt;
            &lt;w:rFonts w:eastAsia="Calibri" w:cs="Cordia New" /&gt;
            &lt;w:sz w:val="24" /&gt;
            &lt;w:szCs w:val="22"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w:type="paragraph" w:styleId="Subtitle"&gt;
          &lt;w:name w:val="Subtitle" /&gt;
          &lt;w:basedOn w:val="Normal" /&gt;
          &lt;w:next w:val="Normal" /&gt;
          &lt;w:link w:val="SubtitleChar" /&gt;
          &lt;w:qFormat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&lt;w:qFormat /&gt;
          &lt;w:rPr&gt;
            &lt;w:smallCaps /&gt;
            &lt;w:color w:val="C0504D" w:themeColor="accent2" /&gt;
            &lt;w:u w:val="single"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w:usb0="E10002FF" w:usb1="4000ACFF" w:usb2="00000009"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w:name="Angsana New"&gt;
          &lt;w:panose1 w:val="02020603050405020304" /&gt;
          &lt;w:charset w:val="00" /&gt;
          &lt;w:family w:val="roman" /&gt;
          &lt;w:pitch w:val="variable" /&gt;
          &lt;w:sig w:usb0="81000003" w:usb1="00000000" w:usb2="00000000" w:usb3="00000000" w:csb0="00010001"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w:name="SimSun"&gt;
          &lt;w:altName w:val="宋体" /&gt;
          &lt;w:panose1 w:val="02010600030101010101" /&gt;
          &lt;w:charset w:val="86" /&gt;
          &lt;w:family w:val="auto" /&gt;
          &lt;w:pitch w:val="variable" /&gt;
          &lt;w:sig w:usb0="00000003" w:usb1="288F0000" w:usb2="00000016" w:usb3="00000000" w:csb0="00040001"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w:val="C4A0C6A2" /&gt;
          &lt;w:lvl w:ilvl="0"&gt;
            &lt;w:start w:val="1" /&gt;
            &lt;w:numFmt w:val="decimal" /&gt;
            &lt;w:pStyle w:val="ListNumber"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&lt;w:pStyle w:val="Greenbulletinstructions"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w:val="04DA5916" /&gt;
          &lt;w:multiLevelType w:val="hybridMultilevel" /&gt;
          &lt;w:tmpl w:val="B45A5BC4" /&gt;
          &lt;w:lvl w:ilvl="0" w:tplc="0409000F"&gt;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w:abstractNumId="13"&gt;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w:abstractNumId="14"&gt;
          &lt;w:nsid w:val="0B5267F0" /&gt;
          &lt;w:multiLevelType w:val="hybridMultilevel" /&gt;
          &lt;w:tmpl w:val="7992709C" /&gt;
          &lt;w:lvl w:ilvl="0" w:tplc="EAD0C812"&gt;
            &lt;w:start w:val="1" /&gt;
            &lt;w:numFmt w:val="decimal" /&gt;
            &lt;w:pStyle w:val="Style1"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w:abstractNumId="17"&gt;
          &lt;w:nsid w:val="0F4E5AC4" /&gt;
          &lt;w:multiLevelType w:val="singleLevel" /&gt;
          &lt;w:tmpl w:val="62E445DA" /&gt;
          &lt;w:lvl w:ilvl="0"&gt;
            &lt;w:start w:val="1" /&gt;
            &lt;w:numFmt w:val="decimal" /&gt;
            &lt;w:pStyle w:val="listnum" /&gt;
            &lt;w:lvlText w:val="%1." /&gt;
            &lt;w:lvlJc w:val="left" /&gt;
            &lt;w:pPr&gt;
              &lt;w:tabs&gt;
                &lt;w:tab w:val="num" w:pos="432" /&gt;
              &lt;/w:tabs&gt;
              &lt;w:ind w:left="432" w:hanging="432" /&gt;
            &lt;/w:pPr&gt;
            &lt;w:rPr&gt;
              &lt;w:rFonts w:hint="default" /&gt;
            &lt;/w:rPr&gt;
          &lt;/w:lvl&gt;
        &lt;/w:abstractNum&gt;
        &lt;w:abstractNum w:abstractNumId="18"&gt;
          &lt;w:nsid w:val="13490AF4" /&gt;
          &lt;w:multiLevelType w:val="hybridMultilevel" /&gt;
          &lt;w:tmpl w:val="918C1C4E"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w:abstractNumId="24"&gt;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w:abstractNumId="26"&gt;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w:abstractNumId="27"&gt;
          &lt;w:nsid w:val="219B67EB" /&gt;
          &lt;w:multiLevelType w:val="hybridMultilevel" /&gt;
          &lt;w:tmpl w:val="ACD04798" /&gt;
          &lt;w:lvl w:ilvl="0" w:tplc="0409000F"&gt;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w:abstractNumId="28"&gt;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w:abstractNumId="29"&gt;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w:abstractNumId="30"&gt;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w:abstractNumId="32"&gt;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w:abstractNumId="33"&gt;
          &lt;w:nsid w:val="31F82877" /&gt;
          &lt;w:multiLevelType w:val="hybridMultilevel" /&gt;
          &lt;w:tmpl w:val="42CC1C68" /&gt;
          &lt;w:lvl w:ilvl="0" w:tplc="0409000F"&gt;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w:abstractNumId="35"&gt;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w:abstractNumId="36"&gt;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w:abstractNumId="38"&gt;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w:abstractNumId="39"&gt;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w:abstractNumId="41"&gt;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w:abstractNumId="42"&gt;
          &lt;w:nsid w:val="3BFE4B2A" /&gt;
          &lt;w:multiLevelType w:val="hybridMultilevel" /&gt;
          &lt;w:tmpl w:val="0D68D196" /&gt;
          &lt;w:lvl w:ilvl="0" w:tplc="04090001"&gt;
            &lt;w:start w:val="1" /&gt;
            &lt;w:numFmt w:val="bullet" /&gt;
            &lt;w:pStyle w:val="GuideBullet"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w:abstractNumId="43"&gt;
          &lt;w:nsid w:val="3DD01B05" /&gt;
          &lt;w:multiLevelType w:val="hybridMultilevel" /&gt;
          &lt;w:tmpl w:val="C7E2CA84" /&gt;
          &lt;w:lvl w:ilvl="0" w:tplc="0409000F"&gt;
            &lt;w:start w:val="1" /&gt;
            &lt;w:numFmt w:val="decimal" /&gt;
            &lt;w:pStyle w:val="mdAppCovPg"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w:abstractNumId="44"&gt;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w:abstractNumId="45"&gt;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w:abstractNumId="46"&gt;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w:abstractNumId="47"&gt;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w:abstractNumId="48"&gt;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w:abstractNumId="49"&gt;
          &lt;w:nsid w:val="46514880" /&gt;
          &lt;w:multiLevelType w:val="hybridMultilevel" /&gt;
          &lt;w:tmpl w:val="3AB80916" /&gt;
          &lt;w:lvl w:ilvl="0" w:tplc="0409000F"&gt;
            &lt;w:start w:val="1" /&gt;
            &lt;w:numFmt w:val="bullet" /&gt;
            &lt;w:lvlText w:val="·" /&gt;
            &lt;w:lvlJc w:val="left" /&gt;
            &lt;w:pPr&gt;
              &lt;w:ind w:left="720" w:hanging="360" /&gt;
            &lt;/w:pPr&gt;
            &lt;w:rPr&gt;
              &lt;w:rFonts w:ascii="Symbol" w:hAnsi="Symbol" w:hint="default" /&gt;
            &lt;/w:rPr&gt;
          &lt;/w:lvl&gt;
          &lt;w:lvl w:ilvl="1" w:tplc="04090019" w:tentative="1"&gt;
            &lt;w:start w:val="1" /&gt;
            &lt;w:numFmt w:val="bullet" /&gt;
            &lt;w:lvlText w:val="o" /&gt;
            &lt;w:lvlJc w:val="left" /&gt;
            &lt;w:pPr&gt;
              &lt;w:ind w:left="1440" w:hanging="360" /&gt;
            &lt;/w:pPr&gt;
            &lt;w:rPr&gt;
              &lt;w:rFonts w:ascii="Courier New" w:hAnsi="Courier New" w:cs="Courier New" w:hint="default" /&gt;
            &lt;/w:rPr&gt;
          &lt;/w:lvl&gt;
          &lt;w:lvl w:ilvl="2" w:tplc="0409001B" w:tentative="1"&gt;
            &lt;w:start w:val="1" /&gt;
            &lt;w:numFmt w:val="bullet" /&gt;
            &lt;w:lvlText w:val="§" /&gt;
            &lt;w:lvlJc w:val="left" /&gt;
            &lt;w:pPr&gt;
              &lt;w:ind w:left="2160" w:hanging="360" /&gt;
            &lt;/w:pPr&gt;
            &lt;w:rPr&gt;
              &lt;w:rFonts w:ascii="Wingdings" w:hAnsi="Wingdings" w:hint="default" /&gt;
            &lt;/w:rPr&gt;
          &lt;/w:lvl&gt;
          &lt;w:lvl w:ilvl="3" w:tplc="0409000F" w:tentative="1"&gt;
            &lt;w:start w:val="1" /&gt;
            &lt;w:numFmt w:val="bullet" /&gt;
            &lt;w:lvlText w:val="·" /&gt;
            &lt;w:lvlJc w:val="left" /&gt;
            &lt;w:pPr&gt;
              &lt;w:ind w:left="2880" w:hanging="360" /&gt;
            &lt;/w:pPr&gt;
            &lt;w:rPr&gt;
              &lt;w:rFonts w:ascii="Symbol" w:hAnsi="Symbol" w:hint="default" /&gt;
            &lt;/w:rPr&gt;
          &lt;/w:lvl&gt;
          &lt;w:lvl w:ilvl="4" w:tplc="04090019" w:tentative="1"&gt;
            &lt;w:start w:val="1" /&gt;
            &lt;w:numFmt w:val="bullet" /&gt;
            &lt;w:lvlText w:val="o" /&gt;
            &lt;w:lvlJc w:val="left" /&gt;
            &lt;w:pPr&gt;
              &lt;w:ind w:left="3600" w:hanging="360" /&gt;
            &lt;/w:pPr&gt;
            &lt;w:rPr&gt;
              &lt;w:rFonts w:ascii="Courier New" w:hAnsi="Courier New" w:cs="Courier New" w:hint="default" /&gt;
            &lt;/w:rPr&gt;
          &lt;/w:lvl&gt;
          &lt;w:lvl w:ilvl="5" w:tplc="0409001B" w:tentative="1"&gt;
            &lt;w:start w:val="1" /&gt;
            &lt;w:numFmt w:val="bullet" /&gt;
            &lt;w:lvlText w:val="§" /&gt;
            &lt;w:lvlJc w:val="left" /&gt;
            &lt;w:pPr&gt;
              &lt;w:ind w:left="4320" w:hanging="360" /&gt;
            &lt;/w:pPr&gt;
            &lt;w:rPr&gt;
              &lt;w:rFonts w:ascii="Wingdings" w:hAnsi="Wingdings" w:hint="default" /&gt;
            &lt;/w:rPr&gt;
          &lt;/w:lvl&gt;
          &lt;w:lvl w:ilvl="6" w:tplc="0409000F" w:tentative="1"&gt;
            &lt;w:start w:val="1" /&gt;
            &lt;w:numFmt w:val="bullet" /&gt;
            &lt;w:lvlText w:val="·" /&gt;
            &lt;w:lvlJc w:val="left" /&gt;
            &lt;w:pPr&gt;
              &lt;w:ind w:left="5040" w:hanging="360" /&gt;
            &lt;/w:pPr&gt;
            &lt;w:rPr&gt;
              &lt;w:rFonts w:ascii="Symbol" w:hAnsi="Symbol" w:hint="default" /&gt;
            &lt;/w:rPr&gt;
          &lt;/w:lvl&gt;
          &lt;w:lvl w:ilvl="7" w:tplc="04090019" w:tentative="1"&gt;
            &lt;w:start w:val="1" /&gt;
            &lt;w:numFmt w:val="bullet" /&gt;
            &lt;w:lvlText w:val="o" /&gt;
            &lt;w:lvlJc w:val="left" /&gt;
            &lt;w:pPr&gt;
              &lt;w:ind w:left="5760" w:hanging="360" /&gt;
            &lt;/w:pPr&gt;
            &lt;w:rPr&gt;
              &lt;w:rFonts w:ascii="Courier New" w:hAnsi="Courier New" w:cs="Courier New" w:hint="default" /&gt;
            &lt;/w:rPr&gt;
          &lt;/w:lvl&gt;
          &lt;w:lvl w:ilvl="8" w:tplc="0409001B" w:tentative="1"&gt;
            &lt;w:start w:val="1" /&gt;
            &lt;w:numFmt w:val="bullet" /&gt;
            &lt;w:lvlText w:val="§" /&gt;
            &lt;w:lvlJc w:val="left" /&gt;
            &lt;w:pPr&gt;
              &lt;w:ind w:left="6480" w:hanging="360" /&gt;
            &lt;/w:pPr&gt;
            &lt;w:rPr&gt;
              &lt;w:rFonts w:ascii="Wingdings" w:hAnsi="Wingdings" w:hint="default" /&gt;
            &lt;/w:rPr&gt;
          &lt;/w:lvl&gt;
        &lt;/w:abstractNum&gt;
        &lt;w:abstractNum w:abstractNumId="50"&gt;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w:abstractNumId="51"&gt;
          &lt;w:nsid w:val="48243E6F" /&gt;
          &lt;w:multiLevelType w:val="hybridMultilevel" /&gt;
          &lt;w:tmpl w:val="D5EC5824"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w:abstractNumId="52"&gt;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w:abstractNumId="53"&gt;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w:val="493953C5" /&gt;
          &lt;w:multiLevelType w:val="hybridMultilevel" /&gt;
          &lt;w:tmpl w:val="528077EC" /&gt;
          &lt;w:lvl w:ilvl="0" w:tplc="BEE6348E"&gt;
            &lt;w:start w:val="5"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w:abstractNumId="55"&gt;
          &lt;w:nsid w:val="4B140C2B" /&gt;
          &lt;w:multiLevelType w:val="hybridMultilevel" /&gt;
          &lt;w:tmpl w:val="1CD80FC6" /&gt;
          &lt;w:lvl w:ilvl="0" w:tplc="C4265DC8"&gt;
            &lt;w:start w:val="1" /&gt;
            &lt;w:numFmt w:val="decimal" /&gt;
            &lt;w:lvlText w:val="%1." /&gt;
            &lt;w:lvlJc w:val="left" /&gt;
            &lt;w:pPr&gt;
              &lt;w:ind w:left="2880"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w:abstractNumId="56"&gt;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w:val="4CE069E0" /&gt;
          &lt;w:multiLevelType w:val="hybridMultilevel" /&gt;
          &lt;w:tmpl w:val="E5DA6B1C" /&gt;
          &lt;w:lvl w:ilvl="0" w:tplc="20107E02"&gt;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w:abstractNumId="58"&gt;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w:abstractNumId="60"&gt;
          &lt;w:nsid w:val="50186FA2" /&gt;
          &lt;w:multiLevelType w:val="hybridMultilevel" /&gt;
          &lt;w:tmpl w:val="DC58D284"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w:abstractNumId="61"&gt;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w:abstractNumId="62"&gt;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w:abstractNumId="63"&gt;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w:abstractNumId="64"&gt;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w:abstractNumId="65"&gt;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w:abstractNumId="66"&gt;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w:abstractNumId="67"&gt;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w:abstractNumId="68"&gt;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w:abstractNumId="69"&gt;
          &lt;w:nsid w:val="5F2A1ABE" /&gt;
          &lt;w:multiLevelType w:val="singleLevel" /&gt;
          &lt;w:tmpl w:val="B686D922" /&gt;
          &lt;w:lvl w:ilvl="0"&gt;
            &lt;w:start w:val="1" /&gt;
            &lt;w:numFmt w:val="bullet" /&gt;
            &lt;w:pStyle w:val="Bullet12-1" /&gt;
            &lt;w:lvlText w:val="·" /&gt;
            &lt;w:lvlJc w:val="left" /&gt;
            &lt;w:pPr&gt;
              &lt;w:tabs&gt;
                &lt;w:tab w:val="num" w:pos="432" /&gt;
              &lt;/w:tabs&gt;
              &lt;w:ind w:left="432" w:hanging="432" /&gt;
            &lt;/w:pPr&gt;
            &lt;w:rPr&gt;
              &lt;w:rFonts w:ascii="Symbol" w:hAnsi="Symbol" w:hint="default" /&gt;
            &lt;/w:rPr&gt;
          &lt;/w:lvl&gt;
        &lt;/w:abstractNum&gt;
        &lt;w:abstractNum w:abstractNumId="70"&gt;
          &lt;w:nsid w:val="5F3A6F28" /&gt;
          &lt;w:multiLevelType w:val="hybridMultilevel" /&gt;
          &lt;w:tmpl w:val="64DE0E9E"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w:abstractNumId="71"&gt;
          &lt;w:nsid w:val="611227B5" /&gt;
          &lt;w:multiLevelType w:val="hybridMultilevel" /&gt;
          &lt;w:tmpl w:val="DD861FAE" /&gt;
          &lt;w:lvl w:ilvl="0" w:tplc="04090001"&gt;
            &lt;w:start w:val="1" /&gt;
            &lt;w:numFmt w:val="decimal" /&gt;
            &lt;w:pStyle w:val="Numbered11-1"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w:abstractNumId="72"&gt;
          &lt;w:nsid w:val="61164509" /&gt;
          &lt;w:multiLevelType w:val="hybridMultilevel" /&gt;
          &lt;w:tmpl w:val="490CA6E4" /&gt;
          &lt;w:lvl w:ilvl="0" w:tplc="0409000F"&gt;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w:abstractNumId="73"&gt;
          &lt;w:nsid w:val="62DB3D68" /&gt;
          &lt;w:multiLevelType w:val="hybridMultilevel" /&gt;
          &lt;w:tmpl w:val="3286A04E" /&gt;
          &lt;w:lvl w:ilvl="0" w:tplc="AF42F0A2"&gt;
            &lt;w:start w:val="1" /&gt;
            &lt;w:numFmt w:val="bullet" /&gt;
            &lt;w:pStyle w:val="BulletText1"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w:abstractNumId="74"&gt;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w:abstractNumId="75"&gt;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w:abstractNumId="76"&gt;
          &lt;w:nsid w:val="63DC4716" /&gt;
          &lt;w:multiLevelType w:val="hybridMultilevel" /&gt;
          &lt;w:tmpl w:val="3A288F9A" /&gt;
          &lt;w:lvl w:ilvl="0" w:tplc="B1769F9E"&gt;
            &lt;w:start w:val="1" /&gt;
            &lt;w:numFmt w:val="lowerLetter" /&gt;
            &lt;w:lvlText w:val="%1." /&gt;
            &lt;w:lvlJc w:val="left" /&gt;
            &lt;w:pPr&gt;
              &lt;w:ind w:left="720" w:hanging="360" /&gt;
            &lt;/w:pPr&gt;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w:abstractNumId="77"&gt;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w:abstractNumId="78"&gt;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w:abstractNumId="79"&gt;
          &lt;w:nsid w:val="66C262C7" /&gt;
          &lt;w:multiLevelType w:val="hybridMultilevel" /&gt;
          &lt;w:tmpl w:val="AD76275C" /&gt;
          &lt;w:lvl w:ilvl="0" w:tplc="0409000F"&gt;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w:abstractNumId="80"&gt;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w:abstractNumId="81"&gt;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w:abstractNumId="82"&gt;
          &lt;w:nsid w:val="6D273DC5" /&gt;
          &lt;w:multiLevelType w:val="hybridMultilevel" /&gt;
          &lt;w:tmpl w:val="32C89C8E" /&gt;
          &lt;w:lvl w:ilvl="0" w:tplc="4A5AD112"&gt;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w:val="6D762647" /&gt;
          &lt;w:multiLevelType w:val="hybridMultilevel" /&gt;
          &lt;w:tmpl w:val="767CFDA0" /&gt;
          &lt;w:lvl w:ilvl="0" w:tplc="8A5430F2"&gt;
            &lt;w:start w:val="1" /&gt;
            &lt;w:numFmt w:val="decimal" /&gt;
            &lt;w:pStyle w:val="mdAttCovPg"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w:abstractNumId="84"&gt;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w:abstractNumId="85"&gt;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w:abstractNumId="86"&gt;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w:abstractNumId="87"&gt;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w:abstractNumId="88"&gt;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w:abstractNumId="89"&gt;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w:abstractNumId="90"&gt;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w:val="43" /&gt;
        &lt;/w:num&gt;
        &lt;w:num w:numId="3"&gt;
          &lt;w:abstractNumId w:val="83" /&gt;
        &lt;/w:num&gt;
        &lt;w:num w:numId="4"&gt;
          &lt;w:abstractNumId w:val="14" /&gt;
        &lt;/w:num&gt;
        &lt;w:num w:numId="5"&gt;
          &lt;w:abstractNumId w:val="42" /&gt;
        &lt;/w:num&gt;
        &lt;w:num w:numId="6"&gt;
          &lt;w:abstractNumId w:val="31" /&gt;
        &lt;/w:num&gt;
        &lt;w:num w:numId="7"&gt;
          &lt;w:abstractNumId w:val="19" /&gt;
        &lt;/w:num&gt;
        &lt;w:num w:numId="8"&gt;
          &lt;w:abstractNumId w:val="17" /&gt;
        &lt;/w:num&gt;
        &lt;w:num w:numId="9"&gt;
          &lt;w:abstractNumId w:val="69" /&gt;
        &lt;/w:num&gt;
        &lt;w:num w:numId="10"&gt;
          &lt;w:abstractNumId w:val="88" /&gt;
        &lt;/w:num&gt;
        &lt;w:num w:numId="11"&gt;
          &lt;w:abstractNumId w:val="47" /&gt;
        &lt;/w:num&gt;
        &lt;w:num w:numId="12"&gt;
          &lt;w:abstractNumId w:val="11" /&gt;
        &lt;/w:num&gt;
        &lt;w:num w:numId="13"&gt;
          &lt;w:abstractNumId w:val="71" /&gt;
        &lt;/w:num&gt;
        &lt;w:num w:numId="14"&gt;
          &lt;w:abstractNumId w:val="37" /&gt;
        &lt;/w:num&gt;
        &lt;w:num w:numId="15"&gt;
          &lt;w:abstractNumId w:val="46" /&gt;
        &lt;/w:num&gt;
        &lt;w:num w:numId="16"&gt;
          &lt;w:abstractNumId w:val="76" /&gt;
        &lt;/w:num&gt;
        &lt;w:num w:numId="17"&gt;
          &lt;w:abstractNumId w:val="73"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w:val="24" /&gt;
        &lt;/w:num&gt;
        &lt;w:num w:numId="19"&gt;
          &lt;w:abstractNumId w:val="77" /&gt;
        &lt;/w:num&gt;
        &lt;w:num w:numId="20"&gt;
          &lt;w:abstractNumId w:val="60" /&gt;
        &lt;/w:num&gt;
        &lt;w:num w:numId="21"&gt;
          &lt;w:abstractNumId w:val="49" /&gt;
        &lt;/w:num&gt;
        &lt;w:num w:numId="22"&gt;
          &lt;w:abstractNumId w:val="13" /&gt;
        &lt;/w:num&gt;
        &lt;w:num w:numId="23"&gt;
          &lt;w:abstractNumId w:val="66" /&gt;
        &lt;/w:num&gt;
        &lt;w:num w:numId="24"&gt;
          &lt;w:abstractNumId w:val="56" /&gt;
        &lt;/w:num&gt;
        &lt;w:num w:numId="25"&gt;
          &lt;w:abstractNumId w:val="38" /&gt;
        &lt;/w:num&gt;
        &lt;w:num w:numId="26"&gt;
          &lt;w:abstractNumId w:val="53" /&gt;
        &lt;/w:num&gt;
        &lt;w:num w:numId="27"&gt;
          &lt;w:abstractNumId w:val="64" /&gt;
        &lt;/w:num&gt;
        &lt;w:num w:numId="28"&gt;
          &lt;w:abstractNumId w:val="25" /&gt;
        &lt;/w:num&gt;
        &lt;w:num w:numId="29"&gt;
          &lt;w:abstractNumId w:val="90" /&gt;
        &lt;/w:num&gt;
        &lt;w:num w:numId="30"&gt;
          &lt;w:abstractNumId w:val="89" /&gt;
        &lt;/w:num&gt;
        &lt;w:num w:numId="31"&gt;
          &lt;w:abstractNumId w:val="58" /&gt;
        &lt;/w:num&gt;
        &lt;w:num w:numId="32"&gt;
          &lt;w:abstractNumId w:val="35" /&gt;
        &lt;/w:num&gt;
        &lt;w:num w:numId="33"&gt;
          &lt;w:abstractNumId w:val="26" /&gt;
        &lt;/w:num&gt;
        &lt;w:num w:numId="34"&gt;
          &lt;w:abstractNumId w:val="52" /&gt;
        &lt;/w:num&gt;
        &lt;w:num w:numId="35"&gt;
          &lt;w:abstractNumId w:val="34" /&gt;
        &lt;/w:num&gt;
        &lt;w:num w:numId="36"&gt;
          &lt;w:abstractNumId w:val="65" /&gt;
        &lt;/w:num&gt;
        &lt;w:num w:numId="37"&gt;
          &lt;w:abstractNumId w:val="41" /&gt;
        &lt;/w:num&gt;
        &lt;w:num w:numId="38"&gt;
          &lt;w:abstractNumId w:val="23" /&gt;
        &lt;/w:num&gt;
        &lt;w:num w:numId="39"&gt;
          &lt;w:abstractNumId w:val="68" /&gt;
        &lt;/w:num&gt;
        &lt;w:num w:numId="40"&gt;
          &lt;w:abstractNumId w:val="30" /&gt;
        &lt;/w:num&gt;
        &lt;w:num w:numId="41"&gt;
          &lt;w:abstractNumId w:val="39" /&gt;
        &lt;/w:num&gt;
        &lt;w:num w:numId="42"&gt;
          &lt;w:abstractNumId w:val="70" /&gt;
        &lt;/w:num&gt;
        &lt;w:num w:numId="43"&gt;
          &lt;w:abstractNumId w:val="51" /&gt;
        &lt;/w:num&gt;
        &lt;w:num w:numId="44"&gt;
          &lt;w:abstractNumId w:val="59" /&gt;
        &lt;/w:num&gt;
        &lt;w:num w:numId="45"&gt;
          &lt;w:abstractNumId w:val="48" /&gt;
        &lt;/w:num&gt;
        &lt;w:num w:numId="46"&gt;
          &lt;w:abstractNumId w:val="74" /&gt;
        &lt;/w:num&gt;
        &lt;w:num w:numId="47"&gt;
          &lt;w:abstractNumId w:val="85" /&gt;
        &lt;/w:num&gt;
        &lt;w:num w:numId="48"&gt;
          &lt;w:abstractNumId w:val="36" /&gt;
        &lt;/w:num&gt;
        &lt;w:num w:numId="49"&gt;
          &lt;w:abstractNumId w:val="32" /&gt;
        &lt;/w:num&gt;
        &lt;w:num w:numId="50"&gt;
          &lt;w:abstractNumId w:val="21" /&gt;
        &lt;/w:num&gt;
        &lt;w:num w:numId="51"&gt;
          &lt;w:abstractNumId w:val="15" /&gt;
        &lt;/w:num&gt;
        &lt;w:num w:numId="52"&gt;
          &lt;w:abstractNumId w:val="33" /&gt;
        &lt;/w:num&gt;
        &lt;w:num w:numId="53"&gt;
          &lt;w:abstractNumId w:val="16" /&gt;
        &lt;/w:num&gt;
        &lt;w:num w:numId="54"&gt;
          &lt;w:abstractNumId w:val="84" /&gt;
        &lt;/w:num&gt;
        &lt;w:num w:numId="55"&gt;
          &lt;w:abstractNumId w:val="82" /&gt;
        &lt;/w:num&gt;
        &lt;w:num w:numId="56"&gt;
          &lt;w:abstractNumId w:val="57" /&gt;
        &lt;/w:num&gt;
        &lt;w:num w:numId="57"&gt;
          &lt;w:abstractNumId w:val="54" /&gt;
        &lt;/w:num&gt;
        &lt;w:num w:numId="58"&gt;
          &lt;w:abstractNumId w:val="29" /&gt;
        &lt;/w:num&gt;
        &lt;w:num w:numId="59"&gt;
          &lt;w:abstractNumId w:val="50" /&gt;
        &lt;/w:num&gt;
        &lt;w:num w:numId="60"&gt;
          &lt;w:abstractNumId w:val="78" /&gt;
        &lt;/w:num&gt;
        &lt;w:num w:numId="61"&gt;
          &lt;w:abstractNumId w:val="87" /&gt;
        &lt;/w:num&gt;
        &lt;w:num w:numId="62"&gt;
          &lt;w:abstractNumId w:val="20" /&gt;
        &lt;/w:num&gt;
        &lt;w:num w:numId="63"&gt;
          &lt;w:abstractNumId w:val="67" /&gt;
        &lt;/w:num&gt;
        &lt;w:num w:numId="64"&gt;
          &lt;w:abstractNumId w:val="86" /&gt;
        &lt;/w:num&gt;
        &lt;w:num w:numId="65"&gt;
          &lt;w:abstractNumId w:val="62" /&gt;
        &lt;/w:num&gt;
        &lt;w:num w:numId="66"&gt;
          &lt;w:abstractNumId w:val="61" /&gt;
        &lt;/w:num&gt;
        &lt;w:num w:numId="67"&gt;
          &lt;w:abstractNumId w:val="79" /&gt;
        &lt;/w:num&gt;
        &lt;w:num w:numId="68"&gt;
          &lt;w:abstractNumId w:val="28" /&gt;
        &lt;/w:num&gt;
        &lt;w:num w:numId="69"&gt;
          &lt;w:abstractNumId w:val="75" /&gt;
        &lt;/w:num&gt;
        &lt;w:num w:numId="70"&gt;
          &lt;w:abstractNumId w:val="22" /&gt;
        &lt;/w:num&gt;
        &lt;w:num w:numId="71"&gt;
          &lt;w:abstractNumId w:val="45" /&gt;
        &lt;/w:num&gt;
        &lt;w:num w:numId="72"&gt;
          &lt;w:abstractNumId w:val="81" /&gt;
        &lt;/w:num&gt;
        &lt;w:num w:numId="73"&gt;
          &lt;w:abstractNumId w:val="10" /&gt;
        &lt;/w:num&gt;
        &lt;w:num w:numId="74"&gt;
          &lt;w:abstractNumId w:val="44" /&gt;
        &lt;/w:num&gt;
        &lt;w:num w:numId="75"&gt;
          &lt;w:abstractNumId w:val="18" /&gt;
        &lt;/w:num&gt;
        &lt;w:num w:numId="76"&gt;
          &lt;w:abstractNumId w:val="40" /&gt;
        &lt;/w:num&gt;
        &lt;w:num w:numId="77"&gt;
          &lt;w:abstractNumId w:val="80" /&gt;
        &lt;/w:num&gt;
        &lt;w:num w:numId="78"&gt;
          &lt;w:abstractNumId w:val="63" /&gt;
        &lt;/w:num&gt;
        &lt;w:num w:numId="79"&gt;
          &lt;w:abstractNumId w:val="7" /&gt;
        &lt;/w:num&gt;
        &lt;w:num w:numId="80"&gt;
          &lt;w:abstractNumId w:val="6" /&gt;
        &lt;/w:num&gt;
        &lt;w:num w:numId="81"&gt;
          &lt;w:abstractNumId w:val="5" /&gt;
        &lt;/w:num&gt;
        &lt;w:num w:numId="82"&gt;
          &lt;w:abstractNumId w:val="4" /&gt;
        &lt;/w:num&gt;
        &lt;w:num w:numId="83"&gt;
          &lt;w:abstractNumId w:val="8" /&gt;
        &lt;/w:num&gt;
        &lt;w:num w:numId="84"&gt;
          &lt;w:abstractNumId w:val="3" /&gt;
        &lt;/w:num&gt;
        &lt;w:num w:numId="85"&gt;
          &lt;w:abstractNumId w:val="2" /&gt;
        &lt;/w:num&gt;
        &lt;w:num w:numId="86"&gt;
          &lt;w:abstractNumId w:val="1" /&gt;
        &lt;/w:num&gt;
        &lt;w:num w:numId="87"&gt;
          &lt;w:abstractNumId w:val="0" /&gt;
        &lt;/w:num&gt;
        &lt;w:num w:numId="88"&gt;
          &lt;w:abstractNumId w:val="55" /&gt;
        &lt;/w:num&gt;
        &lt;w:num w:numId="89"&gt;
          &lt;w:abstractNumId w:val="72" /&gt;
        &lt;/w:num&gt;
        &lt;w:num w:numId="90"&gt;
          &lt;w:abstractNumId w:val="12" /&gt;
        &lt;/w:num&gt;
        &lt;w:num w:numId="91"&gt;
          &lt;w:abstractNumId w:val="27" /&gt;
        &lt;/w:num&gt;
        &lt;w:numIdMacAtCleanup w:val="87" /&gt;
      &lt;/w:numbering&gt;
    &lt;/pkg:xmlData&gt;
  &lt;/pkg:part&gt;
&lt;/pkg:package&gt;</InclusionCriteria>
  <ExclusionCriteria>
    <ExclusionCriteriaMedicalConditions>&lt;?mso-application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Id="rId34" Type="http://schemas.microsoft.com/office/2011/relationships/people" Target="people.xml" /&gt;
        &lt;Relationship Id="rId7" Type="http://schemas.openxmlformats.org/officeDocument/2006/relationships/endnotes" Target="endnotes.xml" /&gt;
        &lt;Relationship Id="rId33" Type="http://schemas.microsoft.com/office/2011/relationships/commentsExtended" Target="commentsExtended.xml"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Id="rId4" Type="http://schemas.openxmlformats.org/officeDocument/2006/relationships/settings" Target="settings.xml" /&gt;
        &lt;Relationship Id="rId9" Type="http://schemas.openxmlformats.org/officeDocument/2006/relationships/theme" Target="theme/theme1.xml"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&lt;w:p&gt;
            &lt;w:pPr&gt;
              &lt;w:pStyle w:val="ListParagraph" /&gt;
              &lt;w:numPr&gt;
                &lt;w:ilvl w:val="0" /&gt;
                &lt;w:numId w:val="52" /&gt;
              &lt;/w:numPr&gt;
              &lt;w:ind w:left="709" /&gt;
              &lt;w:rPr&gt;
                &lt;w:color w:val="0070C0" /&gt;
              &lt;/w:rPr&gt;
            &lt;/w:pPr&gt;
            &lt;w:r&gt;
              &lt;w:rPr&gt;
                &lt;w:color w:val="0070C0" /&gt;
              &lt;/w:rPr&gt;
              &lt;w:t&gt;[]&lt;/w:t&gt;
            &lt;/w:r&gt;
          &lt;/w:p&gt;
          &lt;w:p&gt;
            &lt;w:pPr&gt;
              &lt;w:pStyle w:val="ListParagraph" /&gt;
              &lt;w:numPr&gt;
                &lt;w:ilvl w:val="0" /&gt;
                &lt;w:numId w:val="52" /&gt;
              &lt;/w:numPr&gt;
              &lt;w:ind w:left="709" /&gt;
            &lt;/w:pPr&gt;
            &lt;w:r&gt;
              &lt;w:rPr&gt;
                &lt;w:color w:val="0070C0" /&gt;
              &lt;/w:rPr&gt;
              &lt;w:t&gt;[]&lt;/w:t&gt;
            &lt;/w:r&gt;
          &lt;/w:p&gt;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&lt;w:p /&gt;
          &lt;w:p /&gt;
          &lt;w:p /&gt;
        &lt;/w:endnote&gt;
        &lt;w:endnote w:type="continuationSeparator" w:id="0"&gt;
          &lt;w:p&gt;
            &lt;w:pPr&gt;
              &lt;w:spacing w:after="0" w:line="240" w:lineRule="auto" /&gt;
            &lt;/w:pPr&gt;
            &lt;w:r&gt;
              &lt;w:continuationSeparator /&gt;
            &lt;/w:r&gt;
          &lt;/w:p&gt;
          &lt;w:p /&gt;
          &lt;w:p /&gt;
          &lt;w:p /&gt;
        &lt;/w:endnote&gt;
        &lt;w:endnote w:type="continuationNotice" w:id="1"&gt;
          &lt;w:p&gt;
            &lt;w:pPr&gt;
              &lt;w:spacing w:after="0" w:line="240" w:lineRule="auto" /&gt;
            &lt;/w:pPr&gt;
          &lt;/w:p&gt;
          &lt;w:p /&gt;
          &lt;w:p /&gt;
          &lt;w:p /&gt;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&lt;w:p /&gt;
          &lt;w:p /&gt;
          &lt;w:p /&gt;
        &lt;/w:footnote&gt;
        &lt;w:footnote w:type="continuationSeparator" w:id="0"&gt;
          &lt;w:p&gt;
            &lt;w:pPr&gt;
              &lt;w:spacing w:after="0" w:line="240" w:lineRule="auto" /&gt;
            &lt;/w:pPr&gt;
            &lt;w:r&gt;
              &lt;w:continuationSeparator /&gt;
            &lt;/w:r&gt;
          &lt;/w:p&gt;
          &lt;w:p /&gt;
          &lt;w:p /&gt;
          &lt;w:p /&gt;
        &lt;/w:footnote&gt;
        &lt;w:footnote w:type="continuationNotice" w:id="1"&gt;
          &lt;w:p&gt;
            &lt;w:pPr&gt;
              &lt;w:spacing w:after="0" w:line="240" w:lineRule="auto" /&gt;
            &lt;/w:pPr&gt;
          &lt;/w:p&gt;
          &lt;w:p /&gt;
          &lt;w:p /&gt;
          &lt;w:p /&gt;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w:percent="100"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w:val="14" /&gt;
          &lt;w:compatSetting w:name="overrideTableStyleFontSizeAndJustification" w:uri="http://schemas.microsoft.com/office/word" w:val="1" /&gt;
          &lt;w:compatSetting w:name="enableOpenTypeFeatures" w:uri="http://schemas.microsoft.com/office/word" w:val="1" /&gt;
          &lt;w:compatSetting w:name="doNotFlipMirrorIndents" w:uri="http://schemas.microsoft.com/office/word" w:val="1" /&gt;
        &lt;/w:compat&gt;
        &lt;w:docVars&gt;
          &lt;w:docVar w:name="LibraryFilter" w:val="V2.1_CPT Library_Asthma Master.docx,V2.1_CPT_Library_Diabetes Master.docx|V2.1_CPT Library_Healthy Volunteer Master.docx,V2.1_CPT Library_Patient Master.docx|"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w:usb0="E00002FF" w:usb1="4000ACFF" w:usb2="00000001"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w:val="0F8CE2AE" /&gt;
          &lt;w:lvl w:ilvl="0"&gt;
            &lt;w:start w:val="1" /&gt;
            &lt;w:numFmt w:val="decimal" /&gt;
            &lt;w:pStyle w:val="ListNumber"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w:abstractNumId="13"&gt;
          &lt;w:nsid w:val="0B5267F0" /&gt;
          &lt;w:multiLevelType w:val="hybridMultilevel" /&gt;
          &lt;w:tmpl w:val="7992709C" /&gt;
          &lt;w:lvl w:ilvl="0" w:tplc="EAD0C812"&gt;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w:abstractNumId="14"&gt;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w:val="0F4E5AC4" /&gt;
          &lt;w:multiLevelType w:val="singleLevel" /&gt;
          &lt;w:tmpl w:val="62E445DA" /&gt;
          &lt;w:lvl w:ilvl="0"&gt;
            &lt;w:start w:val="1" /&gt;
            &lt;w:numFmt w:val="decimal" /&gt;
            &lt;w:lvlText w:val="%1." /&gt;
            &lt;w:lvlJc w:val="left" /&gt;
            &lt;w:pPr&gt;
              &lt;w:tabs&gt;
                &lt;w:tab w:val="num" w:pos="432" /&gt;
              &lt;/w:tabs&gt;
              &lt;w:ind w:left="432" w:hanging="432" /&gt;
            &lt;/w:pPr&gt;
            &lt;w:rPr&gt;
              &lt;w:rFonts w:hint="default" /&gt;
            &lt;/w:rPr&gt;
          &lt;/w:lvl&gt;
        &lt;/w:abstractNum&gt;
        &lt;w:abstractNum w:abstractNumId="17"&gt;
          &lt;w:nsid w:val="104F4ABA" /&gt;
          &lt;w:multiLevelType w:val="hybridMultilevel" /&gt;
          &lt;w:tmpl w:val="F152626E" /&gt;
          &lt;w:lvl w:ilvl="0" w:tplc="04090003"&gt;
            &lt;w:start w:val="1" /&gt;
            &lt;w:numFmt w:val="bullet" /&gt;
            &lt;w:lvlText w:val="o" /&gt;
            &lt;w:lvlJc w:val="left" /&gt;
            &lt;w:pPr&gt;
              &lt;w:ind w:left="1080" w:hanging="360" /&gt;
            &lt;/w:pPr&gt;
            &lt;w:rPr&gt;
              &lt;w:rFonts w:ascii="Courier New" w:hAnsi="Courier New" w:cs="Courier New"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w:abstractNumId="18"&gt;
          &lt;w:nsid w:val="13490AF4" /&gt;
          &lt;w:multiLevelType w:val="hybridMultilevel" /&gt;
          &lt;w:tmpl w:val="61DEFBCC" /&gt;
          &lt;w:lvl w:ilvl="0" w:tplc="77A6A24A"&gt;
            &lt;w:start w:val="1" /&gt;
            &lt;w:numFmt w:val="bullet" /&gt;
            &lt;w:lvlText w:val="" /&gt;
            &lt;w:lvlJc w:val="left" /&gt;
            &lt;w:pPr&gt;
              &lt;w:ind w:left="720" w:hanging="360" /&gt;
            &lt;/w:pPr&gt;
            &lt;w:rPr&gt;
              &lt;w:rFonts w:ascii="Symbol" w:hAnsi="Symbol" w:hint="default" /&gt;
              &lt;w:color w:val="auto"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w:val="1C082410" /&gt;
          &lt;w:multiLevelType w:val="hybridMultilevel" /&gt;
          &lt;w:tmpl w:val="D5F235DA"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w:abstractNumId="24"&gt;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w:val="1D4D390B" /&gt;
          &lt;w:multiLevelType w:val="hybridMultilevel" /&gt;
          &lt;w:tmpl w:val="253E2E92" /&gt;
          &lt;w:lvl w:ilvl="0" w:tplc="04090001"&gt;
            &lt;w:start w:val="1" /&gt;
            &lt;w:numFmt w:val="bullet" /&gt;
            &lt;w:lvlText w:val="" /&gt;
            &lt;w:lvlJc w:val="left" /&gt;
            &lt;w:pPr&gt;
              &lt;w:ind w:left="1080" w:hanging="360" /&gt;
            &lt;/w:pPr&gt;
            &lt;w:rPr&gt;
              &lt;w:rFonts w:ascii="Symbol" w:hAnsi="Symbol"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w:abstractNumId="26"&gt;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w:abstractNumId="27"&gt;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w:abstractNumId="28"&gt;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w:abstractNumId="29"&gt;
          &lt;w:nsid w:val="1FF81BC6" /&gt;
          &lt;w:multiLevelType w:val="hybridMultilevel" /&gt;
          &lt;w:tmpl w:val="B23AF288"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w:abstractNumId="30"&gt;
          &lt;w:nsid w:val="22206345" /&gt;
          &lt;w:multiLevelType w:val="hybridMultilevel" /&gt;
          &lt;w:tmpl w:val="1EC8693E"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w:abstractNumId="32"&gt;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w:abstractNumId="33"&gt;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w:abstractNumId="35"&gt;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w:abstractNumId="36"&gt;
          &lt;w:nsid w:val="325E7691" /&gt;
          &lt;w:multiLevelType w:val="hybridMultilevel" /&gt;
          &lt;w:tmpl w:val="E2405C84"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w:abstractNumId="38"&gt;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w:abstractNumId="39"&gt;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w:abstractNumId="41"&gt;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w:abstractNumId="42"&gt;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w:abstractNumId="43"&gt;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w:abstractNumId="44"&gt;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w:abstractNumId="45"&gt;
          &lt;w:nsid w:val="3BFE4B2A" /&gt;
          &lt;w:multiLevelType w:val="hybridMultilevel" /&gt;
          &lt;w:tmpl w:val="0D68D196" /&gt;
          &lt;w:lvl w:ilvl="0" w:tplc="04090001"&gt;
            &lt;w:start w:val="1" /&gt;
            &lt;w:numFmt w:val="bullet"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w:abstractNumId="46"&gt;
          &lt;w:nsid w:val="3DD01B05" /&gt;
          &lt;w:multiLevelType w:val="hybridMultilevel" /&gt;
          &lt;w:tmpl w:val="C7E2CA84" /&gt;
          &lt;w:lvl w:ilvl="0" w:tplc="0409000F"&gt;
            &lt;w:start w:val="1" /&gt;
            &lt;w:numFmt w:val="decimal"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w:abstractNumId="47"&gt;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w:abstractNumId="48"&gt;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w:abstractNumId="49"&gt;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w:abstractNumId="50"&gt;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w:abstractNumId="51"&gt;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w:abstractNumId="52"&gt;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w:abstractNumId="53"&gt;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w:abstractNumId="55"&gt;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w:abstractNumId="56"&gt;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w:abstractNumId="58"&gt;
          &lt;w:nsid w:val="50186FA2" /&gt;
          &lt;w:multiLevelType w:val="hybridMultilevel" /&gt;
          &lt;w:tmpl w:val="97E0D722"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w:abstractNumId="60"&gt;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w:abstractNumId="61"&gt;
          &lt;w:nsid w:val="51740E67" /&gt;
          &lt;w:multiLevelType w:val="hybridMultilevel" /&gt;
          &lt;w:tmpl w:val="6C822940"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w:abstractNumId="62"&gt;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w:abstractNumId="63"&gt;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w:abstractNumId="64"&gt;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w:abstractNumId="65"&gt;
          &lt;w:nsid w:val="55BE2694" /&gt;
          &lt;w:multiLevelType w:val="hybridMultilevel" /&gt;
          &lt;w:tmpl w:val="4C467E8C" /&gt;
          &lt;w:lvl w:ilvl="0" w:tplc="16146F14"&gt;
            &lt;w:start w:val="2"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w:abstractNumId="66"&gt;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w:abstractNumId="67"&gt;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w:abstractNumId="68"&gt;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w:abstractNumId="69"&gt;
          &lt;w:nsid w:val="5F2A1ABE" /&gt;
          &lt;w:multiLevelType w:val="singleLevel" /&gt;
          &lt;w:tmpl w:val="B686D922" /&gt;
          &lt;w:lvl w:ilvl="0"&gt;
            &lt;w:start w:val="1" /&gt;
            &lt;w:numFmt w:val="bullet" /&gt;
            &lt;w:lvlText w:val="" /&gt;
            &lt;w:lvlJc w:val="left" /&gt;
            &lt;w:pPr&gt;
              &lt;w:tabs&gt;
                &lt;w:tab w:val="num" w:pos="432" /&gt;
              &lt;/w:tabs&gt;
              &lt;w:ind w:left="432" w:hanging="432" /&gt;
            &lt;/w:pPr&gt;
            &lt;w:rPr&gt;
              &lt;w:rFonts w:ascii="Symbol" w:hAnsi="Symbol" w:hint="default" /&gt;
            &lt;/w:rPr&gt;
          &lt;/w:lvl&gt;
        &lt;/w:abstractNum&gt;
        &lt;w:abstractNum w:abstractNumId="70"&gt;
          &lt;w:nsid w:val="5F3A6F28" /&gt;
          &lt;w:multiLevelType w:val="hybridMultilevel" /&gt;
          &lt;w:tmpl w:val="E83CD1AC"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w:abstractNumId="71"&gt;
          &lt;w:nsid w:val="611227B5" /&gt;
          &lt;w:multiLevelType w:val="hybridMultilevel" /&gt;
          &lt;w:tmpl w:val="DD861FAE" /&gt;
          &lt;w:lvl w:ilvl="0" w:tplc="04090001"&gt;
            &lt;w:start w:val="1" /&gt;
            &lt;w:numFmt w:val="decimal"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w:abstractNumId="72"&gt;
          &lt;w:nsid w:val="62DB3D68" /&gt;
          &lt;w:multiLevelType w:val="hybridMultilevel" /&gt;
          &lt;w:tmpl w:val="3286A04E" /&gt;
          &lt;w:lvl w:ilvl="0" w:tplc="AF42F0A2"&gt;
            &lt;w:start w:val="1" /&gt;
            &lt;w:numFmt w:val="bullet"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w:abstractNumId="73"&gt;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w:abstractNumId="74"&gt;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w:abstractNumId="75"&gt;
          &lt;w:nsid w:val="63DC4716" /&gt;
          &lt;w:multiLevelType w:val="hybridMultilevel" /&gt;
          &lt;w:tmpl w:val="5E04554C" /&gt;
          &lt;w:lvl w:ilvl="0" w:tplc="0409001B"&gt;
            &lt;w:start w:val="1" /&gt;
            &lt;w:numFmt w:val="lowerRoman" /&gt;
            &lt;w:lvlText w:val="%1." /&gt;
            &lt;w:lvlJc w:val="right" /&gt;
            &lt;w:pPr&gt;
              &lt;w:ind w:left="15480" w:hanging="360" /&gt;
            &lt;/w:pPr&gt;
          &lt;/w:lvl&gt;
          &lt;w:lvl w:ilvl="1" w:tplc="04090003"&gt;
            &lt;w:start w:val="1" /&gt;
            &lt;w:numFmt w:val="lowerLetter" /&gt;
            &lt;w:lvlText w:val="%2." /&gt;
            &lt;w:lvlJc w:val="left" /&gt;
            &lt;w:pPr&gt;
              &lt;w:ind w:left="16200" w:hanging="360" /&gt;
            &lt;/w:pPr&gt;
          &lt;/w:lvl&gt;
          &lt;w:lvl w:ilvl="2" w:tplc="04090005" w:tentative="1"&gt;
            &lt;w:start w:val="1" /&gt;
            &lt;w:numFmt w:val="lowerRoman" /&gt;
            &lt;w:lvlText w:val="%3." /&gt;
            &lt;w:lvlJc w:val="right" /&gt;
            &lt;w:pPr&gt;
              &lt;w:ind w:left="16920" w:hanging="180" /&gt;
            &lt;/w:pPr&gt;
          &lt;/w:lvl&gt;
          &lt;w:lvl w:ilvl="3" w:tplc="04090001" w:tentative="1"&gt;
            &lt;w:start w:val="1" /&gt;
            &lt;w:numFmt w:val="decimal" /&gt;
            &lt;w:lvlText w:val="%4." /&gt;
            &lt;w:lvlJc w:val="left" /&gt;
            &lt;w:pPr&gt;
              &lt;w:ind w:left="17640" w:hanging="360" /&gt;
            &lt;/w:pPr&gt;
          &lt;/w:lvl&gt;
          &lt;w:lvl w:ilvl="4" w:tplc="04090003" w:tentative="1"&gt;
            &lt;w:start w:val="1" /&gt;
            &lt;w:numFmt w:val="lowerLetter" /&gt;
            &lt;w:lvlText w:val="%5." /&gt;
            &lt;w:lvlJc w:val="left" /&gt;
            &lt;w:pPr&gt;
              &lt;w:ind w:left="18360" w:hanging="360" /&gt;
            &lt;/w:pPr&gt;
          &lt;/w:lvl&gt;
          &lt;w:lvl w:ilvl="5" w:tplc="04090005" w:tentative="1"&gt;
            &lt;w:start w:val="1" /&gt;
            &lt;w:numFmt w:val="lowerRoman" /&gt;
            &lt;w:lvlText w:val="%6." /&gt;
            &lt;w:lvlJc w:val="right" /&gt;
            &lt;w:pPr&gt;
              &lt;w:ind w:left="19080" w:hanging="180" /&gt;
            &lt;/w:pPr&gt;
          &lt;/w:lvl&gt;
          &lt;w:lvl w:ilvl="6" w:tplc="04090001" w:tentative="1"&gt;
            &lt;w:start w:val="1" /&gt;
            &lt;w:numFmt w:val="decimal" /&gt;
            &lt;w:lvlText w:val="%7." /&gt;
            &lt;w:lvlJc w:val="left" /&gt;
            &lt;w:pPr&gt;
              &lt;w:ind w:left="19800" w:hanging="360" /&gt;
            &lt;/w:pPr&gt;
          &lt;/w:lvl&gt;
          &lt;w:lvl w:ilvl="7" w:tplc="04090003" w:tentative="1"&gt;
            &lt;w:start w:val="1" /&gt;
            &lt;w:numFmt w:val="lowerLetter" /&gt;
            &lt;w:lvlText w:val="%8." /&gt;
            &lt;w:lvlJc w:val="left" /&gt;
            &lt;w:pPr&gt;
              &lt;w:ind w:left="20520" w:hanging="360" /&gt;
            &lt;/w:pPr&gt;
          &lt;/w:lvl&gt;
          &lt;w:lvl w:ilvl="8" w:tplc="04090005" w:tentative="1"&gt;
            &lt;w:start w:val="1" /&gt;
            &lt;w:numFmt w:val="lowerRoman" /&gt;
            &lt;w:lvlText w:val="%9." /&gt;
            &lt;w:lvlJc w:val="right" /&gt;
            &lt;w:pPr&gt;
              &lt;w:ind w:left="21240" w:hanging="180" /&gt;
            &lt;/w:pPr&gt;
          &lt;/w:lvl&gt;
        &lt;/w:abstractNum&gt;
        &lt;w:abstractNum w:abstractNumId="76"&gt;
          &lt;w:nsid w:val="641A1632" /&gt;
          &lt;w:multiLevelType w:val="hybridMultilevel" /&gt;
          &lt;w:tmpl w:val="EFDC5884"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w:abstractNumId="77"&gt;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w:abstractNumId="78"&gt;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w:abstractNumId="79"&gt;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w:abstractNumId="80"&gt;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w:abstractNumId="81"&gt;
          &lt;w:nsid w:val="6D273DC5" /&gt;
          &lt;w:multiLevelType w:val="hybridMultilevel" /&gt;
          &lt;w:tmpl w:val="0E2AA980" /&gt;
          &lt;w:lvl w:ilvl="0" w:tplc="02D02A38"&gt;
            &lt;w:start w:val="1" /&gt;
            &lt;w:numFmt w:val="decimal" /&gt;
            &lt;w:lvlText w:val="%1." /&gt;
            &lt;w:lvlJc w:val="left" /&gt;
            &lt;w:pPr&gt;
              &lt;w:ind w:left="928" w:hanging="360" /&gt;
            &lt;/w:pPr&gt;
            &lt;w:rPr&gt;
              &lt;w:rFonts w:hint="default" /&gt;
              &lt;w:color w:val="auto" /&gt;
            &lt;/w:rPr&gt;
          &lt;/w:lvl&gt;
          &lt;w:lvl w:ilvl="1" w:tplc="04090019" w:tentative="1"&gt;
            &lt;w:start w:val="1" /&gt;
            &lt;w:numFmt w:val="lowerLetter" /&gt;
            &lt;w:lvlText w:val="%2." /&gt;
            &lt;w:lvlJc w:val="left" /&gt;
            &lt;w:pPr&gt;
              &lt;w:ind w:left="1648" w:hanging="360" /&gt;
            &lt;/w:pPr&gt;
          &lt;/w:lvl&gt;
          &lt;w:lvl w:ilvl="2" w:tplc="0409001B" w:tentative="1"&gt;
            &lt;w:start w:val="1" /&gt;
            &lt;w:numFmt w:val="lowerRoman" /&gt;
            &lt;w:lvlText w:val="%3." /&gt;
            &lt;w:lvlJc w:val="right" /&gt;
            &lt;w:pPr&gt;
              &lt;w:ind w:left="2368" w:hanging="180" /&gt;
            &lt;/w:pPr&gt;
          &lt;/w:lvl&gt;
          &lt;w:lvl w:ilvl="3" w:tplc="0409000F" w:tentative="1"&gt;
            &lt;w:start w:val="1" /&gt;
            &lt;w:numFmt w:val="decimal" /&gt;
            &lt;w:lvlText w:val="%4." /&gt;
            &lt;w:lvlJc w:val="left" /&gt;
            &lt;w:pPr&gt;
              &lt;w:ind w:left="3088" w:hanging="360" /&gt;
            &lt;/w:pPr&gt;
          &lt;/w:lvl&gt;
          &lt;w:lvl w:ilvl="4" w:tplc="04090019" w:tentative="1"&gt;
            &lt;w:start w:val="1" /&gt;
            &lt;w:numFmt w:val="lowerLetter" /&gt;
            &lt;w:lvlText w:val="%5." /&gt;
            &lt;w:lvlJc w:val="left" /&gt;
            &lt;w:pPr&gt;
              &lt;w:ind w:left="3808" w:hanging="360" /&gt;
            &lt;/w:pPr&gt;
          &lt;/w:lvl&gt;
          &lt;w:lvl w:ilvl="5" w:tplc="0409001B" w:tentative="1"&gt;
            &lt;w:start w:val="1" /&gt;
            &lt;w:numFmt w:val="lowerRoman" /&gt;
            &lt;w:lvlText w:val="%6." /&gt;
            &lt;w:lvlJc w:val="right" /&gt;
            &lt;w:pPr&gt;
              &lt;w:ind w:left="4528" w:hanging="180" /&gt;
            &lt;/w:pPr&gt;
          &lt;/w:lvl&gt;
          &lt;w:lvl w:ilvl="6" w:tplc="0409000F" w:tentative="1"&gt;
            &lt;w:start w:val="1" /&gt;
            &lt;w:numFmt w:val="decimal" /&gt;
            &lt;w:lvlText w:val="%7." /&gt;
            &lt;w:lvlJc w:val="left" /&gt;
            &lt;w:pPr&gt;
              &lt;w:ind w:left="5248" w:hanging="360" /&gt;
            &lt;/w:pPr&gt;
          &lt;/w:lvl&gt;
          &lt;w:lvl w:ilvl="7" w:tplc="04090019" w:tentative="1"&gt;
            &lt;w:start w:val="1" /&gt;
            &lt;w:numFmt w:val="lowerLetter" /&gt;
            &lt;w:lvlText w:val="%8." /&gt;
            &lt;w:lvlJc w:val="left" /&gt;
            &lt;w:pPr&gt;
              &lt;w:ind w:left="5968" w:hanging="360" /&gt;
            &lt;/w:pPr&gt;
          &lt;/w:lvl&gt;
          &lt;w:lvl w:ilvl="8" w:tplc="0409001B" w:tentative="1"&gt;
            &lt;w:start w:val="1" /&gt;
            &lt;w:numFmt w:val="lowerRoman" /&gt;
            &lt;w:lvlText w:val="%9." /&gt;
            &lt;w:lvlJc w:val="right" /&gt;
            &lt;w:pPr&gt;
              &lt;w:ind w:left="6688" w:hanging="180" /&gt;
            &lt;/w:pPr&gt;
          &lt;/w:lvl&gt;
        &lt;/w:abstractNum&gt;
        &lt;w:abstractNum w:abstractNumId="82"&gt;
          &lt;w:nsid w:val="6D762647" /&gt;
          &lt;w:multiLevelType w:val="hybridMultilevel" /&gt;
          &lt;w:tmpl w:val="767CFDA0" /&gt;
          &lt;w:lvl w:ilvl="0" w:tplc="8A5430F2"&gt;
            &lt;w:start w:val="1" /&gt;
            &lt;w:numFmt w:val="decimal"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w:abstractNumId="84"&gt;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w:abstractNumId="85"&gt;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w:abstractNumId="86"&gt;
          &lt;w:nsid w:val="715E7661" /&gt;
          &lt;w:multiLevelType w:val="hybridMultilevel" /&gt;
          &lt;w:tmpl w:val="6B644DB4"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w:abstractNumId="87"&gt;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w:abstractNumId="88"&gt;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w:abstractNumId="89"&gt;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w:abstractNumId="90"&gt;
          &lt;w:nsid w:val="7BDD14CF"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w:abstractNumId="91"&gt;
          &lt;w:nsid w:val="7C884488" /&gt;
          &lt;w:multiLevelType w:val="hybridMultilevel" /&gt;
          &lt;w:tmpl w:val="B2223808"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w:abstractNumId="92"&gt;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w:val="46" /&gt;
        &lt;/w:num&gt;
        &lt;w:num w:numId="3"&gt;
          &lt;w:abstractNumId w:val="82" /&gt;
        &lt;/w:num&gt;
        &lt;w:num w:numId="4"&gt;
          &lt;w:abstractNumId w:val="13" /&gt;
        &lt;/w:num&gt;
        &lt;w:num w:numId="5"&gt;
          &lt;w:abstractNumId w:val="45" /&gt;
        &lt;/w:num&gt;
        &lt;w:num w:numId="6"&gt;
          &lt;w:abstractNumId w:val="34" /&gt;
        &lt;/w:num&gt;
        &lt;w:num w:numId="7"&gt;
          &lt;w:abstractNumId w:val="19" /&gt;
        &lt;/w:num&gt;
        &lt;w:num w:numId="8"&gt;
          &lt;w:abstractNumId w:val="16" /&gt;
        &lt;/w:num&gt;
        &lt;w:num w:numId="9"&gt;
          &lt;w:abstractNumId w:val="69" /&gt;
        &lt;/w:num&gt;
        &lt;w:num w:numId="10"&gt;
          &lt;w:abstractNumId w:val="88" /&gt;
        &lt;/w:num&gt;
        &lt;w:num w:numId="11"&gt;
          &lt;w:abstractNumId w:val="50" /&gt;
        &lt;/w:num&gt;
        &lt;w:num w:numId="12"&gt;
          &lt;w:abstractNumId w:val="11" /&gt;
        &lt;/w:num&gt;
        &lt;w:num w:numId="13"&gt;
          &lt;w:abstractNumId w:val="71" /&gt;
        &lt;/w:num&gt;
        &lt;w:num w:numId="14"&gt;
          &lt;w:abstractNumId w:val="40" /&gt;
        &lt;/w:num&gt;
        &lt;w:num w:numId="15"&gt;
          &lt;w:abstractNumId w:val="49" /&gt;
        &lt;/w:num&gt;
        &lt;w:num w:numId="16"&gt;
          &lt;w:abstractNumId w:val="75" /&gt;
        &lt;/w:num&gt;
        &lt;w:num w:numId="17"&gt;
          &lt;w:abstractNumId w:val="72"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w:val="26" /&gt;
        &lt;/w:num&gt;
        &lt;w:num w:numId="19"&gt;
          &lt;w:abstractNumId w:val="77" /&gt;
        &lt;/w:num&gt;
        &lt;w:num w:numId="20"&gt;
          &lt;w:abstractNumId w:val="58" /&gt;
        &lt;/w:num&gt;
        &lt;w:num w:numId="21"&gt;
          &lt;w:abstractNumId w:val="12" /&gt;
        &lt;/w:num&gt;
        &lt;w:num w:numId="22"&gt;
          &lt;w:abstractNumId w:val="66" /&gt;
        &lt;/w:num&gt;
        &lt;w:num w:numId="23"&gt;
          &lt;w:abstractNumId w:val="55" /&gt;
        &lt;/w:num&gt;
        &lt;w:num w:numId="24"&gt;
          &lt;w:abstractNumId w:val="41" /&gt;
        &lt;/w:num&gt;
        &lt;w:num w:numId="25"&gt;
          &lt;w:abstractNumId w:val="54" /&gt;
        &lt;/w:num&gt;
        &lt;w:num w:numId="26"&gt;
          &lt;w:abstractNumId w:val="63" /&gt;
        &lt;/w:num&gt;
        &lt;w:num w:numId="27"&gt;
          &lt;w:abstractNumId w:val="27" /&gt;
        &lt;/w:num&gt;
        &lt;w:num w:numId="28"&gt;
          &lt;w:abstractNumId w:val="92" /&gt;
        &lt;/w:num&gt;
        &lt;w:num w:numId="29"&gt;
          &lt;w:abstractNumId w:val="89" /&gt;
        &lt;/w:num&gt;
        &lt;w:num w:numId="30"&gt;
          &lt;w:abstractNumId w:val="56" /&gt;
        &lt;/w:num&gt;
        &lt;w:num w:numId="31"&gt;
          &lt;w:abstractNumId w:val="38" /&gt;
        &lt;/w:num&gt;
        &lt;w:num w:numId="32"&gt;
          &lt;w:abstractNumId w:val="28" /&gt;
        &lt;/w:num&gt;
        &lt;w:num w:numId="33"&gt;
          &lt;w:abstractNumId w:val="53" /&gt;
        &lt;/w:num&gt;
        &lt;w:num w:numId="34"&gt;
          &lt;w:abstractNumId w:val="37" /&gt;
        &lt;/w:num&gt;
        &lt;w:num w:numId="35"&gt;
          &lt;w:abstractNumId w:val="64" /&gt;
        &lt;/w:num&gt;
        &lt;w:num w:numId="36"&gt;
          &lt;w:abstractNumId w:val="44" /&gt;
        &lt;/w:num&gt;
        &lt;w:num w:numId="37"&gt;
          &lt;w:abstractNumId w:val="24" /&gt;
        &lt;/w:num&gt;
        &lt;w:num w:numId="38"&gt;
          &lt;w:abstractNumId w:val="68" /&gt;
        &lt;/w:num&gt;
        &lt;w:num w:numId="39"&gt;
          &lt;w:abstractNumId w:val="33" /&gt;
        &lt;/w:num&gt;
        &lt;w:num w:numId="40"&gt;
          &lt;w:abstractNumId w:val="42" /&gt;
        &lt;/w:num&gt;
        &lt;w:num w:numId="41"&gt;
          &lt;w:abstractNumId w:val="70" /&gt;
        &lt;/w:num&gt;
        &lt;w:num w:numId="42"&gt;
          &lt;w:abstractNumId w:val="57" /&gt;
        &lt;/w:num&gt;
        &lt;w:num w:numId="43"&gt;
          &lt;w:abstractNumId w:val="51" /&gt;
        &lt;/w:num&gt;
        &lt;w:num w:numId="44"&gt;
          &lt;w:abstractNumId w:val="73" /&gt;
        &lt;/w:num&gt;
        &lt;w:num w:numId="45"&gt;
          &lt;w:abstractNumId w:val="84" /&gt;
        &lt;/w:num&gt;
        &lt;w:num w:numId="46"&gt;
          &lt;w:abstractNumId w:val="39" /&gt;
        &lt;/w:num&gt;
        &lt;w:num w:numId="47"&gt;
          &lt;w:abstractNumId w:val="35" /&gt;
        &lt;/w:num&gt;
        &lt;w:num w:numId="48"&gt;
          &lt;w:abstractNumId w:val="21" /&gt;
        &lt;/w:num&gt;
        &lt;w:num w:numId="49"&gt;
          &lt;w:abstractNumId w:val="14" /&gt;
        &lt;/w:num&gt;
        &lt;w:num w:numId="50"&gt;
          &lt;w:abstractNumId w:val="15" /&gt;
        &lt;/w:num&gt;
        &lt;w:num w:numId="51"&gt;
          &lt;w:abstractNumId w:val="83" /&gt;
        &lt;/w:num&gt;
        &lt;w:num w:numId="52"&gt;
          &lt;w:abstractNumId w:val="81" /&gt;
        &lt;/w:num&gt;
        &lt;w:num w:numId="53"&gt;
          &lt;w:abstractNumId w:val="32" /&gt;
        &lt;/w:num&gt;
        &lt;w:num w:numId="54"&gt;
          &lt;w:abstractNumId w:val="52" /&gt;
        &lt;/w:num&gt;
        &lt;w:num w:numId="55"&gt;
          &lt;w:abstractNumId w:val="78" /&gt;
        &lt;/w:num&gt;
        &lt;w:num w:numId="56"&gt;
          &lt;w:abstractNumId w:val="87" /&gt;
        &lt;/w:num&gt;
        &lt;w:num w:numId="57"&gt;
          &lt;w:abstractNumId w:val="20" /&gt;
        &lt;/w:num&gt;
        &lt;w:num w:numId="58"&gt;
          &lt;w:abstractNumId w:val="67" /&gt;
        &lt;/w:num&gt;
        &lt;w:num w:numId="59"&gt;
          &lt;w:abstractNumId w:val="85" /&gt;
        &lt;/w:num&gt;
        &lt;w:num w:numId="60"&gt;
          &lt;w:abstractNumId w:val="60" /&gt;
        &lt;/w:num&gt;
        &lt;w:num w:numId="61"&gt;
          &lt;w:abstractNumId w:val="59" /&gt;
        &lt;/w:num&gt;
        &lt;w:num w:numId="62"&gt;
          &lt;w:abstractNumId w:val="31" /&gt;
        &lt;/w:num&gt;
        &lt;w:num w:numId="63"&gt;
          &lt;w:abstractNumId w:val="74" /&gt;
        &lt;/w:num&gt;
        &lt;w:num w:numId="64"&gt;
          &lt;w:abstractNumId w:val="22" /&gt;
        &lt;/w:num&gt;
        &lt;w:num w:numId="65"&gt;
          &lt;w:abstractNumId w:val="48" /&gt;
        &lt;/w:num&gt;
        &lt;w:num w:numId="66"&gt;
          &lt;w:abstractNumId w:val="80" /&gt;
        &lt;/w:num&gt;
        &lt;w:num w:numId="67"&gt;
          &lt;w:abstractNumId w:val="10" /&gt;
        &lt;/w:num&gt;
        &lt;w:num w:numId="68"&gt;
          &lt;w:abstractNumId w:val="47" /&gt;
        &lt;/w:num&gt;
        &lt;w:num w:numId="69"&gt;
          &lt;w:abstractNumId w:val="18" /&gt;
        &lt;/w:num&gt;
        &lt;w:num w:numId="70"&gt;
          &lt;w:abstractNumId w:val="43" /&gt;
        &lt;/w:num&gt;
        &lt;w:num w:numId="71"&gt;
          &lt;w:abstractNumId w:val="79" /&gt;
        &lt;/w:num&gt;
        &lt;w:num w:numId="72"&gt;
          &lt;w:abstractNumId w:val="62" /&gt;
        &lt;/w:num&gt;
        &lt;w:num w:numId="73"&gt;
          &lt;w:abstractNumId w:val="7" /&gt;
        &lt;/w:num&gt;
        &lt;w:num w:numId="74"&gt;
          &lt;w:abstractNumId w:val="6" /&gt;
        &lt;/w:num&gt;
        &lt;w:num w:numId="75"&gt;
          &lt;w:abstractNumId w:val="5" /&gt;
        &lt;/w:num&gt;
        &lt;w:num w:numId="76"&gt;
          &lt;w:abstractNumId w:val="4" /&gt;
        &lt;/w:num&gt;
        &lt;w:num w:numId="77"&gt;
          &lt;w:abstractNumId w:val="8" /&gt;
        &lt;/w:num&gt;
        &lt;w:num w:numId="78"&gt;
          &lt;w:abstractNumId w:val="3" /&gt;
        &lt;/w:num&gt;
        &lt;w:num w:numId="79"&gt;
          &lt;w:abstractNumId w:val="2" /&gt;
        &lt;/w:num&gt;
        &lt;w:num w:numId="80"&gt;
          &lt;w:abstractNumId w:val="1" /&gt;
        &lt;/w:num&gt;
        &lt;w:num w:numId="81"&gt;
          &lt;w:abstractNumId w:val="0" /&gt;
        &lt;/w:num&gt;
        &lt;w:num w:numId="82"&gt;
          &lt;w:abstractNumId w:val="29" /&gt;
        &lt;/w:num&gt;
        &lt;w:num w:numId="83"&gt;
          &lt;w:abstractNumId w:val="76" /&gt;
        &lt;/w:num&gt;
        &lt;w:num w:numId="84"&gt;
          &lt;w:abstractNumId w:val="17" /&gt;
        &lt;/w:num&gt;
        &lt;w:num w:numId="85"&gt;
          &lt;w:abstractNumId w:val="25" /&gt;
        &lt;/w:num&gt;
        &lt;w:num w:numId="86"&gt;
          &lt;w:abstractNumId w:val="90" /&gt;
        &lt;/w:num&gt;
        &lt;w:num w:numId="87"&gt;
          &lt;w:abstractNumId w:val="65" /&gt;
        &lt;/w:num&gt;
        &lt;w:num w:numId="88"&gt;
          &lt;w:abstractNumId w:val="86" /&gt;
        &lt;/w:num&gt;
        &lt;w:num w:numId="89"&gt;
          &lt;w:abstractNumId w:val="30" /&gt;
        &lt;/w:num&gt;
        &lt;w:num w:numId="90"&gt;
          &lt;w:abstractNumId w:val="36" /&gt;
        &lt;/w:num&gt;
        &lt;w:num w:numId="91"&gt;
          &lt;w:abstractNumId w:val="23" /&gt;
        &lt;/w:num&gt;
        &lt;w:num w:numId="92"&gt;
          &lt;w:abstractNumId w:val="91" /&gt;
        &lt;/w:num&gt;
        &lt;w:num w:numId="93"&gt;
          &lt;w:abstractNumId w:val="61" /&gt;
        &lt;/w:num&gt;
        &lt;w:numIdMacAtCleanup w:val="90" /&gt;
      &lt;/w:numbering&gt;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w:id="2057311510"&gt;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w:id="2118090268"&gt;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pkg:name="/word/people.xml" pkg:contentType="application/vnd.openxmlformats-officedocument.wordprocessingml.people+xml"&gt;
    &lt;pkg:xmlData&gt;
      &lt;w15:people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&lt;w15:person w15:author="Stacy Tegan"&gt;
          &lt;w15:presenceInfo w15:providerId="None" w15:userId="Stacy Tegan" /&gt;
        &lt;/w15:person&gt;
      &lt;/w15:people&gt;
    &lt;/pkg:xmlData&gt;
  &lt;/pkg:part&gt;
  &lt;pkg:part pkg:name="/word/commentsExtended.xml" pkg:contentType="application/vnd.openxmlformats-officedocument.wordprocessingml.commentsExtended+xml"&gt;
    &lt;pkg:xmlData&gt;
      &lt;w15:commentsEx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&lt;w15:commentEx w15:paraId="3A53BF52" w15:done="0" /&gt;
        &lt;w15:commentEx w15:paraId="21D7C13A" w15:done="0" /&gt;
        &lt;w15:commentEx w15:paraId="2451C35C" w15:done="0" /&gt;
        &lt;w15:commentEx w15:paraId="153CB5F7" w15:done="0" /&gt;
        &lt;w15:commentEx w15:paraId="003DF36E" w15:done="0" /&gt;
        &lt;w15:commentEx w15:paraId="188BD655" w15:done="0" /&gt;
        &lt;w15:commentEx w15:paraId="6DCF61D8" w15:done="0" /&gt;
        &lt;w15:commentEx w15:paraId="18BB442E" w15:done="0" /&gt;
        &lt;w15:commentEx w15:paraId="7437DC8F" w15:done="0" /&gt;
        &lt;w15:commentEx w15:paraId="263809FA" w15:done="0" /&gt;
        &lt;w15:commentEx w15:paraId="44BD0A90" w15:done="0" /&gt;
        &lt;w15:commentEx w15:paraId="2EFD0CEA" w15:done="0" /&gt;
      &lt;/w15:commentsEx&gt;
    &lt;/pkg:xmlData&gt;
  &lt;/pkg:part&gt;
&lt;/pkg:package&gt;</ExclusionCriteriaMedicalConditions>
    <ExclusionCriteriaPriorConcomitantTherapy>&lt;?mso-application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Id="rId34" Type="http://schemas.microsoft.com/office/2011/relationships/people" Target="people.xml" /&gt;
        &lt;Relationship Id="rId7" Type="http://schemas.openxmlformats.org/officeDocument/2006/relationships/endnotes" Target="endnotes.xml" /&gt;
        &lt;Relationship Id="rId33" Type="http://schemas.microsoft.com/office/2011/relationships/commentsExtended" Target="commentsExtended.xml"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Id="rId4" Type="http://schemas.openxmlformats.org/officeDocument/2006/relationships/settings" Target="settings.xml" /&gt;
        &lt;Relationship Id="rId9" Type="http://schemas.openxmlformats.org/officeDocument/2006/relationships/theme" Target="theme/theme1.xml"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&lt;w:p&gt;
            &lt;w:pPr&gt;
              &lt;w:pStyle w:val="ListParagraph" /&gt;
              &lt;w:numPr&gt;
                &lt;w:ilvl w:val="0" /&gt;
                &lt;w:numId w:val="52" /&gt;
              &lt;/w:numPr&gt;
              &lt;w:ind w:left="709" /&gt;
            &lt;/w:pPr&gt;
            &lt;w:r&gt;
              &lt;w:rPr&gt;
                &lt;w:color w:val="0070C0" /&gt;
              &lt;/w:rPr&gt;
              &lt;w:t&gt;[]&lt;/w:t&gt;
            &lt;/w:r&gt;
          &lt;/w:p&gt;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&lt;w:p /&gt;
          &lt;w:p /&gt;
          &lt;w:p /&gt;
        &lt;/w:endnote&gt;
        &lt;w:endnote w:type="continuationSeparator" w:id="0"&gt;
          &lt;w:p&gt;
            &lt;w:pPr&gt;
              &lt;w:spacing w:after="0" w:line="240" w:lineRule="auto" /&gt;
            &lt;/w:pPr&gt;
            &lt;w:r&gt;
              &lt;w:continuationSeparator /&gt;
            &lt;/w:r&gt;
          &lt;/w:p&gt;
          &lt;w:p /&gt;
          &lt;w:p /&gt;
          &lt;w:p /&gt;
        &lt;/w:endnote&gt;
        &lt;w:endnote w:type="continuationNotice" w:id="1"&gt;
          &lt;w:p&gt;
            &lt;w:pPr&gt;
              &lt;w:spacing w:after="0" w:line="240" w:lineRule="auto" /&gt;
            &lt;/w:pPr&gt;
          &lt;/w:p&gt;
          &lt;w:p /&gt;
          &lt;w:p /&gt;
          &lt;w:p /&gt;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&lt;w:p /&gt;
          &lt;w:p /&gt;
          &lt;w:p /&gt;
        &lt;/w:footnote&gt;
        &lt;w:footnote w:type="continuationSeparator" w:id="0"&gt;
          &lt;w:p&gt;
            &lt;w:pPr&gt;
              &lt;w:spacing w:after="0" w:line="240" w:lineRule="auto" /&gt;
            &lt;/w:pPr&gt;
            &lt;w:r&gt;
              &lt;w:continuationSeparator /&gt;
            &lt;/w:r&gt;
          &lt;/w:p&gt;
          &lt;w:p /&gt;
          &lt;w:p /&gt;
          &lt;w:p /&gt;
        &lt;/w:footnote&gt;
        &lt;w:footnote w:type="continuationNotice" w:id="1"&gt;
          &lt;w:p&gt;
            &lt;w:pPr&gt;
              &lt;w:spacing w:after="0" w:line="240" w:lineRule="auto" /&gt;
            &lt;/w:pPr&gt;
          &lt;/w:p&gt;
          &lt;w:p /&gt;
          &lt;w:p /&gt;
          &lt;w:p /&gt;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w:percent="100"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w:val="14" /&gt;
          &lt;w:compatSetting w:name="overrideTableStyleFontSizeAndJustification" w:uri="http://schemas.microsoft.com/office/word" w:val="1" /&gt;
          &lt;w:compatSetting w:name="enableOpenTypeFeatures" w:uri="http://schemas.microsoft.com/office/word" w:val="1" /&gt;
          &lt;w:compatSetting w:name="doNotFlipMirrorIndents" w:uri="http://schemas.microsoft.com/office/word" w:val="1" /&gt;
        &lt;/w:compat&gt;
        &lt;w:docVars&gt;
          &lt;w:docVar w:name="LibraryFilter" w:val="V2.1_CPT Library_Asthma Master.docx,V2.1_CPT_Library_Diabetes Master.docx|V2.1_CPT Library_Healthy Volunteer Master.docx,V2.1_CPT Library_Patient Master.docx|"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w:usb0="E00002FF" w:usb1="4000ACFF" w:usb2="00000001"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w:val="0F8CE2AE" /&gt;
          &lt;w:lvl w:ilvl="0"&gt;
            &lt;w:start w:val="1" /&gt;
            &lt;w:numFmt w:val="decimal" /&gt;
            &lt;w:pStyle w:val="ListNumber"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w:abstractNumId="13"&gt;
          &lt;w:nsid w:val="0B5267F0" /&gt;
          &lt;w:multiLevelType w:val="hybridMultilevel" /&gt;
          &lt;w:tmpl w:val="7992709C" /&gt;
          &lt;w:lvl w:ilvl="0" w:tplc="EAD0C812"&gt;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w:abstractNumId="14"&gt;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w:val="0F4E5AC4" /&gt;
          &lt;w:multiLevelType w:val="singleLevel" /&gt;
          &lt;w:tmpl w:val="62E445DA" /&gt;
          &lt;w:lvl w:ilvl="0"&gt;
            &lt;w:start w:val="1" /&gt;
            &lt;w:numFmt w:val="decimal" /&gt;
            &lt;w:lvlText w:val="%1." /&gt;
            &lt;w:lvlJc w:val="left" /&gt;
            &lt;w:pPr&gt;
              &lt;w:tabs&gt;
                &lt;w:tab w:val="num" w:pos="432" /&gt;
              &lt;/w:tabs&gt;
              &lt;w:ind w:left="432" w:hanging="432" /&gt;
            &lt;/w:pPr&gt;
            &lt;w:rPr&gt;
              &lt;w:rFonts w:hint="default" /&gt;
            &lt;/w:rPr&gt;
          &lt;/w:lvl&gt;
        &lt;/w:abstractNum&gt;
        &lt;w:abstractNum w:abstractNumId="17"&gt;
          &lt;w:nsid w:val="104F4ABA" /&gt;
          &lt;w:multiLevelType w:val="hybridMultilevel" /&gt;
          &lt;w:tmpl w:val="F152626E" /&gt;
          &lt;w:lvl w:ilvl="0" w:tplc="04090003"&gt;
            &lt;w:start w:val="1" /&gt;
            &lt;w:numFmt w:val="bullet" /&gt;
            &lt;w:lvlText w:val="o" /&gt;
            &lt;w:lvlJc w:val="left" /&gt;
            &lt;w:pPr&gt;
              &lt;w:ind w:left="1080" w:hanging="360" /&gt;
            &lt;/w:pPr&gt;
            &lt;w:rPr&gt;
              &lt;w:rFonts w:ascii="Courier New" w:hAnsi="Courier New" w:cs="Courier New"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w:abstractNumId="18"&gt;
          &lt;w:nsid w:val="13490AF4" /&gt;
          &lt;w:multiLevelType w:val="hybridMultilevel" /&gt;
          &lt;w:tmpl w:val="61DEFBCC" /&gt;
          &lt;w:lvl w:ilvl="0" w:tplc="77A6A24A"&gt;
            &lt;w:start w:val="1" /&gt;
            &lt;w:numFmt w:val="bullet" /&gt;
            &lt;w:lvlText w:val="" /&gt;
            &lt;w:lvlJc w:val="left" /&gt;
            &lt;w:pPr&gt;
              &lt;w:ind w:left="720" w:hanging="360" /&gt;
            &lt;/w:pPr&gt;
            &lt;w:rPr&gt;
              &lt;w:rFonts w:ascii="Symbol" w:hAnsi="Symbol" w:hint="default" /&gt;
              &lt;w:color w:val="auto"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w:val="1C082410" /&gt;
          &lt;w:multiLevelType w:val="hybridMultilevel" /&gt;
          &lt;w:tmpl w:val="D5F235DA"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w:abstractNumId="24"&gt;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w:val="1D4D390B" /&gt;
          &lt;w:multiLevelType w:val="hybridMultilevel" /&gt;
          &lt;w:tmpl w:val="253E2E92" /&gt;
          &lt;w:lvl w:ilvl="0" w:tplc="04090001"&gt;
            &lt;w:start w:val="1" /&gt;
            &lt;w:numFmt w:val="bullet" /&gt;
            &lt;w:lvlText w:val="" /&gt;
            &lt;w:lvlJc w:val="left" /&gt;
            &lt;w:pPr&gt;
              &lt;w:ind w:left="1080" w:hanging="360" /&gt;
            &lt;/w:pPr&gt;
            &lt;w:rPr&gt;
              &lt;w:rFonts w:ascii="Symbol" w:hAnsi="Symbol"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w:abstractNumId="26"&gt;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w:abstractNumId="27"&gt;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w:abstractNumId="28"&gt;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w:abstractNumId="29"&gt;
          &lt;w:nsid w:val="1FF81BC6" /&gt;
          &lt;w:multiLevelType w:val="hybridMultilevel" /&gt;
          &lt;w:tmpl w:val="B23AF288"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w:abstractNumId="30"&gt;
          &lt;w:nsid w:val="22206345" /&gt;
          &lt;w:multiLevelType w:val="hybridMultilevel" /&gt;
          &lt;w:tmpl w:val="1EC8693E"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w:abstractNumId="32"&gt;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w:abstractNumId="33"&gt;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w:abstractNumId="35"&gt;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w:abstractNumId="36"&gt;
          &lt;w:nsid w:val="325E7691" /&gt;
          &lt;w:multiLevelType w:val="hybridMultilevel" /&gt;
          &lt;w:tmpl w:val="E2405C84"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w:abstractNumId="38"&gt;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w:abstractNumId="39"&gt;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w:abstractNumId="41"&gt;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w:abstractNumId="42"&gt;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w:abstractNumId="43"&gt;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w:abstractNumId="44"&gt;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w:abstractNumId="45"&gt;
          &lt;w:nsid w:val="3BFE4B2A" /&gt;
          &lt;w:multiLevelType w:val="hybridMultilevel" /&gt;
          &lt;w:tmpl w:val="0D68D196" /&gt;
          &lt;w:lvl w:ilvl="0" w:tplc="04090001"&gt;
            &lt;w:start w:val="1" /&gt;
            &lt;w:numFmt w:val="bullet"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w:abstractNumId="46"&gt;
          &lt;w:nsid w:val="3DD01B05" /&gt;
          &lt;w:multiLevelType w:val="hybridMultilevel" /&gt;
          &lt;w:tmpl w:val="C7E2CA84" /&gt;
          &lt;w:lvl w:ilvl="0" w:tplc="0409000F"&gt;
            &lt;w:start w:val="1" /&gt;
            &lt;w:numFmt w:val="decimal"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w:abstractNumId="47"&gt;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w:abstractNumId="48"&gt;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w:abstractNumId="49"&gt;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w:abstractNumId="50"&gt;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w:abstractNumId="51"&gt;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w:abstractNumId="52"&gt;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w:abstractNumId="53"&gt;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w:abstractNumId="55"&gt;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w:abstractNumId="56"&gt;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w:abstractNumId="58"&gt;
          &lt;w:nsid w:val="50186FA2" /&gt;
          &lt;w:multiLevelType w:val="hybridMultilevel" /&gt;
          &lt;w:tmpl w:val="97E0D722"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w:abstractNumId="60"&gt;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w:abstractNumId="61"&gt;
          &lt;w:nsid w:val="51740E67" /&gt;
          &lt;w:multiLevelType w:val="hybridMultilevel" /&gt;
          &lt;w:tmpl w:val="6C822940"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w:abstractNumId="62"&gt;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w:abstractNumId="63"&gt;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w:abstractNumId="64"&gt;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w:abstractNumId="65"&gt;
          &lt;w:nsid w:val="55BE2694" /&gt;
          &lt;w:multiLevelType w:val="hybridMultilevel" /&gt;
          &lt;w:tmpl w:val="4C467E8C" /&gt;
          &lt;w:lvl w:ilvl="0" w:tplc="16146F14"&gt;
            &lt;w:start w:val="2"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w:abstractNumId="66"&gt;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w:abstractNumId="67"&gt;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w:abstractNumId="68"&gt;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w:abstractNumId="69"&gt;
          &lt;w:nsid w:val="5F2A1ABE" /&gt;
          &lt;w:multiLevelType w:val="singleLevel" /&gt;
          &lt;w:tmpl w:val="B686D922" /&gt;
          &lt;w:lvl w:ilvl="0"&gt;
            &lt;w:start w:val="1" /&gt;
            &lt;w:numFmt w:val="bullet" /&gt;
            &lt;w:lvlText w:val="" /&gt;
            &lt;w:lvlJc w:val="left" /&gt;
            &lt;w:pPr&gt;
              &lt;w:tabs&gt;
                &lt;w:tab w:val="num" w:pos="432" /&gt;
              &lt;/w:tabs&gt;
              &lt;w:ind w:left="432" w:hanging="432" /&gt;
            &lt;/w:pPr&gt;
            &lt;w:rPr&gt;
              &lt;w:rFonts w:ascii="Symbol" w:hAnsi="Symbol" w:hint="default" /&gt;
            &lt;/w:rPr&gt;
          &lt;/w:lvl&gt;
        &lt;/w:abstractNum&gt;
        &lt;w:abstractNum w:abstractNumId="70"&gt;
          &lt;w:nsid w:val="5F3A6F28" /&gt;
          &lt;w:multiLevelType w:val="hybridMultilevel" /&gt;
          &lt;w:tmpl w:val="E83CD1AC"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w:abstractNumId="71"&gt;
          &lt;w:nsid w:val="611227B5" /&gt;
          &lt;w:multiLevelType w:val="hybridMultilevel" /&gt;
          &lt;w:tmpl w:val="DD861FAE" /&gt;
          &lt;w:lvl w:ilvl="0" w:tplc="04090001"&gt;
            &lt;w:start w:val="1" /&gt;
            &lt;w:numFmt w:val="decimal"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w:abstractNumId="72"&gt;
          &lt;w:nsid w:val="62DB3D68" /&gt;
          &lt;w:multiLevelType w:val="hybridMultilevel" /&gt;
          &lt;w:tmpl w:val="3286A04E" /&gt;
          &lt;w:lvl w:ilvl="0" w:tplc="AF42F0A2"&gt;
            &lt;w:start w:val="1" /&gt;
            &lt;w:numFmt w:val="bullet"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w:abstractNumId="73"&gt;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w:abstractNumId="74"&gt;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w:abstractNumId="75"&gt;
          &lt;w:nsid w:val="63DC4716" /&gt;
          &lt;w:multiLevelType w:val="hybridMultilevel" /&gt;
          &lt;w:tmpl w:val="5E04554C" /&gt;
          &lt;w:lvl w:ilvl="0" w:tplc="0409001B"&gt;
            &lt;w:start w:val="1" /&gt;
            &lt;w:numFmt w:val="lowerRoman" /&gt;
            &lt;w:lvlText w:val="%1." /&gt;
            &lt;w:lvlJc w:val="right" /&gt;
            &lt;w:pPr&gt;
              &lt;w:ind w:left="15480" w:hanging="360" /&gt;
            &lt;/w:pPr&gt;
          &lt;/w:lvl&gt;
          &lt;w:lvl w:ilvl="1" w:tplc="04090003"&gt;
            &lt;w:start w:val="1" /&gt;
            &lt;w:numFmt w:val="lowerLetter" /&gt;
            &lt;w:lvlText w:val="%2." /&gt;
            &lt;w:lvlJc w:val="left" /&gt;
            &lt;w:pPr&gt;
              &lt;w:ind w:left="16200" w:hanging="360" /&gt;
            &lt;/w:pPr&gt;
          &lt;/w:lvl&gt;
          &lt;w:lvl w:ilvl="2" w:tplc="04090005" w:tentative="1"&gt;
            &lt;w:start w:val="1" /&gt;
            &lt;w:numFmt w:val="lowerRoman" /&gt;
            &lt;w:lvlText w:val="%3." /&gt;
            &lt;w:lvlJc w:val="right" /&gt;
            &lt;w:pPr&gt;
              &lt;w:ind w:left="16920" w:hanging="180" /&gt;
            &lt;/w:pPr&gt;
          &lt;/w:lvl&gt;
          &lt;w:lvl w:ilvl="3" w:tplc="04090001" w:tentative="1"&gt;
            &lt;w:start w:val="1" /&gt;
            &lt;w:numFmt w:val="decimal" /&gt;
            &lt;w:lvlText w:val="%4." /&gt;
            &lt;w:lvlJc w:val="left" /&gt;
            &lt;w:pPr&gt;
              &lt;w:ind w:left="17640" w:hanging="360" /&gt;
            &lt;/w:pPr&gt;
          &lt;/w:lvl&gt;
          &lt;w:lvl w:ilvl="4" w:tplc="04090003" w:tentative="1"&gt;
            &lt;w:start w:val="1" /&gt;
            &lt;w:numFmt w:val="lowerLetter" /&gt;
            &lt;w:lvlText w:val="%5." /&gt;
            &lt;w:lvlJc w:val="left" /&gt;
            &lt;w:pPr&gt;
              &lt;w:ind w:left="18360" w:hanging="360" /&gt;
            &lt;/w:pPr&gt;
          &lt;/w:lvl&gt;
          &lt;w:lvl w:ilvl="5" w:tplc="04090005" w:tentative="1"&gt;
            &lt;w:start w:val="1" /&gt;
            &lt;w:numFmt w:val="lowerRoman" /&gt;
            &lt;w:lvlText w:val="%6." /&gt;
            &lt;w:lvlJc w:val="right" /&gt;
            &lt;w:pPr&gt;
              &lt;w:ind w:left="19080" w:hanging="180" /&gt;
            &lt;/w:pPr&gt;
          &lt;/w:lvl&gt;
          &lt;w:lvl w:ilvl="6" w:tplc="04090001" w:tentative="1"&gt;
            &lt;w:start w:val="1" /&gt;
            &lt;w:numFmt w:val="decimal" /&gt;
            &lt;w:lvlText w:val="%7." /&gt;
            &lt;w:lvlJc w:val="left" /&gt;
            &lt;w:pPr&gt;
              &lt;w:ind w:left="19800" w:hanging="360" /&gt;
            &lt;/w:pPr&gt;
          &lt;/w:lvl&gt;
          &lt;w:lvl w:ilvl="7" w:tplc="04090003" w:tentative="1"&gt;
            &lt;w:start w:val="1" /&gt;
            &lt;w:numFmt w:val="lowerLetter" /&gt;
            &lt;w:lvlText w:val="%8." /&gt;
            &lt;w:lvlJc w:val="left" /&gt;
            &lt;w:pPr&gt;
              &lt;w:ind w:left="20520" w:hanging="360" /&gt;
            &lt;/w:pPr&gt;
          &lt;/w:lvl&gt;
          &lt;w:lvl w:ilvl="8" w:tplc="04090005" w:tentative="1"&gt;
            &lt;w:start w:val="1" /&gt;
            &lt;w:numFmt w:val="lowerRoman" /&gt;
            &lt;w:lvlText w:val="%9." /&gt;
            &lt;w:lvlJc w:val="right" /&gt;
            &lt;w:pPr&gt;
              &lt;w:ind w:left="21240" w:hanging="180" /&gt;
            &lt;/w:pPr&gt;
          &lt;/w:lvl&gt;
        &lt;/w:abstractNum&gt;
        &lt;w:abstractNum w:abstractNumId="76"&gt;
          &lt;w:nsid w:val="641A1632" /&gt;
          &lt;w:multiLevelType w:val="hybridMultilevel" /&gt;
          &lt;w:tmpl w:val="EFDC5884"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w:abstractNumId="77"&gt;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w:abstractNumId="78"&gt;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w:abstractNumId="79"&gt;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w:abstractNumId="80"&gt;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w:abstractNumId="81"&gt;
          &lt;w:nsid w:val="6D273DC5" /&gt;
          &lt;w:multiLevelType w:val="hybridMultilevel" /&gt;
          &lt;w:tmpl w:val="0E2AA980" /&gt;
          &lt;w:lvl w:ilvl="0" w:tplc="02D02A38"&gt;
            &lt;w:start w:val="1" /&gt;
            &lt;w:numFmt w:val="decimal" /&gt;
            &lt;w:lvlText w:val="%1." /&gt;
            &lt;w:lvlJc w:val="left" /&gt;
            &lt;w:pPr&gt;
              &lt;w:ind w:left="928" w:hanging="360" /&gt;
            &lt;/w:pPr&gt;
            &lt;w:rPr&gt;
              &lt;w:rFonts w:hint="default" /&gt;
              &lt;w:color w:val="auto" /&gt;
            &lt;/w:rPr&gt;
          &lt;/w:lvl&gt;
          &lt;w:lvl w:ilvl="1" w:tplc="04090019" w:tentative="1"&gt;
            &lt;w:start w:val="1" /&gt;
            &lt;w:numFmt w:val="lowerLetter" /&gt;
            &lt;w:lvlText w:val="%2." /&gt;
            &lt;w:lvlJc w:val="left" /&gt;
            &lt;w:pPr&gt;
              &lt;w:ind w:left="1648" w:hanging="360" /&gt;
            &lt;/w:pPr&gt;
          &lt;/w:lvl&gt;
          &lt;w:lvl w:ilvl="2" w:tplc="0409001B" w:tentative="1"&gt;
            &lt;w:start w:val="1" /&gt;
            &lt;w:numFmt w:val="lowerRoman" /&gt;
            &lt;w:lvlText w:val="%3." /&gt;
            &lt;w:lvlJc w:val="right" /&gt;
            &lt;w:pPr&gt;
              &lt;w:ind w:left="2368" w:hanging="180" /&gt;
            &lt;/w:pPr&gt;
          &lt;/w:lvl&gt;
          &lt;w:lvl w:ilvl="3" w:tplc="0409000F" w:tentative="1"&gt;
            &lt;w:start w:val="1" /&gt;
            &lt;w:numFmt w:val="decimal" /&gt;
            &lt;w:lvlText w:val="%4." /&gt;
            &lt;w:lvlJc w:val="left" /&gt;
            &lt;w:pPr&gt;
              &lt;w:ind w:left="3088" w:hanging="360" /&gt;
            &lt;/w:pPr&gt;
          &lt;/w:lvl&gt;
          &lt;w:lvl w:ilvl="4" w:tplc="04090019" w:tentative="1"&gt;
            &lt;w:start w:val="1" /&gt;
            &lt;w:numFmt w:val="lowerLetter" /&gt;
            &lt;w:lvlText w:val="%5." /&gt;
            &lt;w:lvlJc w:val="left" /&gt;
            &lt;w:pPr&gt;
              &lt;w:ind w:left="3808" w:hanging="360" /&gt;
            &lt;/w:pPr&gt;
          &lt;/w:lvl&gt;
          &lt;w:lvl w:ilvl="5" w:tplc="0409001B" w:tentative="1"&gt;
            &lt;w:start w:val="1" /&gt;
            &lt;w:numFmt w:val="lowerRoman" /&gt;
            &lt;w:lvlText w:val="%6." /&gt;
            &lt;w:lvlJc w:val="right" /&gt;
            &lt;w:pPr&gt;
              &lt;w:ind w:left="4528" w:hanging="180" /&gt;
            &lt;/w:pPr&gt;
          &lt;/w:lvl&gt;
          &lt;w:lvl w:ilvl="6" w:tplc="0409000F" w:tentative="1"&gt;
            &lt;w:start w:val="1" /&gt;
            &lt;w:numFmt w:val="decimal" /&gt;
            &lt;w:lvlText w:val="%7." /&gt;
            &lt;w:lvlJc w:val="left" /&gt;
            &lt;w:pPr&gt;
              &lt;w:ind w:left="5248" w:hanging="360" /&gt;
            &lt;/w:pPr&gt;
          &lt;/w:lvl&gt;
          &lt;w:lvl w:ilvl="7" w:tplc="04090019" w:tentative="1"&gt;
            &lt;w:start w:val="1" /&gt;
            &lt;w:numFmt w:val="lowerLetter" /&gt;
            &lt;w:lvlText w:val="%8." /&gt;
            &lt;w:lvlJc w:val="left" /&gt;
            &lt;w:pPr&gt;
              &lt;w:ind w:left="5968" w:hanging="360" /&gt;
            &lt;/w:pPr&gt;
          &lt;/w:lvl&gt;
          &lt;w:lvl w:ilvl="8" w:tplc="0409001B" w:tentative="1"&gt;
            &lt;w:start w:val="1" /&gt;
            &lt;w:numFmt w:val="lowerRoman" /&gt;
            &lt;w:lvlText w:val="%9." /&gt;
            &lt;w:lvlJc w:val="right" /&gt;
            &lt;w:pPr&gt;
              &lt;w:ind w:left="6688" w:hanging="180" /&gt;
            &lt;/w:pPr&gt;
          &lt;/w:lvl&gt;
        &lt;/w:abstractNum&gt;
        &lt;w:abstractNum w:abstractNumId="82"&gt;
          &lt;w:nsid w:val="6D762647" /&gt;
          &lt;w:multiLevelType w:val="hybridMultilevel" /&gt;
          &lt;w:tmpl w:val="767CFDA0" /&gt;
          &lt;w:lvl w:ilvl="0" w:tplc="8A5430F2"&gt;
            &lt;w:start w:val="1" /&gt;
            &lt;w:numFmt w:val="decimal"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w:abstractNumId="84"&gt;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w:abstractNumId="85"&gt;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w:abstractNumId="86"&gt;
          &lt;w:nsid w:val="715E7661" /&gt;
          &lt;w:multiLevelType w:val="hybridMultilevel" /&gt;
          &lt;w:tmpl w:val="6B644DB4"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w:abstractNumId="87"&gt;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w:abstractNumId="88"&gt;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w:abstractNumId="89"&gt;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w:abstractNumId="90"&gt;
          &lt;w:nsid w:val="7BDD14CF"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w:abstractNumId="91"&gt;
          &lt;w:nsid w:val="7C884488" /&gt;
          &lt;w:multiLevelType w:val="hybridMultilevel" /&gt;
          &lt;w:tmpl w:val="B2223808"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w:abstractNumId="92"&gt;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w:val="46" /&gt;
        &lt;/w:num&gt;
        &lt;w:num w:numId="3"&gt;
          &lt;w:abstractNumId w:val="82" /&gt;
        &lt;/w:num&gt;
        &lt;w:num w:numId="4"&gt;
          &lt;w:abstractNumId w:val="13" /&gt;
        &lt;/w:num&gt;
        &lt;w:num w:numId="5"&gt;
          &lt;w:abstractNumId w:val="45" /&gt;
        &lt;/w:num&gt;
        &lt;w:num w:numId="6"&gt;
          &lt;w:abstractNumId w:val="34" /&gt;
        &lt;/w:num&gt;
        &lt;w:num w:numId="7"&gt;
          &lt;w:abstractNumId w:val="19" /&gt;
        &lt;/w:num&gt;
        &lt;w:num w:numId="8"&gt;
          &lt;w:abstractNumId w:val="16" /&gt;
        &lt;/w:num&gt;
        &lt;w:num w:numId="9"&gt;
          &lt;w:abstractNumId w:val="69" /&gt;
        &lt;/w:num&gt;
        &lt;w:num w:numId="10"&gt;
          &lt;w:abstractNumId w:val="88" /&gt;
        &lt;/w:num&gt;
        &lt;w:num w:numId="11"&gt;
          &lt;w:abstractNumId w:val="50" /&gt;
        &lt;/w:num&gt;
        &lt;w:num w:numId="12"&gt;
          &lt;w:abstractNumId w:val="11" /&gt;
        &lt;/w:num&gt;
        &lt;w:num w:numId="13"&gt;
          &lt;w:abstractNumId w:val="71" /&gt;
        &lt;/w:num&gt;
        &lt;w:num w:numId="14"&gt;
          &lt;w:abstractNumId w:val="40" /&gt;
        &lt;/w:num&gt;
        &lt;w:num w:numId="15"&gt;
          &lt;w:abstractNumId w:val="49" /&gt;
        &lt;/w:num&gt;
        &lt;w:num w:numId="16"&gt;
          &lt;w:abstractNumId w:val="75" /&gt;
        &lt;/w:num&gt;
        &lt;w:num w:numId="17"&gt;
          &lt;w:abstractNumId w:val="72"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w:val="26" /&gt;
        &lt;/w:num&gt;
        &lt;w:num w:numId="19"&gt;
          &lt;w:abstractNumId w:val="77" /&gt;
        &lt;/w:num&gt;
        &lt;w:num w:numId="20"&gt;
          &lt;w:abstractNumId w:val="58" /&gt;
        &lt;/w:num&gt;
        &lt;w:num w:numId="21"&gt;
          &lt;w:abstractNumId w:val="12" /&gt;
        &lt;/w:num&gt;
        &lt;w:num w:numId="22"&gt;
          &lt;w:abstractNumId w:val="66" /&gt;
        &lt;/w:num&gt;
        &lt;w:num w:numId="23"&gt;
          &lt;w:abstractNumId w:val="55" /&gt;
        &lt;/w:num&gt;
        &lt;w:num w:numId="24"&gt;
          &lt;w:abstractNumId w:val="41" /&gt;
        &lt;/w:num&gt;
        &lt;w:num w:numId="25"&gt;
          &lt;w:abstractNumId w:val="54" /&gt;
        &lt;/w:num&gt;
        &lt;w:num w:numId="26"&gt;
          &lt;w:abstractNumId w:val="63" /&gt;
        &lt;/w:num&gt;
        &lt;w:num w:numId="27"&gt;
          &lt;w:abstractNumId w:val="27" /&gt;
        &lt;/w:num&gt;
        &lt;w:num w:numId="28"&gt;
          &lt;w:abstractNumId w:val="92" /&gt;
        &lt;/w:num&gt;
        &lt;w:num w:numId="29"&gt;
          &lt;w:abstractNumId w:val="89" /&gt;
        &lt;/w:num&gt;
        &lt;w:num w:numId="30"&gt;
          &lt;w:abstractNumId w:val="56" /&gt;
        &lt;/w:num&gt;
        &lt;w:num w:numId="31"&gt;
          &lt;w:abstractNumId w:val="38" /&gt;
        &lt;/w:num&gt;
        &lt;w:num w:numId="32"&gt;
          &lt;w:abstractNumId w:val="28" /&gt;
        &lt;/w:num&gt;
        &lt;w:num w:numId="33"&gt;
          &lt;w:abstractNumId w:val="53" /&gt;
        &lt;/w:num&gt;
        &lt;w:num w:numId="34"&gt;
          &lt;w:abstractNumId w:val="37" /&gt;
        &lt;/w:num&gt;
        &lt;w:num w:numId="35"&gt;
          &lt;w:abstractNumId w:val="64" /&gt;
        &lt;/w:num&gt;
        &lt;w:num w:numId="36"&gt;
          &lt;w:abstractNumId w:val="44" /&gt;
        &lt;/w:num&gt;
        &lt;w:num w:numId="37"&gt;
          &lt;w:abstractNumId w:val="24" /&gt;
        &lt;/w:num&gt;
        &lt;w:num w:numId="38"&gt;
          &lt;w:abstractNumId w:val="68" /&gt;
        &lt;/w:num&gt;
        &lt;w:num w:numId="39"&gt;
          &lt;w:abstractNumId w:val="33" /&gt;
        &lt;/w:num&gt;
        &lt;w:num w:numId="40"&gt;
          &lt;w:abstractNumId w:val="42" /&gt;
        &lt;/w:num&gt;
        &lt;w:num w:numId="41"&gt;
          &lt;w:abstractNumId w:val="70" /&gt;
        &lt;/w:num&gt;
        &lt;w:num w:numId="42"&gt;
          &lt;w:abstractNumId w:val="57" /&gt;
        &lt;/w:num&gt;
        &lt;w:num w:numId="43"&gt;
          &lt;w:abstractNumId w:val="51" /&gt;
        &lt;/w:num&gt;
        &lt;w:num w:numId="44"&gt;
          &lt;w:abstractNumId w:val="73" /&gt;
        &lt;/w:num&gt;
        &lt;w:num w:numId="45"&gt;
          &lt;w:abstractNumId w:val="84" /&gt;
        &lt;/w:num&gt;
        &lt;w:num w:numId="46"&gt;
          &lt;w:abstractNumId w:val="39" /&gt;
        &lt;/w:num&gt;
        &lt;w:num w:numId="47"&gt;
          &lt;w:abstractNumId w:val="35" /&gt;
        &lt;/w:num&gt;
        &lt;w:num w:numId="48"&gt;
          &lt;w:abstractNumId w:val="21" /&gt;
        &lt;/w:num&gt;
        &lt;w:num w:numId="49"&gt;
          &lt;w:abstractNumId w:val="14" /&gt;
        &lt;/w:num&gt;
        &lt;w:num w:numId="50"&gt;
          &lt;w:abstractNumId w:val="15" /&gt;
        &lt;/w:num&gt;
        &lt;w:num w:numId="51"&gt;
          &lt;w:abstractNumId w:val="83" /&gt;
        &lt;/w:num&gt;
        &lt;w:num w:numId="52"&gt;
          &lt;w:abstractNumId w:val="81" /&gt;
        &lt;/w:num&gt;
        &lt;w:num w:numId="53"&gt;
          &lt;w:abstractNumId w:val="32" /&gt;
        &lt;/w:num&gt;
        &lt;w:num w:numId="54"&gt;
          &lt;w:abstractNumId w:val="52" /&gt;
        &lt;/w:num&gt;
        &lt;w:num w:numId="55"&gt;
          &lt;w:abstractNumId w:val="78" /&gt;
        &lt;/w:num&gt;
        &lt;w:num w:numId="56"&gt;
          &lt;w:abstractNumId w:val="87" /&gt;
        &lt;/w:num&gt;
        &lt;w:num w:numId="57"&gt;
          &lt;w:abstractNumId w:val="20" /&gt;
        &lt;/w:num&gt;
        &lt;w:num w:numId="58"&gt;
          &lt;w:abstractNumId w:val="67" /&gt;
        &lt;/w:num&gt;
        &lt;w:num w:numId="59"&gt;
          &lt;w:abstractNumId w:val="85" /&gt;
        &lt;/w:num&gt;
        &lt;w:num w:numId="60"&gt;
          &lt;w:abstractNumId w:val="60" /&gt;
        &lt;/w:num&gt;
        &lt;w:num w:numId="61"&gt;
          &lt;w:abstractNumId w:val="59" /&gt;
        &lt;/w:num&gt;
        &lt;w:num w:numId="62"&gt;
          &lt;w:abstractNumId w:val="31" /&gt;
        &lt;/w:num&gt;
        &lt;w:num w:numId="63"&gt;
          &lt;w:abstractNumId w:val="74" /&gt;
        &lt;/w:num&gt;
        &lt;w:num w:numId="64"&gt;
          &lt;w:abstractNumId w:val="22" /&gt;
        &lt;/w:num&gt;
        &lt;w:num w:numId="65"&gt;
          &lt;w:abstractNumId w:val="48" /&gt;
        &lt;/w:num&gt;
        &lt;w:num w:numId="66"&gt;
          &lt;w:abstractNumId w:val="80" /&gt;
        &lt;/w:num&gt;
        &lt;w:num w:numId="67"&gt;
          &lt;w:abstractNumId w:val="10" /&gt;
        &lt;/w:num&gt;
        &lt;w:num w:numId="68"&gt;
          &lt;w:abstractNumId w:val="47" /&gt;
        &lt;/w:num&gt;
        &lt;w:num w:numId="69"&gt;
          &lt;w:abstractNumId w:val="18" /&gt;
        &lt;/w:num&gt;
        &lt;w:num w:numId="70"&gt;
          &lt;w:abstractNumId w:val="43" /&gt;
        &lt;/w:num&gt;
        &lt;w:num w:numId="71"&gt;
          &lt;w:abstractNumId w:val="79" /&gt;
        &lt;/w:num&gt;
        &lt;w:num w:numId="72"&gt;
          &lt;w:abstractNumId w:val="62" /&gt;
        &lt;/w:num&gt;
        &lt;w:num w:numId="73"&gt;
          &lt;w:abstractNumId w:val="7" /&gt;
        &lt;/w:num&gt;
        &lt;w:num w:numId="74"&gt;
          &lt;w:abstractNumId w:val="6" /&gt;
        &lt;/w:num&gt;
        &lt;w:num w:numId="75"&gt;
          &lt;w:abstractNumId w:val="5" /&gt;
        &lt;/w:num&gt;
        &lt;w:num w:numId="76"&gt;
          &lt;w:abstractNumId w:val="4" /&gt;
        &lt;/w:num&gt;
        &lt;w:num w:numId="77"&gt;
          &lt;w:abstractNumId w:val="8" /&gt;
        &lt;/w:num&gt;
        &lt;w:num w:numId="78"&gt;
          &lt;w:abstractNumId w:val="3" /&gt;
        &lt;/w:num&gt;
        &lt;w:num w:numId="79"&gt;
          &lt;w:abstractNumId w:val="2" /&gt;
        &lt;/w:num&gt;
        &lt;w:num w:numId="80"&gt;
          &lt;w:abstractNumId w:val="1" /&gt;
        &lt;/w:num&gt;
        &lt;w:num w:numId="81"&gt;
          &lt;w:abstractNumId w:val="0" /&gt;
        &lt;/w:num&gt;
        &lt;w:num w:numId="82"&gt;
          &lt;w:abstractNumId w:val="29" /&gt;
        &lt;/w:num&gt;
        &lt;w:num w:numId="83"&gt;
          &lt;w:abstractNumId w:val="76" /&gt;
        &lt;/w:num&gt;
        &lt;w:num w:numId="84"&gt;
          &lt;w:abstractNumId w:val="17" /&gt;
        &lt;/w:num&gt;
        &lt;w:num w:numId="85"&gt;
          &lt;w:abstractNumId w:val="25" /&gt;
        &lt;/w:num&gt;
        &lt;w:num w:numId="86"&gt;
          &lt;w:abstractNumId w:val="90" /&gt;
        &lt;/w:num&gt;
        &lt;w:num w:numId="87"&gt;
          &lt;w:abstractNumId w:val="65" /&gt;
        &lt;/w:num&gt;
        &lt;w:num w:numId="88"&gt;
          &lt;w:abstractNumId w:val="86" /&gt;
        &lt;/w:num&gt;
        &lt;w:num w:numId="89"&gt;
          &lt;w:abstractNumId w:val="30" /&gt;
        &lt;/w:num&gt;
        &lt;w:num w:numId="90"&gt;
          &lt;w:abstractNumId w:val="36" /&gt;
        &lt;/w:num&gt;
        &lt;w:num w:numId="91"&gt;
          &lt;w:abstractNumId w:val="23" /&gt;
        &lt;/w:num&gt;
        &lt;w:num w:numId="92"&gt;
          &lt;w:abstractNumId w:val="91" /&gt;
        &lt;/w:num&gt;
        &lt;w:num w:numId="93"&gt;
          &lt;w:abstractNumId w:val="61" /&gt;
        &lt;/w:num&gt;
        &lt;w:numIdMacAtCleanup w:val="90" /&gt;
      &lt;/w:numbering&gt;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w:id="2057311510"&gt;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w:id="2118090268"&gt;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pkg:name="/word/people.xml" pkg:contentType="application/vnd.openxmlformats-officedocument.wordprocessingml.people+xml"&gt;
    &lt;pkg:xmlData&gt;
      &lt;w15:people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&lt;w15:person w15:author="Stacy Tegan"&gt;
          &lt;w15:presenceInfo w15:providerId="None" w15:userId="Stacy Tegan" /&gt;
        &lt;/w15:person&gt;
      &lt;/w15:people&gt;
    &lt;/pkg:xmlData&gt;
  &lt;/pkg:part&gt;
  &lt;pkg:part pkg:name="/word/commentsExtended.xml" pkg:contentType="application/vnd.openxmlformats-officedocument.wordprocessingml.commentsExtended+xml"&gt;
    &lt;pkg:xmlData&gt;
      &lt;w15:commentsEx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&lt;w15:commentEx w15:paraId="3A53BF52" w15:done="0" /&gt;
        &lt;w15:commentEx w15:paraId="21D7C13A" w15:done="0" /&gt;
        &lt;w15:commentEx w15:paraId="2451C35C" w15:done="0" /&gt;
        &lt;w15:commentEx w15:paraId="153CB5F7" w15:done="0" /&gt;
        &lt;w15:commentEx w15:paraId="003DF36E" w15:done="0" /&gt;
        &lt;w15:commentEx w15:paraId="188BD655" w15:done="0" /&gt;
        &lt;w15:commentEx w15:paraId="6DCF61D8" w15:done="0" /&gt;
        &lt;w15:commentEx w15:paraId="18BB442E" w15:done="0" /&gt;
        &lt;w15:commentEx w15:paraId="7437DC8F" w15:done="0" /&gt;
        &lt;w15:commentEx w15:paraId="263809FA" w15:done="0" /&gt;
        &lt;w15:commentEx w15:paraId="44BD0A90" w15:done="0" /&gt;
        &lt;w15:commentEx w15:paraId="2EFD0CEA" w15:done="0" /&gt;
      &lt;/w15:commentsEx&gt;
    &lt;/pkg:xmlData&gt;
  &lt;/pkg:part&gt;
&lt;/pkg:package&gt;</ExclusionCriteriaPriorConcomitantTherapy>
    <ExclusionCriteriaPriorConcurrentClinicalStudyExperience>&lt;?mso-application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Id="rId34" Type="http://schemas.microsoft.com/office/2011/relationships/people" Target="people.xml" /&gt;
        &lt;Relationship Id="rId7" Type="http://schemas.openxmlformats.org/officeDocument/2006/relationships/endnotes" Target="endnotes.xml" /&gt;
        &lt;Relationship Id="rId33" Type="http://schemas.microsoft.com/office/2011/relationships/commentsExtended" Target="commentsExtended.xml"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Id="rId4" Type="http://schemas.openxmlformats.org/officeDocument/2006/relationships/settings" Target="settings.xml" /&gt;
        &lt;Relationship Id="rId9" Type="http://schemas.openxmlformats.org/officeDocument/2006/relationships/theme" Target="theme/theme1.xml"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&lt;w:p&gt;
            &lt;w:pPr&gt;
              &lt;w:pStyle w:val="ListParagraph" /&gt;
              &lt;w:numPr&gt;
                &lt;w:ilvl w:val="0" /&gt;
                &lt;w:numId w:val="52" /&gt;
              &lt;/w:numPr&gt;
              &lt;w:ind w:left="709" /&gt;
            &lt;/w:pPr&gt;
            &lt;w:r&gt;
              &lt;w:rPr&gt;
                &lt;w:color w:val="0070C0" /&gt;
              &lt;/w:rPr&gt;
              &lt;w:t&gt;[]&lt;/w:t&gt;
            &lt;/w:r&gt;
          &lt;/w:p&gt;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&lt;w:p /&gt;
          &lt;w:p /&gt;
          &lt;w:p /&gt;
        &lt;/w:endnote&gt;
        &lt;w:endnote w:type="continuationSeparator" w:id="0"&gt;
          &lt;w:p&gt;
            &lt;w:pPr&gt;
              &lt;w:spacing w:after="0" w:line="240" w:lineRule="auto" /&gt;
            &lt;/w:pPr&gt;
            &lt;w:r&gt;
              &lt;w:continuationSeparator /&gt;
            &lt;/w:r&gt;
          &lt;/w:p&gt;
          &lt;w:p /&gt;
          &lt;w:p /&gt;
          &lt;w:p /&gt;
        &lt;/w:endnote&gt;
        &lt;w:endnote w:type="continuationNotice" w:id="1"&gt;
          &lt;w:p&gt;
            &lt;w:pPr&gt;
              &lt;w:spacing w:after="0" w:line="240" w:lineRule="auto" /&gt;
            &lt;/w:pPr&gt;
          &lt;/w:p&gt;
          &lt;w:p /&gt;
          &lt;w:p /&gt;
          &lt;w:p /&gt;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&lt;w:p /&gt;
          &lt;w:p /&gt;
          &lt;w:p /&gt;
        &lt;/w:footnote&gt;
        &lt;w:footnote w:type="continuationSeparator" w:id="0"&gt;
          &lt;w:p&gt;
            &lt;w:pPr&gt;
              &lt;w:spacing w:after="0" w:line="240" w:lineRule="auto" /&gt;
            &lt;/w:pPr&gt;
            &lt;w:r&gt;
              &lt;w:continuationSeparator /&gt;
            &lt;/w:r&gt;
          &lt;/w:p&gt;
          &lt;w:p /&gt;
          &lt;w:p /&gt;
          &lt;w:p /&gt;
        &lt;/w:footnote&gt;
        &lt;w:footnote w:type="continuationNotice" w:id="1"&gt;
          &lt;w:p&gt;
            &lt;w:pPr&gt;
              &lt;w:spacing w:after="0" w:line="240" w:lineRule="auto" /&gt;
            &lt;/w:pPr&gt;
          &lt;/w:p&gt;
          &lt;w:p /&gt;
          &lt;w:p /&gt;
          &lt;w:p /&gt;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w:percent="100"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w:val="14" /&gt;
          &lt;w:compatSetting w:name="overrideTableStyleFontSizeAndJustification" w:uri="http://schemas.microsoft.com/office/word" w:val="1" /&gt;
          &lt;w:compatSetting w:name="enableOpenTypeFeatures" w:uri="http://schemas.microsoft.com/office/word" w:val="1" /&gt;
          &lt;w:compatSetting w:name="doNotFlipMirrorIndents" w:uri="http://schemas.microsoft.com/office/word" w:val="1" /&gt;
        &lt;/w:compat&gt;
        &lt;w:docVars&gt;
          &lt;w:docVar w:name="LibraryFilter" w:val="V2.1_CPT Library_Asthma Master.docx,V2.1_CPT_Library_Diabetes Master.docx|V2.1_CPT Library_Healthy Volunteer Master.docx,V2.1_CPT Library_Patient Master.docx|"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w:usb0="E00002FF" w:usb1="4000ACFF" w:usb2="00000001"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&lt;w:uiPriority w:val="1" /&gt;
          &lt;w:rPr&gt;
            &lt;w:rFonts w:cs="Arial"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 w:type="paragraph" w:styleId="Header"&gt;
          &lt;w:name w:val="header" /&gt;
          &lt;w:basedOn w:val="Normal" /&gt;
          &lt;w:link w:val="HeaderChar" /&gt;
          &lt;w:unhideWhenUsed /&gt;
          &lt;w:pPr&gt;
            &lt;w:tabs&gt;
              &lt;w:tab w:val="center" w:pos="4680" /&gt;
              &lt;w:tab w:val="right" w:pos="9360" /&gt;
            &lt;/w:tabs&gt;
            &lt;w:spacing w:before="0" w:after="0" w:line="240" w:lineRule="auto" /&gt;
          &lt;/w:pPr&gt;
        &lt;/w:style&gt;
        &lt;w:style w:type="character" w:customStyle="1" w:styleId="HeaderChar"&gt;
          &lt;w:name w:val="Header Char" /&gt;
          &lt;w:basedOn w:val="DefaultParagraphFont" /&gt;
          &lt;w:link w:val="Header" /&gt;
          &lt;w:rPr&gt;
            &lt;w:rFonts w:eastAsia="Calibri" w:cs="Cordia New" /&gt;
            &lt;w:sz w:val="24" /&gt;
            &lt;w:szCs w:val="22" /&gt;
          &lt;/w:rPr&gt;
        &lt;/w:style&gt;
        &lt;w:style w:type="paragraph" w:styleId="Footer"&gt;
          &lt;w:name w:val="footer" /&gt;
          &lt;w:basedOn w:val="Normal" /&gt;
          &lt;w:link w:val="FooterChar" /&gt;
          &lt;w:unhideWhenUsed /&gt;
          &lt;w:pPr&gt;
            &lt;w:tabs&gt;
              &lt;w:tab w:val="center" w:pos="4680" /&gt;
              &lt;w:tab w:val="right" w:pos="9360" /&gt;
            &lt;/w:tabs&gt;
            &lt;w:spacing w:before="0" w:after="0" w:line="240" w:lineRule="auto" /&gt;
          &lt;/w:pPr&gt;
        &lt;/w:style&gt;
        &lt;w:style w:type="character" w:customStyle="1" w:styleId="FooterChar"&gt;
          &lt;w:name w:val="Footer Char" /&gt;
          &lt;w:basedOn w:val="DefaultParagraphFont" /&gt;
          &lt;w:link w:val="Footer" /&gt;
          &lt;w:rPr&gt;
            &lt;w:rFonts w:eastAsia="Calibri" w:cs="Cordia New" /&gt;
            &lt;w:sz w:val="24" /&gt;
            &lt;w:szCs w:val="22" /&gt;
          &lt;/w:rPr&gt;
        &lt;/w:style&gt;
        &lt;w:style w:type="paragraph" w:styleId="BlockText"&gt;
          &lt;w:name w:val="Block Text" /&gt;
          &lt;w:basedOn w:val="Normal" /&gt;
          &lt;w:semiHidden /&gt;
          &lt;w:unhideWhenUsed /&gt;
          &lt;w:qFormat /&gt;
          &lt;w:pPr&gt;
            &lt;w:pBdr&gt;
              &lt;w:top w:val="single" w:sz="2" w:space="10" w:color="4F81BD" w:themeColor="accent1" w:shadow="1" w:frame="1" /&gt;
              &lt;w:left w:val="single" w:sz="2" w:space="10" w:color="4F81BD" w:themeColor="accent1" w:shadow="1" w:frame="1" /&gt;
              &lt;w:bottom w:val="single" w:sz="2" w:space="10" w:color="4F81BD" w:themeColor="accent1" w:shadow="1" w:frame="1" /&gt;
              &lt;w:right w:val="single" w:sz="2" w:space="10" w:color="4F81BD" w:themeColor="accent1" w:shadow="1" w:frame="1" /&gt;
            &lt;/w:pBdr&gt;
            &lt;w:ind w:left="1152" w:right="1152" /&gt;
          &lt;/w:pPr&gt;
          &lt;w:rPr&gt;
            &lt;w:rFonts w:asciiTheme="minorHAnsi" w:eastAsiaTheme="minorEastAsia" w:hAnsiTheme="minorHAnsi" w:cstheme="minorBidi" /&gt;
            &lt;w:i /&gt;
            &lt;w:iCs /&gt;
            &lt;w:color w:val="4F81BD" w:themeColor="accent1" /&gt;
          &lt;/w:rPr&gt;
        &lt;/w:style&gt;
        &lt;w:style w:type="paragraph" w:styleId="BodyText"&gt;
          &lt;w:name w:val="Body Text" /&gt;
          &lt;w:basedOn w:val="Normal" /&gt;
          &lt;w:link w:val="BodyTextChar" /&gt;
          &lt;w:uiPriority w:val="99" /&gt;
          &lt;w:semiHidden /&gt;
          &lt;w:unhideWhenUsed /&gt;
        &lt;/w:style&gt;
        &lt;w:style w:type="character" w:customStyle="1" w:styleId="BodyTextChar"&gt;
          &lt;w:name w:val="Body Text Char" /&gt;
          &lt;w:basedOn w:val="DefaultParagraphFont" /&gt;
          &lt;w:link w:val="BodyText" /&gt;
          &lt;w:uiPriority w:val="99" /&gt;
          &lt;w:semiHidden /&gt;
          &lt;w:rPr&gt;
            &lt;w:rFonts w:eastAsia="Calibri" w:cs="Cordia New" /&gt;
            &lt;w:sz w:val="24" /&gt;
            &lt;w:szCs w:val="22" /&gt;
          &lt;/w:rPr&gt;
        &lt;/w:style&gt;
        &lt;w:style w:type="paragraph" w:styleId="BodyTextFirstIndent"&gt;
          &lt;w:name w:val="Body Text First Indent" /&gt;
          &lt;w:basedOn w:val="BodyText" /&gt;
          &lt;w:link w:val="BodyTextFirstIndentChar" /&gt;
          &lt;w:pPr&gt;
            &lt;w:ind w:firstLine="360" /&gt;
          &lt;/w:pPr&gt;
        &lt;/w:style&gt;
        &lt;w:style w:type="character" w:customStyle="1" w:styleId="BodyTextFirstIndentChar"&gt;
          &lt;w:name w:val="Body Text First Indent Char" /&gt;
          &lt;w:basedOn w:val="BodyTextChar" /&gt;
          &lt;w:link w:val="BodyTextFirstIndent" /&gt;
          &lt;w:rPr&gt;
            &lt;w:rFonts w:eastAsia="Calibri" w:cs="Cordia New" /&gt;
            &lt;w:sz w:val="24" /&gt;
            &lt;w:szCs w:val="22" /&gt;
          &lt;/w:rPr&gt;
        &lt;/w:style&gt;
        &lt;w:style w:type="character" w:styleId="BookTitle"&gt;
          &lt;w:name w:val="Book Title" /&gt;
          &lt;w:basedOn w:val="DefaultParagraphFont" /&gt;
          &lt;w:uiPriority w:val="33" /&gt;
          &lt;w:qFormat /&gt;
          &lt;w:rPr&gt;
            &lt;w:b /&gt;
            &lt;w:bCs /&gt;
            &lt;w:smallCaps /&gt;
            &lt;w:spacing w:val="5" /&gt;
          &lt;/w:rPr&gt;
        &lt;/w:style&gt;
        &lt;w:style w:type="paragraph" w:styleId="Caption"&gt;
          &lt;w:name w:val="caption" /&gt;
          &lt;w:basedOn w:val="Normal" /&gt;
          &lt;w:next w:val="Normal" /&gt;
          &lt;w:uiPriority w:val="99" /&gt;
          &lt;w:semiHidden /&gt;
          &lt;w:unhideWhenUsed /&gt;
          &lt;w:qFormat /&gt;
          &lt;w:pPr&gt;
            &lt;w:spacing w:before="0" w:after="200" w:line="240" w:lineRule="auto" /&gt;
          &lt;/w:pPr&gt;
          &lt;w:rPr&gt;
            &lt;w:b /&gt;
            &lt;w:bCs /&gt;
            &lt;w:color w:val="4F81BD" w:themeColor="accent1" /&gt;
            &lt;w:sz w:val="18" /&gt;
            &lt;w:szCs w:val="18" /&gt;
          &lt;/w:rPr&gt;
        &lt;/w:style&gt;
        &lt;w:style w:type="character" w:styleId="CommentReference"&gt;
          &lt;w:name w:val="annotation reference" /&gt;
          &lt;w:basedOn w:val="DefaultParagraphFont" /&gt;
          &lt;w:uiPriority w:val="99" /&gt;
          &lt;w:semiHidden /&gt;
          &lt;w:unhideWhenUsed /&gt;
          &lt;w:rPr&gt;
            &lt;w:sz w:val="16" /&gt;
            &lt;w:szCs w:val="16" /&gt;
          &lt;/w:rPr&gt;
        &lt;/w:style&gt;
        &lt;w:style w:type="paragraph" w:styleId="CommentText"&gt;
          &lt;w:name w:val="annotation text" /&gt;
          &lt;w:basedOn w:val="Normal" /&gt;
          &lt;w:link w:val="CommentTextChar" /&gt;
          &lt;w:uiPriority w:val="99" /&gt;
          &lt;w:semiHidden /&gt;
          &lt;w:unhideWhenUsed /&gt;
          &lt;w:pPr&gt;
            &lt;w:spacing w:line="240" w:lineRule="auto" /&gt;
          &lt;/w:pPr&gt;
          &lt;w:rPr&gt;
            &lt;w:sz w:val="20" /&gt;
            &lt;w:szCs w:val="20" /&gt;
          &lt;/w:rPr&gt;
        &lt;/w:style&gt;
        &lt;w:style w:type="character" w:customStyle="1" w:styleId="CommentTextChar"&gt;
          &lt;w:name w:val="Comment Text Char" /&gt;
          &lt;w:basedOn w:val="DefaultParagraphFont" /&gt;
          &lt;w:link w:val="CommentText" /&gt;
          &lt;w:uiPriority w:val="99" /&gt;
          &lt;w:semiHidden /&gt;
          &lt;w:rPr&gt;
            &lt;w:rFonts w:eastAsia="Calibri" w:cs="Cordia New" /&gt;
          &lt;/w:rPr&gt;
        &lt;/w:style&gt;
        &lt;w:style w:type="paragraph" w:styleId="CommentSubject"&gt;
          &lt;w:name w:val="annotation subject" /&gt;
          &lt;w:basedOn w:val="CommentText" /&gt;
          &lt;w:next w:val="CommentText" /&gt;
          &lt;w:link w:val="CommentSubjectChar" /&gt;
          &lt;w:uiPriority w:val="99" /&gt;
          &lt;w:semiHidden /&gt;
          &lt;w:unhideWhenUsed /&gt;
          &lt;w:rPr&gt;
            &lt;w:b /&gt;
            &lt;w:bCs /&gt;
          &lt;/w:rPr&gt;
        &lt;/w:style&gt;
        &lt;w:style w:type="character" w:customStyle="1" w:styleId="CommentSubjectChar"&gt;
          &lt;w:name w:val="Comment Subject Char" /&gt;
          &lt;w:basedOn w:val="CommentTextChar" /&gt;
          &lt;w:link w:val="CommentSubject" /&gt;
          &lt;w:uiPriority w:val="99" /&gt;
          &lt;w:semiHidden /&gt;
          &lt;w:rPr&gt;
            &lt;w:rFonts w:eastAsia="Calibri" w:cs="Cordia New" /&gt;
            &lt;w:b /&gt;
            &lt;w:bCs /&gt;
          &lt;/w:rPr&gt;
        &lt;/w:style&gt;
        &lt;w:style w:type="paragraph" w:styleId="Date"&gt;
          &lt;w:name w:val="Date" /&gt;
          &lt;w:basedOn w:val="Normal" /&gt;
          &lt;w:next w:val="Normal" /&gt;
          &lt;w:link w:val="DateChar" /&gt;
        &lt;/w:style&gt;
        &lt;w:style w:type="character" w:customStyle="1" w:styleId="DateChar"&gt;
          &lt;w:name w:val="Date Char" /&gt;
          &lt;w:basedOn w:val="DefaultParagraphFont" /&gt;
          &lt;w:link w:val="Date" /&gt;
          &lt;w:rPr&gt;
            &lt;w:rFonts w:eastAsia="Calibri" w:cs="Cordia New" /&gt;
            &lt;w:sz w:val="24" /&gt;
            &lt;w:szCs w:val="22" /&gt;
          &lt;/w:rPr&gt;
        &lt;/w:style&gt;
        &lt;w:style w:type="paragraph" w:styleId="DocumentMap"&gt;
          &lt;w:name w:val="Document Map" /&gt;
          &lt;w:basedOn w:val="Normal" /&gt;
          &lt;w:link w:val="DocumentMapChar"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w:styleId="DocumentMapChar"&gt;
          &lt;w:name w:val="Document Map Char" /&gt;
          &lt;w:basedOn w:val="DefaultParagraphFont" /&gt;
          &lt;w:link w:val="DocumentMap" /&gt;
          &lt;w:uiPriority w:val="99" /&gt;
          &lt;w:semiHidden /&gt;
          &lt;w:rPr&gt;
            &lt;w:rFonts w:ascii="Tahoma" w:eastAsia="Calibri" w:hAnsi="Tahoma" w:cs="Tahoma" /&gt;
            &lt;w:sz w:val="16" /&gt;
            &lt;w:szCs w:val="16" /&gt;
          &lt;/w:rPr&gt;
        &lt;/w:style&gt;
        &lt;w:style w:type="character" w:styleId="Emphasis"&gt;
          &lt;w:name w:val="Emphasis" /&gt;
          &lt;w:basedOn w:val="DefaultParagraphFont" /&gt;
          &lt;w:uiPriority w:val="20" /&gt;
          &lt;w:qFormat /&gt;
          &lt;w:rPr&gt;
            &lt;w:i /&gt;
            &lt;w:iCs /&gt;
          &lt;/w:rPr&gt;
        &lt;/w:style&gt;
        &lt;w:style w:type="paragraph" w:styleId="EndnoteText"&gt;
          &lt;w:name w:val="endnote text" /&gt;
          &lt;w:basedOn w:val="Normal" /&gt;
          &lt;w:link w:val="EndnoteTextChar" /&gt;
          &lt;w:semiHidden /&gt;
          &lt;w:unhideWhenUsed /&gt;
          &lt;w:pPr&gt;
            &lt;w:spacing w:before="0" w:after="0" w:line="240" w:lineRule="auto" /&gt;
          &lt;/w:pPr&gt;
          &lt;w:rPr&gt;
            &lt;w:sz w:val="20" /&gt;
            &lt;w:szCs w:val="20" /&gt;
          &lt;/w:rPr&gt;
        &lt;/w:style&gt;
        &lt;w:style w:type="character" w:customStyle="1" w:styleId="EndnoteTextChar"&gt;
          &lt;w:name w:val="Endnote Text Char" /&gt;
          &lt;w:basedOn w:val="DefaultParagraphFont" /&gt;
          &lt;w:link w:val="EndnoteText" /&gt;
          &lt;w:semiHidden /&gt;
          &lt;w:rPr&gt;
            &lt;w:rFonts w:eastAsia="Calibri" w:cs="Cordia New" /&gt;
          &lt;/w:rPr&gt;
        &lt;/w:style&gt;
        &lt;w:style w:type="character" w:styleId="FollowedHyperlink"&gt;
          &lt;w:name w:val="FollowedHyperlink" /&gt;
          &lt;w:basedOn w:val="DefaultParagraphFont" /&gt;
          &lt;w:uiPriority w:val="99" /&gt;
          &lt;w:semiHidden /&gt;
          &lt;w:unhideWhenUsed /&gt;
          &lt;w:rPr&gt;
            &lt;w:color w:val="800080" w:themeColor="followedHyperlink" /&gt;
            &lt;w:u w:val="single" /&gt;
          &lt;/w:rPr&gt;
        &lt;/w:style&gt;
        &lt;w:style w:type="paragraph" w:styleId="FootnoteText"&gt;
          &lt;w:name w:val="footnote text" /&gt;
          &lt;w:basedOn w:val="Normal" /&gt;
          &lt;w:link w:val="FootnoteTextChar" /&gt;
          &lt;w:semiHidden /&gt;
          &lt;w:unhideWhenUsed /&gt;
          &lt;w:pPr&gt;
            &lt;w:spacing w:before="0" w:after="0" w:line="240" w:lineRule="auto" /&gt;
          &lt;/w:pPr&gt;
          &lt;w:rPr&gt;
            &lt;w:sz w:val="20" /&gt;
            &lt;w:szCs w:val="20" /&gt;
          &lt;/w:rPr&gt;
        &lt;/w:style&gt;
        &lt;w:style w:type="character" w:customStyle="1" w:styleId="FootnoteTextChar"&gt;
          &lt;w:name w:val="Footnote Text Char" /&gt;
          &lt;w:basedOn w:val="DefaultParagraphFont" /&gt;
          &lt;w:link w:val="FootnoteText" /&gt;
          &lt;w:semiHidden /&gt;
          &lt;w:rPr&gt;
            &lt;w:rFonts w:eastAsia="Calibri" w:cs="Cordia New" /&gt;
          &lt;/w:rPr&gt;
        &lt;/w:style&gt;
        &lt;w:style w:type="character" w:styleId="HTMLTypewriter"&gt;
          &lt;w:name w:val="HTML Typewriter" /&gt;
          &lt;w:basedOn w:val="DefaultParagraphFont" /&gt;
          &lt;w:uiPriority w:val="99" /&gt;
          &lt;w:semiHidden /&gt;
          &lt;w:unhideWhenUsed /&gt;
          &lt;w:rPr&gt;
            &lt;w:rFonts w:ascii="Consolas" w:hAnsi="Consolas" w:cs="Consolas" /&gt;
            &lt;w:sz w:val="20" /&gt;
            &lt;w:szCs w:val="20" /&gt;
          &lt;/w:rPr&gt;
        &lt;/w:style&gt;
        &lt;w:style w:type="character" w:styleId="Hyperlink"&gt;
          &lt;w:name w:val="Hyperlink" /&gt;
          &lt;w:basedOn w:val="DefaultParagraphFont" /&gt;
          &lt;w:uiPriority w:val="99" /&gt;
          &lt;w:unhideWhenUsed /&gt;
          &lt;w:rPr&gt;
            &lt;w:color w:val="0000FF" w:themeColor="hyperlink" /&gt;
            &lt;w:u w:val="single" /&gt;
          &lt;/w:rPr&gt;
        &lt;/w:style&gt;
        &lt;w:style w:type="character" w:styleId="IntenseEmphasis"&gt;
          &lt;w:name w:val="Intense Emphasis" /&gt;
          &lt;w:basedOn w:val="DefaultParagraphFont" /&gt;
          &lt;w:uiPriority w:val="21" /&gt;
          &lt;w:rPr&gt;
            &lt;w:b /&gt;
            &lt;w:bCs /&gt;
            &lt;w:i /&gt;
            &lt;w:iCs /&gt;
            &lt;w:color w:val="4F81BD" w:themeColor="accent1" /&gt;
          &lt;/w:rPr&gt;
        &lt;/w:style&gt;
        &lt;w:style w:type="paragraph" w:styleId="IntenseQuote"&gt;
          &lt;w:name w:val="Intense Quote" /&gt;
          &lt;w:basedOn w:val="Normal" /&gt;
          &lt;w:next w:val="Normal" /&gt;
          &lt;w:link w:val="IntenseQuoteChar" /&gt;
          &lt;w:uiPriority w:val="30" /&gt;
          &lt;w:pPr&gt;
            &lt;w:pBdr&gt;
              &lt;w:bottom w:val="single" w:sz="4" w:space="4" w:color="4F81BD" w:themeColor="accent1" /&gt;
            &lt;/w:pBdr&gt;
            &lt;w:spacing w:before="200" w:after="280" /&gt;
            &lt;w:ind w:left="936" w:right="936" /&gt;
          &lt;/w:pPr&gt;
          &lt;w:rPr&gt;
            &lt;w:b /&gt;
            &lt;w:bCs /&gt;
            &lt;w:i /&gt;
            &lt;w:iCs /&gt;
            &lt;w:color w:val="4F81BD" w:themeColor="accent1" /&gt;
          &lt;/w:rPr&gt;
        &lt;/w:style&gt;
        &lt;w:style w:type="character" w:customStyle="1" w:styleId="IntenseQuoteChar"&gt;
          &lt;w:name w:val="Intense Quote Char" /&gt;
          &lt;w:basedOn w:val="DefaultParagraphFont" /&gt;
          &lt;w:link w:val="IntenseQuote" /&gt;
          &lt;w:uiPriority w:val="30" /&gt;
          &lt;w:rPr&gt;
            &lt;w:rFonts w:eastAsia="Calibri" w:cs="Cordia New" /&gt;
            &lt;w:b /&gt;
            &lt;w:bCs /&gt;
            &lt;w:i /&gt;
            &lt;w:iCs /&gt;
            &lt;w:color w:val="4F81BD" w:themeColor="accent1" /&gt;
            &lt;w:sz w:val="24" /&gt;
            &lt;w:szCs w:val="22" /&gt;
          &lt;/w:rPr&gt;
        &lt;/w:style&gt;
        &lt;w:style w:type="character" w:styleId="IntenseReference"&gt;
          &lt;w:name w:val="Intense Reference" /&gt;
          &lt;w:basedOn w:val="DefaultParagraphFont" /&gt;
          &lt;w:uiPriority w:val="32" /&gt;
          &lt;w:rPr&gt;
            &lt;w:b /&gt;
            &lt;w:bCs /&gt;
            &lt;w:smallCaps /&gt;
            &lt;w:color w:val="C0504D" w:themeColor="accent2" /&gt;
            &lt;w:spacing w:val="5" /&gt;
            &lt;w:u w:val="single" /&gt;
          &lt;/w:rPr&gt;
        &lt;/w:style&gt;
        &lt;w:style w:type="paragraph" w:styleId="List4"&gt;
          &lt;w:name w:val="List 4" /&gt;
          &lt;w:basedOn w:val="Normal" /&gt;
          &lt;w:pPr&gt;
            &lt;w:ind w:left="1440" w:hanging="360" /&gt;
            &lt;w:contextualSpacing /&gt;
          &lt;/w:pPr&gt;
        &lt;/w:style&gt;
        &lt;w:style w:type="paragraph" w:styleId="List5"&gt;
          &lt;w:name w:val="List 5" /&gt;
          &lt;w:basedOn w:val="Normal" /&gt;
          &lt;w:pPr&gt;
            &lt;w:ind w:left="1800" w:hanging="360" /&gt;
            &lt;w:contextualSpacing /&gt;
          &lt;/w:pPr&gt;
        &lt;/w:style&gt;
        &lt;w:style w:type="paragraph" w:styleId="ListNumber"&gt;
          &lt;w:name w:val="List Number" /&gt;
          &lt;w:basedOn w:val="Normal" /&gt;
          &lt;w:pPr&gt;
            &lt;w:numPr&gt;
              &lt;w:numId w:val="77" /&gt;
            &lt;/w:numPr&gt;
            &lt;w:contextualSpacing /&gt;
          &lt;/w:pPr&gt;
        &lt;/w:style&gt;
        &lt;w:style w:type="paragraph" w:styleId="NoSpacing"&gt;
          &lt;w:name w:val="No Spacing" /&gt;
          &lt;w:uiPriority w:val="1" /&gt;
          &lt;w:rPr&gt;
            &lt;w:rFonts w:eastAsia="Calibri" w:cs="Cordia New" /&gt;
            &lt;w:sz w:val="24" /&gt;
            &lt;w:szCs w:val="22" /&gt;
          &lt;/w:rPr&gt;
        &lt;/w:style&gt;
        &lt;w:style w:type="paragraph" w:styleId="NormalWeb"&gt;
          &lt;w:name w:val="Normal (Web)" /&gt;
          &lt;w:basedOn w:val="Normal" /&gt;
          &lt;w:uiPriority w:val="99" /&gt;
          &lt;w:semiHidden /&gt;
          &lt;w:unhideWhenUsed /&gt;
          &lt;w:rPr&gt;
            &lt;w:rFonts w:cs="Times New Roman" /&gt;
            &lt;w:szCs w:val="24" /&gt;
          &lt;/w:rPr&gt;
        &lt;/w:style&gt;
        &lt;w:style w:type="paragraph" w:styleId="NormalIndent"&gt;
          &lt;w:name w:val="Normal Indent" /&gt;
          &lt;w:basedOn w:val="Normal" /&gt;
          &lt;w:uiPriority w:val="99" /&gt;
          &lt;w:semiHidden /&gt;
          &lt;w:unhideWhenUsed /&gt;
          &lt;w:pPr&gt;
            &lt;w:ind w:left="720" /&gt;
          &lt;/w:pPr&gt;
        &lt;/w:style&gt;
        &lt;w:style w:type="character" w:styleId="PageNumber"&gt;
          &lt;w:name w:val="page number" /&gt;
          &lt;w:basedOn w:val="DefaultParagraphFont" /&gt;
          &lt;w:semiHidden /&gt;
          &lt;w:unhideWhenUsed /&gt;
        &lt;/w:style&gt;
        &lt;w:style w:type="paragraph" w:styleId="Quote"&gt;
          &lt;w:name w:val="Quote" /&gt;
          &lt;w:basedOn w:val="Normal" /&gt;
          &lt;w:next w:val="Normal" /&gt;
          &lt;w:link w:val="QuoteChar" /&gt;
          &lt;w:uiPriority w:val="29" /&gt;
          &lt;w:qFormat /&gt;
          &lt;w:rPr&gt;
            &lt;w:i /&gt;
            &lt;w:iCs /&gt;
            &lt;w:color w:val="000000" w:themeColor="text1" /&gt;
          &lt;/w:rPr&gt;
        &lt;/w:style&gt;
        &lt;w:style w:type="character" w:customStyle="1" w:styleId="QuoteChar"&gt;
          &lt;w:name w:val="Quote Char" /&gt;
          &lt;w:basedOn w:val="DefaultParagraphFont" /&gt;
          &lt;w:link w:val="Quote" /&gt;
          &lt;w:uiPriority w:val="29" /&gt;
          &lt;w:rPr&gt;
            &lt;w:rFonts w:eastAsia="Calibri" w:cs="Cordia New" /&gt;
            &lt;w:i /&gt;
            &lt;w:iCs /&gt;
            &lt;w:color w:val="000000" w:themeColor="text1" /&gt;
            &lt;w:sz w:val="24" /&gt;
            &lt;w:szCs w:val="22" /&gt;
          &lt;/w:rPr&gt;
        &lt;/w:style&gt;
        &lt;w:style w:type="paragraph" w:styleId="Salutation"&gt;
          &lt;w:name w:val="Salutation" /&gt;
          &lt;w:basedOn w:val="Normal" /&gt;
          &lt;w:next w:val="Normal" /&gt;
          &lt;w:link w:val="SalutationChar" /&gt;
        &lt;/w:style&gt;
        &lt;w:style w:type="character" w:customStyle="1" w:styleId="SalutationChar"&gt;
          &lt;w:name w:val="Salutation Char" /&gt;
          &lt;w:basedOn w:val="DefaultParagraphFont" /&gt;
          &lt;w:link w:val="Salutation" /&gt;
          &lt;w:rPr&gt;
            &lt;w:rFonts w:eastAsia="Calibri" w:cs="Cordia New" /&gt;
            &lt;w:sz w:val="24" /&gt;
            &lt;w:szCs w:val="22" /&gt;
          &lt;/w:rPr&gt;
        &lt;/w:style&gt;
        &lt;w:style w:type="character" w:styleId="Strong"&gt;
          &lt;w:name w:val="Strong" /&gt;
          &lt;w:basedOn w:val="DefaultParagraphFont" /&gt;
          &lt;w:uiPriority w:val="22" /&gt;
          &lt;w:qFormat /&gt;
          &lt;w:rPr&gt;
            &lt;w:b /&gt;
            &lt;w:bCs /&gt;
          &lt;/w:rPr&gt;
        &lt;/w:style&gt;
        &lt;w:style w:type="paragraph" w:styleId="Subtitle"&gt;
          &lt;w:name w:val="Subtitle" /&gt;
          &lt;w:basedOn w:val="Normal" /&gt;
          &lt;w:next w:val="Normal" /&gt;
          &lt;w:link w:val="SubtitleChar" /&gt;
          &lt;w:pPr&gt;
            &lt;w:numPr&gt;
              &lt;w:ilvl w:val="1" /&gt;
            &lt;/w:numPr&gt;
          &lt;/w:pPr&gt;
          &lt;w:rPr&gt;
            &lt;w:rFonts w:asciiTheme="majorHAnsi" w:eastAsiaTheme="majorEastAsia" w:hAnsiTheme="majorHAnsi" w:cstheme="majorBidi" /&gt;
            &lt;w:i /&gt;
            &lt;w:iCs /&gt;
            &lt;w:color w:val="4F81BD" w:themeColor="accent1" /&gt;
            &lt;w:spacing w:val="15" /&gt;
            &lt;w:szCs w:val="24" /&gt;
          &lt;/w:rPr&gt;
        &lt;/w:style&gt;
        &lt;w:style w:type="character" w:customStyle="1" w:styleId="SubtitleChar"&gt;
          &lt;w:name w:val="Subtitle Char" /&gt;
          &lt;w:basedOn w:val="DefaultParagraphFont" /&gt;
          &lt;w:link w:val="Subtitle" /&gt;
          &lt;w:rPr&gt;
            &lt;w:rFonts w:asciiTheme="majorHAnsi" w:eastAsiaTheme="majorEastAsia" w:hAnsiTheme="majorHAnsi" w:cstheme="majorBidi" /&gt;
            &lt;w:i /&gt;
            &lt;w:iCs /&gt;
            &lt;w:color w:val="4F81BD" w:themeColor="accent1" /&gt;
            &lt;w:spacing w:val="15" /&gt;
            &lt;w:sz w:val="24" /&gt;
            &lt;w:szCs w:val="24" /&gt;
          &lt;/w:rPr&gt;
        &lt;/w:style&gt;
        &lt;w:style w:type="character" w:styleId="SubtleEmphasis"&gt;
          &lt;w:name w:val="Subtle Emphasis" /&gt;
          &lt;w:basedOn w:val="DefaultParagraphFont" /&gt;
          &lt;w:uiPriority w:val="19" /&gt;
          &lt;w:qFormat /&gt;
          &lt;w:rPr&gt;
            &lt;w:i /&gt;
            &lt;w:iCs /&gt;
            &lt;w:color w:val="808080" w:themeColor="text1" w:themeTint="7F" /&gt;
          &lt;/w:rPr&gt;
        &lt;/w:style&gt;
        &lt;w:style w:type="character" w:styleId="SubtleReference"&gt;
          &lt;w:name w:val="Subtle Reference" /&gt;
          &lt;w:basedOn w:val="DefaultParagraphFont" /&gt;
          &lt;w:uiPriority w:val="31" /&gt;
          &lt;w:rPr&gt;
            &lt;w:smallCaps /&gt;
            &lt;w:color w:val="C0504D" w:themeColor="accent2" /&gt;
            &lt;w:u w:val="single" /&gt;
          &lt;/w:rPr&gt;
        &lt;/w:style&gt;
        &lt;w:style w:type="paragraph" w:styleId="TableofFigures"&gt;
          &lt;w:name w:val="table of figures" /&gt;
          &lt;w:basedOn w:val="Normal" /&gt;
          &lt;w:next w:val="Normal" /&gt;
          &lt;w:uiPriority w:val="99" /&gt;
          &lt;w:semiHidden /&gt;
          &lt;w:unhideWhenUsed /&gt;
          &lt;w:pPr&gt;
            &lt;w:spacing w:after="0" /&gt;
          &lt;/w:pPr&gt;
        &lt;/w:style&gt;
        &lt;w:style w:type="paragraph" w:styleId="TOC5"&gt;
          &lt;w:name w:val="toc 5" /&gt;
          &lt;w:basedOn w:val="Normal" /&gt;
          &lt;w:next w:val="Normal" /&gt;
          &lt;w:autoRedefine /&gt;
          &lt;w:uiPriority w:val="39" /&gt;
          &lt;w:unhideWhenUsed /&gt;
          &lt;w:pPr&gt;
            &lt;w:spacing w:after="100" /&gt;
            &lt;w:ind w:left="960" /&gt;
          &lt;/w:pPr&gt;
        &lt;/w:style&gt;
        &lt;w:style w:type="paragraph" w:styleId="TOC6"&gt;
          &lt;w:name w:val="toc 6" /&gt;
          &lt;w:basedOn w:val="Normal" /&gt;
          &lt;w:next w:val="Normal" /&gt;
          &lt;w:autoRedefine /&gt;
          &lt;w:uiPriority w:val="39" /&gt;
          &lt;w:unhideWhenUsed /&gt;
          &lt;w:pPr&gt;
            &lt;w:spacing w:after="100" /&gt;
            &lt;w:ind w:left="1200" /&gt;
          &lt;/w:pPr&gt;
        &lt;/w:style&gt;
        &lt;w:style w:type="paragraph" w:styleId="TOC7"&gt;
          &lt;w:name w:val="toc 7" /&gt;
          &lt;w:basedOn w:val="Normal" /&gt;
          &lt;w:next w:val="Normal" /&gt;
          &lt;w:autoRedefine /&gt;
          &lt;w:uiPriority w:val="39" /&gt;
          &lt;w:unhideWhenUsed /&gt;
          &lt;w:pPr&gt;
            &lt;w:spacing w:after="100" /&gt;
            &lt;w:ind w:left="1440" /&gt;
          &lt;/w:pPr&gt;
        &lt;/w:style&gt;
        &lt;w:style w:type="paragraph" w:styleId="TOC8"&gt;
          &lt;w:name w:val="toc 8" /&gt;
          &lt;w:basedOn w:val="Normal" /&gt;
          &lt;w:next w:val="Normal" /&gt;
          &lt;w:autoRedefine /&gt;
          &lt;w:uiPriority w:val="39" /&gt;
          &lt;w:unhideWhenUsed /&gt;
          &lt;w:pPr&gt;
            &lt;w:spacing w:after="100" /&gt;
            &lt;w:ind w:left="1680" /&gt;
          &lt;/w:pPr&gt;
        &lt;/w:style&gt;
        &lt;w:style w:type="paragraph" w:styleId="TOC9"&gt;
          &lt;w:name w:val="toc 9" /&gt;
          &lt;w:basedOn w:val="Normal" /&gt;
          &lt;w:next w:val="Normal" /&gt;
          &lt;w:autoRedefine /&gt;
          &lt;w:uiPriority w:val="39" /&gt;
          &lt;w:unhideWhenUsed /&gt;
          &lt;w:pPr&gt;
            &lt;w:spacing w:after="100" /&gt;
            &lt;w:ind w:left="1920" /&gt;
          &lt;/w:pPr&gt;
        &lt;/w:style&gt;
      &lt;/w:styles&gt;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w:val="0F8CE2AE" /&gt;
          &lt;w:lvl w:ilvl="0"&gt;
            &lt;w:start w:val="1" /&gt;
            &lt;w:numFmt w:val="decimal" /&gt;
            &lt;w:pStyle w:val="ListNumber"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w:abstractNumId="13"&gt;
          &lt;w:nsid w:val="0B5267F0" /&gt;
          &lt;w:multiLevelType w:val="hybridMultilevel" /&gt;
          &lt;w:tmpl w:val="7992709C" /&gt;
          &lt;w:lvl w:ilvl="0" w:tplc="EAD0C812"&gt;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w:abstractNumId="14"&gt;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w:val="0F4E5AC4" /&gt;
          &lt;w:multiLevelType w:val="singleLevel" /&gt;
          &lt;w:tmpl w:val="62E445DA" /&gt;
          &lt;w:lvl w:ilvl="0"&gt;
            &lt;w:start w:val="1" /&gt;
            &lt;w:numFmt w:val="decimal" /&gt;
            &lt;w:lvlText w:val="%1." /&gt;
            &lt;w:lvlJc w:val="left" /&gt;
            &lt;w:pPr&gt;
              &lt;w:tabs&gt;
                &lt;w:tab w:val="num" w:pos="432" /&gt;
              &lt;/w:tabs&gt;
              &lt;w:ind w:left="432" w:hanging="432" /&gt;
            &lt;/w:pPr&gt;
            &lt;w:rPr&gt;
              &lt;w:rFonts w:hint="default" /&gt;
            &lt;/w:rPr&gt;
          &lt;/w:lvl&gt;
        &lt;/w:abstractNum&gt;
        &lt;w:abstractNum w:abstractNumId="17"&gt;
          &lt;w:nsid w:val="104F4ABA" /&gt;
          &lt;w:multiLevelType w:val="hybridMultilevel" /&gt;
          &lt;w:tmpl w:val="F152626E" /&gt;
          &lt;w:lvl w:ilvl="0" w:tplc="04090003"&gt;
            &lt;w:start w:val="1" /&gt;
            &lt;w:numFmt w:val="bullet" /&gt;
            &lt;w:lvlText w:val="o" /&gt;
            &lt;w:lvlJc w:val="left" /&gt;
            &lt;w:pPr&gt;
              &lt;w:ind w:left="1080" w:hanging="360" /&gt;
            &lt;/w:pPr&gt;
            &lt;w:rPr&gt;
              &lt;w:rFonts w:ascii="Courier New" w:hAnsi="Courier New" w:cs="Courier New"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w:abstractNumId="18"&gt;
          &lt;w:nsid w:val="13490AF4" /&gt;
          &lt;w:multiLevelType w:val="hybridMultilevel" /&gt;
          &lt;w:tmpl w:val="61DEFBCC" /&gt;
          &lt;w:lvl w:ilvl="0" w:tplc="77A6A24A"&gt;
            &lt;w:start w:val="1" /&gt;
            &lt;w:numFmt w:val="bullet" /&gt;
            &lt;w:lvlText w:val="" /&gt;
            &lt;w:lvlJc w:val="left" /&gt;
            &lt;w:pPr&gt;
              &lt;w:ind w:left="720" w:hanging="360" /&gt;
            &lt;/w:pPr&gt;
            &lt;w:rPr&gt;
              &lt;w:rFonts w:ascii="Symbol" w:hAnsi="Symbol" w:hint="default" /&gt;
              &lt;w:color w:val="auto"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w:val="1C082410" /&gt;
          &lt;w:multiLevelType w:val="hybridMultilevel" /&gt;
          &lt;w:tmpl w:val="D5F235DA"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w:abstractNumId="24"&gt;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w:val="1D4D390B" /&gt;
          &lt;w:multiLevelType w:val="hybridMultilevel" /&gt;
          &lt;w:tmpl w:val="253E2E92" /&gt;
          &lt;w:lvl w:ilvl="0" w:tplc="04090001"&gt;
            &lt;w:start w:val="1" /&gt;
            &lt;w:numFmt w:val="bullet" /&gt;
            &lt;w:lvlText w:val="" /&gt;
            &lt;w:lvlJc w:val="left" /&gt;
            &lt;w:pPr&gt;
              &lt;w:ind w:left="1080" w:hanging="360" /&gt;
            &lt;/w:pPr&gt;
            &lt;w:rPr&gt;
              &lt;w:rFonts w:ascii="Symbol" w:hAnsi="Symbol"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w:abstractNumId="26"&gt;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w:abstractNumId="27"&gt;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w:abstractNumId="28"&gt;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w:abstractNumId="29"&gt;
          &lt;w:nsid w:val="1FF81BC6" /&gt;
          &lt;w:multiLevelType w:val="hybridMultilevel" /&gt;
          &lt;w:tmpl w:val="B23AF288"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w:abstractNumId="30"&gt;
          &lt;w:nsid w:val="22206345" /&gt;
          &lt;w:multiLevelType w:val="hybridMultilevel" /&gt;
          &lt;w:tmpl w:val="1EC8693E"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w:abstractNumId="32"&gt;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w:abstractNumId="33"&gt;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w:abstractNumId="35"&gt;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w:abstractNumId="36"&gt;
          &lt;w:nsid w:val="325E7691" /&gt;
          &lt;w:multiLevelType w:val="hybridMultilevel" /&gt;
          &lt;w:tmpl w:val="E2405C84"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w:abstractNumId="38"&gt;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w:abstractNumId="39"&gt;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w:abstractNumId="41"&gt;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w:abstractNumId="42"&gt;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w:abstractNumId="43"&gt;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w:abstractNumId="44"&gt;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w:abstractNumId="45"&gt;
          &lt;w:nsid w:val="3BFE4B2A" /&gt;
          &lt;w:multiLevelType w:val="hybridMultilevel" /&gt;
          &lt;w:tmpl w:val="0D68D196" /&gt;
          &lt;w:lvl w:ilvl="0" w:tplc="04090001"&gt;
            &lt;w:start w:val="1" /&gt;
            &lt;w:numFmt w:val="bullet"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w:abstractNumId="46"&gt;
          &lt;w:nsid w:val="3DD01B05" /&gt;
          &lt;w:multiLevelType w:val="hybridMultilevel" /&gt;
          &lt;w:tmpl w:val="C7E2CA84" /&gt;
          &lt;w:lvl w:ilvl="0" w:tplc="0409000F"&gt;
            &lt;w:start w:val="1" /&gt;
            &lt;w:numFmt w:val="decimal"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w:abstractNumId="47"&gt;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w:abstractNumId="48"&gt;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w:abstractNumId="49"&gt;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w:abstractNumId="50"&gt;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w:abstractNumId="51"&gt;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w:abstractNumId="52"&gt;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w:abstractNumId="53"&gt;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w:abstractNumId="55"&gt;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w:abstractNumId="56"&gt;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w:abstractNumId="58"&gt;
          &lt;w:nsid w:val="50186FA2" /&gt;
          &lt;w:multiLevelType w:val="hybridMultilevel" /&gt;
          &lt;w:tmpl w:val="97E0D722"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w:abstractNumId="60"&gt;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w:abstractNumId="61"&gt;
          &lt;w:nsid w:val="51740E67" /&gt;
          &lt;w:multiLevelType w:val="hybridMultilevel" /&gt;
          &lt;w:tmpl w:val="6C822940"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w:abstractNumId="62"&gt;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w:abstractNumId="63"&gt;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w:abstractNumId="64"&gt;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w:abstractNumId="65"&gt;
          &lt;w:nsid w:val="55BE2694" /&gt;
          &lt;w:multiLevelType w:val="hybridMultilevel" /&gt;
          &lt;w:tmpl w:val="4C467E8C" /&gt;
          &lt;w:lvl w:ilvl="0" w:tplc="16146F14"&gt;
            &lt;w:start w:val="2"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w:abstractNumId="66"&gt;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w:abstractNumId="67"&gt;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w:abstractNumId="68"&gt;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w:abstractNumId="69"&gt;
          &lt;w:nsid w:val="5F2A1ABE" /&gt;
          &lt;w:multiLevelType w:val="singleLevel" /&gt;
          &lt;w:tmpl w:val="B686D922" /&gt;
          &lt;w:lvl w:ilvl="0"&gt;
            &lt;w:start w:val="1" /&gt;
            &lt;w:numFmt w:val="bullet" /&gt;
            &lt;w:lvlText w:val="" /&gt;
            &lt;w:lvlJc w:val="left" /&gt;
            &lt;w:pPr&gt;
              &lt;w:tabs&gt;
                &lt;w:tab w:val="num" w:pos="432" /&gt;
              &lt;/w:tabs&gt;
              &lt;w:ind w:left="432" w:hanging="432" /&gt;
            &lt;/w:pPr&gt;
            &lt;w:rPr&gt;
              &lt;w:rFonts w:ascii="Symbol" w:hAnsi="Symbol" w:hint="default" /&gt;
            &lt;/w:rPr&gt;
          &lt;/w:lvl&gt;
        &lt;/w:abstractNum&gt;
        &lt;w:abstractNum w:abstractNumId="70"&gt;
          &lt;w:nsid w:val="5F3A6F28" /&gt;
          &lt;w:multiLevelType w:val="hybridMultilevel" /&gt;
          &lt;w:tmpl w:val="E83CD1AC"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w:abstractNumId="71"&gt;
          &lt;w:nsid w:val="611227B5" /&gt;
          &lt;w:multiLevelType w:val="hybridMultilevel" /&gt;
          &lt;w:tmpl w:val="DD861FAE" /&gt;
          &lt;w:lvl w:ilvl="0" w:tplc="04090001"&gt;
            &lt;w:start w:val="1" /&gt;
            &lt;w:numFmt w:val="decimal"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w:abstractNumId="72"&gt;
          &lt;w:nsid w:val="62DB3D68" /&gt;
          &lt;w:multiLevelType w:val="hybridMultilevel" /&gt;
          &lt;w:tmpl w:val="3286A04E" /&gt;
          &lt;w:lvl w:ilvl="0" w:tplc="AF42F0A2"&gt;
            &lt;w:start w:val="1" /&gt;
            &lt;w:numFmt w:val="bullet"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w:abstractNumId="73"&gt;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w:abstractNumId="74"&gt;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w:abstractNumId="75"&gt;
          &lt;w:nsid w:val="63DC4716" /&gt;
          &lt;w:multiLevelType w:val="hybridMultilevel" /&gt;
          &lt;w:tmpl w:val="5E04554C" /&gt;
          &lt;w:lvl w:ilvl="0" w:tplc="0409001B"&gt;
            &lt;w:start w:val="1" /&gt;
            &lt;w:numFmt w:val="lowerRoman" /&gt;
            &lt;w:lvlText w:val="%1." /&gt;
            &lt;w:lvlJc w:val="right" /&gt;
            &lt;w:pPr&gt;
              &lt;w:ind w:left="15480" w:hanging="360" /&gt;
            &lt;/w:pPr&gt;
          &lt;/w:lvl&gt;
          &lt;w:lvl w:ilvl="1" w:tplc="04090003"&gt;
            &lt;w:start w:val="1" /&gt;
            &lt;w:numFmt w:val="lowerLetter" /&gt;
            &lt;w:lvlText w:val="%2." /&gt;
            &lt;w:lvlJc w:val="left" /&gt;
            &lt;w:pPr&gt;
              &lt;w:ind w:left="16200" w:hanging="360" /&gt;
            &lt;/w:pPr&gt;
          &lt;/w:lvl&gt;
          &lt;w:lvl w:ilvl="2" w:tplc="04090005" w:tentative="1"&gt;
            &lt;w:start w:val="1" /&gt;
            &lt;w:numFmt w:val="lowerRoman" /&gt;
            &lt;w:lvlText w:val="%3." /&gt;
            &lt;w:lvlJc w:val="right" /&gt;
            &lt;w:pPr&gt;
              &lt;w:ind w:left="16920" w:hanging="180" /&gt;
            &lt;/w:pPr&gt;
          &lt;/w:lvl&gt;
          &lt;w:lvl w:ilvl="3" w:tplc="04090001" w:tentative="1"&gt;
            &lt;w:start w:val="1" /&gt;
            &lt;w:numFmt w:val="decimal" /&gt;
            &lt;w:lvlText w:val="%4." /&gt;
            &lt;w:lvlJc w:val="left" /&gt;
            &lt;w:pPr&gt;
              &lt;w:ind w:left="17640" w:hanging="360" /&gt;
            &lt;/w:pPr&gt;
          &lt;/w:lvl&gt;
          &lt;w:lvl w:ilvl="4" w:tplc="04090003" w:tentative="1"&gt;
            &lt;w:start w:val="1" /&gt;
            &lt;w:numFmt w:val="lowerLetter" /&gt;
            &lt;w:lvlText w:val="%5." /&gt;
            &lt;w:lvlJc w:val="left" /&gt;
            &lt;w:pPr&gt;
              &lt;w:ind w:left="18360" w:hanging="360" /&gt;
            &lt;/w:pPr&gt;
          &lt;/w:lvl&gt;
          &lt;w:lvl w:ilvl="5" w:tplc="04090005" w:tentative="1"&gt;
            &lt;w:start w:val="1" /&gt;
            &lt;w:numFmt w:val="lowerRoman" /&gt;
            &lt;w:lvlText w:val="%6." /&gt;
            &lt;w:lvlJc w:val="right" /&gt;
            &lt;w:pPr&gt;
              &lt;w:ind w:left="19080" w:hanging="180" /&gt;
            &lt;/w:pPr&gt;
          &lt;/w:lvl&gt;
          &lt;w:lvl w:ilvl="6" w:tplc="04090001" w:tentative="1"&gt;
            &lt;w:start w:val="1" /&gt;
            &lt;w:numFmt w:val="decimal" /&gt;
            &lt;w:lvlText w:val="%7." /&gt;
            &lt;w:lvlJc w:val="left" /&gt;
            &lt;w:pPr&gt;
              &lt;w:ind w:left="19800" w:hanging="360" /&gt;
            &lt;/w:pPr&gt;
          &lt;/w:lvl&gt;
          &lt;w:lvl w:ilvl="7" w:tplc="04090003" w:tentative="1"&gt;
            &lt;w:start w:val="1" /&gt;
            &lt;w:numFmt w:val="lowerLetter" /&gt;
            &lt;w:lvlText w:val="%8." /&gt;
            &lt;w:lvlJc w:val="left" /&gt;
            &lt;w:pPr&gt;
              &lt;w:ind w:left="20520" w:hanging="360" /&gt;
            &lt;/w:pPr&gt;
          &lt;/w:lvl&gt;
          &lt;w:lvl w:ilvl="8" w:tplc="04090005" w:tentative="1"&gt;
            &lt;w:start w:val="1" /&gt;
            &lt;w:numFmt w:val="lowerRoman" /&gt;
            &lt;w:lvlText w:val="%9." /&gt;
            &lt;w:lvlJc w:val="right" /&gt;
            &lt;w:pPr&gt;
              &lt;w:ind w:left="21240" w:hanging="180" /&gt;
            &lt;/w:pPr&gt;
          &lt;/w:lvl&gt;
        &lt;/w:abstractNum&gt;
        &lt;w:abstractNum w:abstractNumId="76"&gt;
          &lt;w:nsid w:val="641A1632" /&gt;
          &lt;w:multiLevelType w:val="hybridMultilevel" /&gt;
          &lt;w:tmpl w:val="EFDC5884"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w:abstractNumId="77"&gt;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w:abstractNumId="78"&gt;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w:abstractNumId="79"&gt;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w:abstractNumId="80"&gt;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w:abstractNumId="81"&gt;
          &lt;w:nsid w:val="6D273DC5" /&gt;
          &lt;w:multiLevelType w:val="hybridMultilevel" /&gt;
          &lt;w:tmpl w:val="0E2AA980" /&gt;
          &lt;w:lvl w:ilvl="0" w:tplc="02D02A38"&gt;
            &lt;w:start w:val="1" /&gt;
            &lt;w:numFmt w:val="decimal" /&gt;
            &lt;w:lvlText w:val="%1." /&gt;
            &lt;w:lvlJc w:val="left" /&gt;
            &lt;w:pPr&gt;
              &lt;w:ind w:left="928" w:hanging="360" /&gt;
            &lt;/w:pPr&gt;
            &lt;w:rPr&gt;
              &lt;w:rFonts w:hint="default" /&gt;
              &lt;w:color w:val="auto" /&gt;
            &lt;/w:rPr&gt;
          &lt;/w:lvl&gt;
          &lt;w:lvl w:ilvl="1" w:tplc="04090019" w:tentative="1"&gt;
            &lt;w:start w:val="1" /&gt;
            &lt;w:numFmt w:val="lowerLetter" /&gt;
            &lt;w:lvlText w:val="%2." /&gt;
            &lt;w:lvlJc w:val="left" /&gt;
            &lt;w:pPr&gt;
              &lt;w:ind w:left="1648" w:hanging="360" /&gt;
            &lt;/w:pPr&gt;
          &lt;/w:lvl&gt;
          &lt;w:lvl w:ilvl="2" w:tplc="0409001B" w:tentative="1"&gt;
            &lt;w:start w:val="1" /&gt;
            &lt;w:numFmt w:val="lowerRoman" /&gt;
            &lt;w:lvlText w:val="%3." /&gt;
            &lt;w:lvlJc w:val="right" /&gt;
            &lt;w:pPr&gt;
              &lt;w:ind w:left="2368" w:hanging="180" /&gt;
            &lt;/w:pPr&gt;
          &lt;/w:lvl&gt;
          &lt;w:lvl w:ilvl="3" w:tplc="0409000F" w:tentative="1"&gt;
            &lt;w:start w:val="1" /&gt;
            &lt;w:numFmt w:val="decimal" /&gt;
            &lt;w:lvlText w:val="%4." /&gt;
            &lt;w:lvlJc w:val="left" /&gt;
            &lt;w:pPr&gt;
              &lt;w:ind w:left="3088" w:hanging="360" /&gt;
            &lt;/w:pPr&gt;
          &lt;/w:lvl&gt;
          &lt;w:lvl w:ilvl="4" w:tplc="04090019" w:tentative="1"&gt;
            &lt;w:start w:val="1" /&gt;
            &lt;w:numFmt w:val="lowerLetter" /&gt;
            &lt;w:lvlText w:val="%5." /&gt;
            &lt;w:lvlJc w:val="left" /&gt;
            &lt;w:pPr&gt;
              &lt;w:ind w:left="3808" w:hanging="360" /&gt;
            &lt;/w:pPr&gt;
          &lt;/w:lvl&gt;
          &lt;w:lvl w:ilvl="5" w:tplc="0409001B" w:tentative="1"&gt;
            &lt;w:start w:val="1" /&gt;
            &lt;w:numFmt w:val="lowerRoman" /&gt;
            &lt;w:lvlText w:val="%6." /&gt;
            &lt;w:lvlJc w:val="right" /&gt;
            &lt;w:pPr&gt;
              &lt;w:ind w:left="4528" w:hanging="180" /&gt;
            &lt;/w:pPr&gt;
          &lt;/w:lvl&gt;
          &lt;w:lvl w:ilvl="6" w:tplc="0409000F" w:tentative="1"&gt;
            &lt;w:start w:val="1" /&gt;
            &lt;w:numFmt w:val="decimal" /&gt;
            &lt;w:lvlText w:val="%7." /&gt;
            &lt;w:lvlJc w:val="left" /&gt;
            &lt;w:pPr&gt;
              &lt;w:ind w:left="5248" w:hanging="360" /&gt;
            &lt;/w:pPr&gt;
          &lt;/w:lvl&gt;
          &lt;w:lvl w:ilvl="7" w:tplc="04090019" w:tentative="1"&gt;
            &lt;w:start w:val="1" /&gt;
            &lt;w:numFmt w:val="lowerLetter" /&gt;
            &lt;w:lvlText w:val="%8." /&gt;
            &lt;w:lvlJc w:val="left" /&gt;
            &lt;w:pPr&gt;
              &lt;w:ind w:left="5968" w:hanging="360" /&gt;
            &lt;/w:pPr&gt;
          &lt;/w:lvl&gt;
          &lt;w:lvl w:ilvl="8" w:tplc="0409001B" w:tentative="1"&gt;
            &lt;w:start w:val="1" /&gt;
            &lt;w:numFmt w:val="lowerRoman" /&gt;
            &lt;w:lvlText w:val="%9." /&gt;
            &lt;w:lvlJc w:val="right" /&gt;
            &lt;w:pPr&gt;
              &lt;w:ind w:left="6688" w:hanging="180" /&gt;
            &lt;/w:pPr&gt;
          &lt;/w:lvl&gt;
        &lt;/w:abstractNum&gt;
        &lt;w:abstractNum w:abstractNumId="82"&gt;
          &lt;w:nsid w:val="6D762647" /&gt;
          &lt;w:multiLevelType w:val="hybridMultilevel" /&gt;
          &lt;w:tmpl w:val="767CFDA0" /&gt;
          &lt;w:lvl w:ilvl="0" w:tplc="8A5430F2"&gt;
            &lt;w:start w:val="1" /&gt;
            &lt;w:numFmt w:val="decimal"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w:abstractNumId="84"&gt;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w:abstractNumId="85"&gt;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w:abstractNumId="86"&gt;
          &lt;w:nsid w:val="715E7661" /&gt;
          &lt;w:multiLevelType w:val="hybridMultilevel" /&gt;
          &lt;w:tmpl w:val="6B644DB4"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w:abstractNumId="87"&gt;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w:abstractNumId="88"&gt;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w:abstractNumId="89"&gt;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w:abstractNumId="90"&gt;
          &lt;w:nsid w:val="7BDD14CF"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w:abstractNumId="91"&gt;
          &lt;w:nsid w:val="7C884488" /&gt;
          &lt;w:multiLevelType w:val="hybridMultilevel" /&gt;
          &lt;w:tmpl w:val="B2223808"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w:abstractNumId="92"&gt;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w:val="46" /&gt;
        &lt;/w:num&gt;
        &lt;w:num w:numId="3"&gt;
          &lt;w:abstractNumId w:val="82" /&gt;
        &lt;/w:num&gt;
        &lt;w:num w:numId="4"&gt;
          &lt;w:abstractNumId w:val="13" /&gt;
        &lt;/w:num&gt;
        &lt;w:num w:numId="5"&gt;
          &lt;w:abstractNumId w:val="45" /&gt;
        &lt;/w:num&gt;
        &lt;w:num w:numId="6"&gt;
          &lt;w:abstractNumId w:val="34" /&gt;
        &lt;/w:num&gt;
        &lt;w:num w:numId="7"&gt;
          &lt;w:abstractNumId w:val="19" /&gt;
        &lt;/w:num&gt;
        &lt;w:num w:numId="8"&gt;
          &lt;w:abstractNumId w:val="16" /&gt;
        &lt;/w:num&gt;
        &lt;w:num w:numId="9"&gt;
          &lt;w:abstractNumId w:val="69" /&gt;
        &lt;/w:num&gt;
        &lt;w:num w:numId="10"&gt;
          &lt;w:abstractNumId w:val="88" /&gt;
        &lt;/w:num&gt;
        &lt;w:num w:numId="11"&gt;
          &lt;w:abstractNumId w:val="50" /&gt;
        &lt;/w:num&gt;
        &lt;w:num w:numId="12"&gt;
          &lt;w:abstractNumId w:val="11" /&gt;
        &lt;/w:num&gt;
        &lt;w:num w:numId="13"&gt;
          &lt;w:abstractNumId w:val="71" /&gt;
        &lt;/w:num&gt;
        &lt;w:num w:numId="14"&gt;
          &lt;w:abstractNumId w:val="40" /&gt;
        &lt;/w:num&gt;
        &lt;w:num w:numId="15"&gt;
          &lt;w:abstractNumId w:val="49" /&gt;
        &lt;/w:num&gt;
        &lt;w:num w:numId="16"&gt;
          &lt;w:abstractNumId w:val="75" /&gt;
        &lt;/w:num&gt;
        &lt;w:num w:numId="17"&gt;
          &lt;w:abstractNumId w:val="72"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w:val="26" /&gt;
        &lt;/w:num&gt;
        &lt;w:num w:numId="19"&gt;
          &lt;w:abstractNumId w:val="77" /&gt;
        &lt;/w:num&gt;
        &lt;w:num w:numId="20"&gt;
          &lt;w:abstractNumId w:val="58" /&gt;
        &lt;/w:num&gt;
        &lt;w:num w:numId="21"&gt;
          &lt;w:abstractNumId w:val="12" /&gt;
        &lt;/w:num&gt;
        &lt;w:num w:numId="22"&gt;
          &lt;w:abstractNumId w:val="66" /&gt;
        &lt;/w:num&gt;
        &lt;w:num w:numId="23"&gt;
          &lt;w:abstractNumId w:val="55" /&gt;
        &lt;/w:num&gt;
        &lt;w:num w:numId="24"&gt;
          &lt;w:abstractNumId w:val="41" /&gt;
        &lt;/w:num&gt;
        &lt;w:num w:numId="25"&gt;
          &lt;w:abstractNumId w:val="54" /&gt;
        &lt;/w:num&gt;
        &lt;w:num w:numId="26"&gt;
          &lt;w:abstractNumId w:val="63" /&gt;
        &lt;/w:num&gt;
        &lt;w:num w:numId="27"&gt;
          &lt;w:abstractNumId w:val="27" /&gt;
        &lt;/w:num&gt;
        &lt;w:num w:numId="28"&gt;
          &lt;w:abstractNumId w:val="92" /&gt;
        &lt;/w:num&gt;
        &lt;w:num w:numId="29"&gt;
          &lt;w:abstractNumId w:val="89" /&gt;
        &lt;/w:num&gt;
        &lt;w:num w:numId="30"&gt;
          &lt;w:abstractNumId w:val="56" /&gt;
        &lt;/w:num&gt;
        &lt;w:num w:numId="31"&gt;
          &lt;w:abstractNumId w:val="38" /&gt;
        &lt;/w:num&gt;
        &lt;w:num w:numId="32"&gt;
          &lt;w:abstractNumId w:val="28" /&gt;
        &lt;/w:num&gt;
        &lt;w:num w:numId="33"&gt;
          &lt;w:abstractNumId w:val="53" /&gt;
        &lt;/w:num&gt;
        &lt;w:num w:numId="34"&gt;
          &lt;w:abstractNumId w:val="37" /&gt;
        &lt;/w:num&gt;
        &lt;w:num w:numId="35"&gt;
          &lt;w:abstractNumId w:val="64" /&gt;
        &lt;/w:num&gt;
        &lt;w:num w:numId="36"&gt;
          &lt;w:abstractNumId w:val="44" /&gt;
        &lt;/w:num&gt;
        &lt;w:num w:numId="37"&gt;
          &lt;w:abstractNumId w:val="24" /&gt;
        &lt;/w:num&gt;
        &lt;w:num w:numId="38"&gt;
          &lt;w:abstractNumId w:val="68" /&gt;
        &lt;/w:num&gt;
        &lt;w:num w:numId="39"&gt;
          &lt;w:abstractNumId w:val="33" /&gt;
        &lt;/w:num&gt;
        &lt;w:num w:numId="40"&gt;
          &lt;w:abstractNumId w:val="42" /&gt;
        &lt;/w:num&gt;
        &lt;w:num w:numId="41"&gt;
          &lt;w:abstractNumId w:val="70" /&gt;
        &lt;/w:num&gt;
        &lt;w:num w:numId="42"&gt;
          &lt;w:abstractNumId w:val="57" /&gt;
        &lt;/w:num&gt;
        &lt;w:num w:numId="43"&gt;
          &lt;w:abstractNumId w:val="51" /&gt;
        &lt;/w:num&gt;
        &lt;w:num w:numId="44"&gt;
          &lt;w:abstractNumId w:val="73" /&gt;
        &lt;/w:num&gt;
        &lt;w:num w:numId="45"&gt;
          &lt;w:abstractNumId w:val="84" /&gt;
        &lt;/w:num&gt;
        &lt;w:num w:numId="46"&gt;
          &lt;w:abstractNumId w:val="39" /&gt;
        &lt;/w:num&gt;
        &lt;w:num w:numId="47"&gt;
          &lt;w:abstractNumId w:val="35" /&gt;
        &lt;/w:num&gt;
        &lt;w:num w:numId="48"&gt;
          &lt;w:abstractNumId w:val="21" /&gt;
        &lt;/w:num&gt;
        &lt;w:num w:numId="49"&gt;
          &lt;w:abstractNumId w:val="14" /&gt;
        &lt;/w:num&gt;
        &lt;w:num w:numId="50"&gt;
          &lt;w:abstractNumId w:val="15" /&gt;
        &lt;/w:num&gt;
        &lt;w:num w:numId="51"&gt;
          &lt;w:abstractNumId w:val="83" /&gt;
        &lt;/w:num&gt;
        &lt;w:num w:numId="52"&gt;
          &lt;w:abstractNumId w:val="81" /&gt;
        &lt;/w:num&gt;
        &lt;w:num w:numId="53"&gt;
          &lt;w:abstractNumId w:val="32" /&gt;
        &lt;/w:num&gt;
        &lt;w:num w:numId="54"&gt;
          &lt;w:abstractNumId w:val="52" /&gt;
        &lt;/w:num&gt;
        &lt;w:num w:numId="55"&gt;
          &lt;w:abstractNumId w:val="78" /&gt;
        &lt;/w:num&gt;
        &lt;w:num w:numId="56"&gt;
          &lt;w:abstractNumId w:val="87" /&gt;
        &lt;/w:num&gt;
        &lt;w:num w:numId="57"&gt;
          &lt;w:abstractNumId w:val="20" /&gt;
        &lt;/w:num&gt;
        &lt;w:num w:numId="58"&gt;
          &lt;w:abstractNumId w:val="67" /&gt;
        &lt;/w:num&gt;
        &lt;w:num w:numId="59"&gt;
          &lt;w:abstractNumId w:val="85" /&gt;
        &lt;/w:num&gt;
        &lt;w:num w:numId="60"&gt;
          &lt;w:abstractNumId w:val="60" /&gt;
        &lt;/w:num&gt;
        &lt;w:num w:numId="61"&gt;
          &lt;w:abstractNumId w:val="59" /&gt;
        &lt;/w:num&gt;
        &lt;w:num w:numId="62"&gt;
          &lt;w:abstractNumId w:val="31" /&gt;
        &lt;/w:num&gt;
        &lt;w:num w:numId="63"&gt;
          &lt;w:abstractNumId w:val="74" /&gt;
        &lt;/w:num&gt;
        &lt;w:num w:numId="64"&gt;
          &lt;w:abstractNumId w:val="22" /&gt;
        &lt;/w:num&gt;
        &lt;w:num w:numId="65"&gt;
          &lt;w:abstractNumId w:val="48" /&gt;
        &lt;/w:num&gt;
        &lt;w:num w:numId="66"&gt;
          &lt;w:abstractNumId w:val="80" /&gt;
        &lt;/w:num&gt;
        &lt;w:num w:numId="67"&gt;
          &lt;w:abstractNumId w:val="10" /&gt;
        &lt;/w:num&gt;
        &lt;w:num w:numId="68"&gt;
          &lt;w:abstractNumId w:val="47" /&gt;
        &lt;/w:num&gt;
        &lt;w:num w:numId="69"&gt;
          &lt;w:abstractNumId w:val="18" /&gt;
        &lt;/w:num&gt;
        &lt;w:num w:numId="70"&gt;
          &lt;w:abstractNumId w:val="43" /&gt;
        &lt;/w:num&gt;
        &lt;w:num w:numId="71"&gt;
          &lt;w:abstractNumId w:val="79" /&gt;
        &lt;/w:num&gt;
        &lt;w:num w:numId="72"&gt;
          &lt;w:abstractNumId w:val="62" /&gt;
        &lt;/w:num&gt;
        &lt;w:num w:numId="73"&gt;
          &lt;w:abstractNumId w:val="7" /&gt;
        &lt;/w:num&gt;
        &lt;w:num w:numId="74"&gt;
          &lt;w:abstractNumId w:val="6" /&gt;
        &lt;/w:num&gt;
        &lt;w:num w:numId="75"&gt;
          &lt;w:abstractNumId w:val="5" /&gt;
        &lt;/w:num&gt;
        &lt;w:num w:numId="76"&gt;
          &lt;w:abstractNumId w:val="4" /&gt;
        &lt;/w:num&gt;
        &lt;w:num w:numId="77"&gt;
          &lt;w:abstractNumId w:val="8" /&gt;
        &lt;/w:num&gt;
        &lt;w:num w:numId="78"&gt;
          &lt;w:abstractNumId w:val="3" /&gt;
        &lt;/w:num&gt;
        &lt;w:num w:numId="79"&gt;
          &lt;w:abstractNumId w:val="2" /&gt;
        &lt;/w:num&gt;
        &lt;w:num w:numId="80"&gt;
          &lt;w:abstractNumId w:val="1" /&gt;
        &lt;/w:num&gt;
        &lt;w:num w:numId="81"&gt;
          &lt;w:abstractNumId w:val="0" /&gt;
        &lt;/w:num&gt;
        &lt;w:num w:numId="82"&gt;
          &lt;w:abstractNumId w:val="29" /&gt;
        &lt;/w:num&gt;
        &lt;w:num w:numId="83"&gt;
          &lt;w:abstractNumId w:val="76" /&gt;
        &lt;/w:num&gt;
        &lt;w:num w:numId="84"&gt;
          &lt;w:abstractNumId w:val="17" /&gt;
        &lt;/w:num&gt;
        &lt;w:num w:numId="85"&gt;
          &lt;w:abstractNumId w:val="25" /&gt;
        &lt;/w:num&gt;
        &lt;w:num w:numId="86"&gt;
          &lt;w:abstractNumId w:val="90" /&gt;
        &lt;/w:num&gt;
        &lt;w:num w:numId="87"&gt;
          &lt;w:abstractNumId w:val="65" /&gt;
        &lt;/w:num&gt;
        &lt;w:num w:numId="88"&gt;
          &lt;w:abstractNumId w:val="86" /&gt;
        &lt;/w:num&gt;
        &lt;w:num w:numId="89"&gt;
          &lt;w:abstractNumId w:val="30" /&gt;
        &lt;/w:num&gt;
        &lt;w:num w:numId="90"&gt;
          &lt;w:abstractNumId w:val="36" /&gt;
        &lt;/w:num&gt;
        &lt;w:num w:numId="91"&gt;
          &lt;w:abstractNumId w:val="23" /&gt;
        &lt;/w:num&gt;
        &lt;w:num w:numId="92"&gt;
          &lt;w:abstractNumId w:val="91" /&gt;
        &lt;/w:num&gt;
        &lt;w:num w:numId="93"&gt;
          &lt;w:abstractNumId w:val="61" /&gt;
        &lt;/w:num&gt;
        &lt;w:numIdMacAtCleanup w:val="90" /&gt;
      &lt;/w:numbering&gt;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w:id="2057311510"&gt;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w:id="2118090268"&gt;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pkg:name="/word/people.xml" pkg:contentType="application/vnd.openxmlformats-officedocument.wordprocessingml.people+xml"&gt;
    &lt;pkg:xmlData&gt;
      &lt;w15:people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&lt;w15:person w15:author="Stacy Tegan"&gt;
          &lt;w15:presenceInfo w15:providerId="None" w15:userId="Stacy Tegan" /&gt;
        &lt;/w15:person&gt;
      &lt;/w15:people&gt;
    &lt;/pkg:xmlData&gt;
  &lt;/pkg:part&gt;
  &lt;pkg:part pkg:name="/word/commentsExtended.xml" pkg:contentType="application/vnd.openxmlformats-officedocument.wordprocessingml.commentsExtended+xml"&gt;
    &lt;pkg:xmlData&gt;
      &lt;w15:commentsEx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&lt;w15:commentEx w15:paraId="3A53BF52" w15:done="0" /&gt;
        &lt;w15:commentEx w15:paraId="21D7C13A" w15:done="0" /&gt;
        &lt;w15:commentEx w15:paraId="2451C35C" w15:done="0" /&gt;
        &lt;w15:commentEx w15:paraId="153CB5F7" w15:done="0" /&gt;
        &lt;w15:commentEx w15:paraId="003DF36E" w15:done="0" /&gt;
        &lt;w15:commentEx w15:paraId="188BD655" w15:done="0" /&gt;
        &lt;w15:commentEx w15:paraId="6DCF61D8" w15:done="0" /&gt;
        &lt;w15:commentEx w15:paraId="18BB442E" w15:done="0" /&gt;
        &lt;w15:commentEx w15:paraId="7437DC8F" w15:done="0" /&gt;
        &lt;w15:commentEx w15:paraId="263809FA" w15:done="0" /&gt;
        &lt;w15:commentEx w15:paraId="44BD0A90" w15:done="0" /&gt;
        &lt;w15:commentEx w15:paraId="2EFD0CEA" w15:done="0" /&gt;
      &lt;/w15:commentsEx&gt;
    &lt;/pkg:xmlData&gt;
  &lt;/pkg:part&gt;
&lt;/pkg:package&gt;</ExclusionCriteriaPriorConcurrentClinicalStudyExperience>
    <ExclusionCriteriaDiagnosticAssessments>&lt;?mso-application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Id="rId7" Type="http://schemas.openxmlformats.org/officeDocument/2006/relationships/endnotes" Target="endnotes.xml"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Id="rId31" Type="http://schemas.microsoft.com/office/2011/relationships/commentsExtended" Target="commentsExtended.xml" /&gt;
        &lt;Relationship Id="rId4" Type="http://schemas.openxmlformats.org/officeDocument/2006/relationships/settings" Target="settings.xml" /&gt;
        &lt;Relationship Id="rId9" Type="http://schemas.openxmlformats.org/officeDocument/2006/relationships/theme" Target="theme/theme1.xml" /&gt;
        &lt;Relationship Id="rId30" Type="http://schemas.microsoft.com/office/2011/relationships/people" Target="people.xml"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&lt;w:p&gt;
            &lt;w:pPr&gt;
              &lt;w:pStyle w:val="ListParagraph" /&gt;
              &lt;w:numPr&gt;
                &lt;w:ilvl w:val="0" /&gt;
                &lt;w:numId w:val="52" /&gt;
              &lt;/w:numPr&gt;
              &lt;w:ind w:left="709" /&gt;
              &lt;w:rPr&gt;
                &lt;w:rFonts w:eastAsia="Calibri" w:cs="Cordia New" /&gt;
                &lt;w:szCs w:val="22" /&gt;
              &lt;/w:rPr&gt;
            &lt;/w:pPr&gt;
            &lt;w:r&gt;
              &lt;w:rPr&gt;
                &lt;w:color w:val="0070C0" /&gt;
              &lt;/w:rPr&gt;
              &lt;w:t&gt;[]&lt;/w:t&gt;
            &lt;/w:r&gt;
          &lt;/w:p&gt;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&lt;w:p /&gt;
          &lt;w:p /&gt;
          &lt;w:p /&gt;
        &lt;/w:endnote&gt;
        &lt;w:endnote w:type="continuationSeparator" w:id="0"&gt;
          &lt;w:p&gt;
            &lt;w:pPr&gt;
              &lt;w:spacing w:after="0" w:line="240" w:lineRule="auto" /&gt;
            &lt;/w:pPr&gt;
            &lt;w:r&gt;
              &lt;w:continuationSeparator /&gt;
            &lt;/w:r&gt;
          &lt;/w:p&gt;
          &lt;w:p /&gt;
          &lt;w:p /&gt;
          &lt;w:p /&gt;
        &lt;/w:endnote&gt;
        &lt;w:endnote w:type="continuationNotice" w:id="1"&gt;
          &lt;w:p&gt;
            &lt;w:pPr&gt;
              &lt;w:spacing w:after="0" w:line="240" w:lineRule="auto" /&gt;
            &lt;/w:pPr&gt;
          &lt;/w:p&gt;
          &lt;w:p /&gt;
          &lt;w:p /&gt;
          &lt;w:p /&gt;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&lt;w:p /&gt;
          &lt;w:p /&gt;
          &lt;w:p /&gt;
        &lt;/w:footnote&gt;
        &lt;w:footnote w:type="continuationSeparator" w:id="0"&gt;
          &lt;w:p&gt;
            &lt;w:pPr&gt;
              &lt;w:spacing w:after="0" w:line="240" w:lineRule="auto" /&gt;
            &lt;/w:pPr&gt;
            &lt;w:r&gt;
              &lt;w:continuationSeparator /&gt;
            &lt;/w:r&gt;
          &lt;/w:p&gt;
          &lt;w:p /&gt;
          &lt;w:p /&gt;
          &lt;w:p /&gt;
        &lt;/w:footnote&gt;
        &lt;w:footnote w:type="continuationNotice" w:id="1"&gt;
          &lt;w:p&gt;
            &lt;w:pPr&gt;
              &lt;w:spacing w:after="0" w:line="240" w:lineRule="auto" /&gt;
            &lt;/w:pPr&gt;
          &lt;/w:p&gt;
          &lt;w:p /&gt;
          &lt;w:p /&gt;
          &lt;w:p /&gt;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w:percent="100"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&lt;w:savePreviewPicture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w:val="14" /&gt;
          &lt;w:compatSetting w:name="overrideTableStyleFontSizeAndJustification" w:uri="http://schemas.microsoft.com/office/word" w:val="1" /&gt;
          &lt;w:compatSetting w:name="enableOpenTypeFeatures" w:uri="http://schemas.microsoft.com/office/word" w:val="1" /&gt;
          &lt;w:compatSetting w:name="doNotFlipMirrorIndents" w:uri="http://schemas.microsoft.com/office/word" w:val="1" /&gt;
        &lt;/w:compat&gt;
        &lt;w:docVars&gt;
          &lt;w:docVar w:name="LibraryFilter" w:val="CPT Library_Asthma_20150609.docx|CPT Library_Healthy Volunteer_20150611.docx|"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w:usb0="E10002FF" w:usb1="4000ACFF" w:usb2="00000009"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&lt;w:qFormat /&gt;
          &lt;w:rPr&gt;
            &lt;w:rFonts w:cs="Arial" /&gt;
            &lt;w:vanish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&lt;w:qFormat /&gt;
          &lt;w:rPr&gt;
            &lt;w:rFonts w:cs="Arial" /&gt;
            &lt;w:vanish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w:val="C4A0C6A2" /&gt;
          &lt;w:lvl w:ilvl="0"&gt;
            &lt;w:start w:val="1" /&gt;
            &lt;w:numFmt w:val="decimal"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w:abstractNumId="13"&gt;
          &lt;w:nsid w:val="0B5267F0" /&gt;
          &lt;w:multiLevelType w:val="hybridMultilevel" /&gt;
          &lt;w:tmpl w:val="7992709C" /&gt;
          &lt;w:lvl w:ilvl="0" w:tplc="EAD0C812"&gt;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w:abstractNumId="14"&gt;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w:val="0F4E5AC4" /&gt;
          &lt;w:multiLevelType w:val="singleLevel" /&gt;
          &lt;w:tmpl w:val="62E445DA" /&gt;
          &lt;w:lvl w:ilvl="0"&gt;
            &lt;w:start w:val="1" /&gt;
            &lt;w:numFmt w:val="decimal" /&gt;
            &lt;w:lvlText w:val="%1." /&gt;
            &lt;w:lvlJc w:val="left" /&gt;
            &lt;w:pPr&gt;
              &lt;w:tabs&gt;
                &lt;w:tab w:val="num" w:pos="432" /&gt;
              &lt;/w:tabs&gt;
              &lt;w:ind w:left="432" w:hanging="432" /&gt;
            &lt;/w:pPr&gt;
            &lt;w:rPr&gt;
              &lt;w:rFonts w:hint="default" /&gt;
            &lt;/w:rPr&gt;
          &lt;/w:lvl&gt;
        &lt;/w:abstractNum&gt;
        &lt;w:abstractNum w:abstractNumId="17"&gt;
          &lt;w:nsid w:val="104F4ABA" /&gt;
          &lt;w:multiLevelType w:val="hybridMultilevel" /&gt;
          &lt;w:tmpl w:val="F152626E" /&gt;
          &lt;w:lvl w:ilvl="0" w:tplc="04090003"&gt;
            &lt;w:start w:val="1" /&gt;
            &lt;w:numFmt w:val="bullet" /&gt;
            &lt;w:lvlText w:val="o" /&gt;
            &lt;w:lvlJc w:val="left" /&gt;
            &lt;w:pPr&gt;
              &lt;w:ind w:left="1080" w:hanging="360" /&gt;
            &lt;/w:pPr&gt;
            &lt;w:rPr&gt;
              &lt;w:rFonts w:ascii="Courier New" w:hAnsi="Courier New" w:cs="Courier New"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w:abstractNumId="18"&gt;
          &lt;w:nsid w:val="13490AF4" /&gt;
          &lt;w:multiLevelType w:val="hybridMultilevel" /&gt;
          &lt;w:tmpl w:val="61DEFBCC" /&gt;
          &lt;w:lvl w:ilvl="0" w:tplc="77A6A24A"&gt;
            &lt;w:start w:val="1" /&gt;
            &lt;w:numFmt w:val="bullet" /&gt;
            &lt;w:lvlText w:val="" /&gt;
            &lt;w:lvlJc w:val="left" /&gt;
            &lt;w:pPr&gt;
              &lt;w:ind w:left="720" w:hanging="360" /&gt;
            &lt;/w:pPr&gt;
            &lt;w:rPr&gt;
              &lt;w:rFonts w:ascii="Symbol" w:hAnsi="Symbol" w:hint="default" /&gt;
              &lt;w:color w:val="auto"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w:val="1C082410" /&gt;
          &lt;w:multiLevelType w:val="hybridMultilevel" /&gt;
          &lt;w:tmpl w:val="D5F235DA"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w:abstractNumId="24"&gt;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w:val="1D4D390B" /&gt;
          &lt;w:multiLevelType w:val="hybridMultilevel" /&gt;
          &lt;w:tmpl w:val="253E2E92" /&gt;
          &lt;w:lvl w:ilvl="0" w:tplc="04090001"&gt;
            &lt;w:start w:val="1" /&gt;
            &lt;w:numFmt w:val="bullet" /&gt;
            &lt;w:lvlText w:val="" /&gt;
            &lt;w:lvlJc w:val="left" /&gt;
            &lt;w:pPr&gt;
              &lt;w:ind w:left="1080" w:hanging="360" /&gt;
            &lt;/w:pPr&gt;
            &lt;w:rPr&gt;
              &lt;w:rFonts w:ascii="Symbol" w:hAnsi="Symbol"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w:abstractNumId="26"&gt;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w:abstractNumId="27"&gt;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w:abstractNumId="28"&gt;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w:abstractNumId="29"&gt;
          &lt;w:nsid w:val="1FF81BC6" /&gt;
          &lt;w:multiLevelType w:val="hybridMultilevel" /&gt;
          &lt;w:tmpl w:val="B23AF288"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w:abstractNumId="30"&gt;
          &lt;w:nsid w:val="22206345" /&gt;
          &lt;w:multiLevelType w:val="hybridMultilevel" /&gt;
          &lt;w:tmpl w:val="1EC8693E"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w:abstractNumId="32"&gt;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w:abstractNumId="33"&gt;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w:abstractNumId="35"&gt;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w:abstractNumId="36"&gt;
          &lt;w:nsid w:val="325E7691" /&gt;
          &lt;w:multiLevelType w:val="hybridMultilevel" /&gt;
          &lt;w:tmpl w:val="E2405C84"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w:abstractNumId="38"&gt;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w:abstractNumId="39"&gt;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w:abstractNumId="41"&gt;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w:abstractNumId="42"&gt;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w:abstractNumId="43"&gt;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w:abstractNumId="44"&gt;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w:abstractNumId="45"&gt;
          &lt;w:nsid w:val="3BFE4B2A" /&gt;
          &lt;w:multiLevelType w:val="hybridMultilevel" /&gt;
          &lt;w:tmpl w:val="0D68D196" /&gt;
          &lt;w:lvl w:ilvl="0" w:tplc="04090001"&gt;
            &lt;w:start w:val="1" /&gt;
            &lt;w:numFmt w:val="bullet"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w:abstractNumId="46"&gt;
          &lt;w:nsid w:val="3DD01B05" /&gt;
          &lt;w:multiLevelType w:val="hybridMultilevel" /&gt;
          &lt;w:tmpl w:val="C7E2CA84" /&gt;
          &lt;w:lvl w:ilvl="0" w:tplc="0409000F"&gt;
            &lt;w:start w:val="1" /&gt;
            &lt;w:numFmt w:val="decimal"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w:abstractNumId="47"&gt;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w:abstractNumId="48"&gt;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w:abstractNumId="49"&gt;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w:abstractNumId="50"&gt;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w:abstractNumId="51"&gt;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w:abstractNumId="52"&gt;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w:abstractNumId="53"&gt;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w:abstractNumId="55"&gt;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w:abstractNumId="56"&gt;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w:abstractNumId="58"&gt;
          &lt;w:nsid w:val="50186FA2" /&gt;
          &lt;w:multiLevelType w:val="hybridMultilevel" /&gt;
          &lt;w:tmpl w:val="97E0D722"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w:abstractNumId="60"&gt;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w:abstractNumId="61"&gt;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w:abstractNumId="62"&gt;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w:abstractNumId="63"&gt;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w:abstractNumId="64"&gt;
          &lt;w:nsid w:val="55BE2694" /&gt;
          &lt;w:multiLevelType w:val="hybridMultilevel" /&gt;
          &lt;w:tmpl w:val="4C467E8C" /&gt;
          &lt;w:lvl w:ilvl="0" w:tplc="16146F14"&gt;
            &lt;w:start w:val="2"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w:abstractNumId="65"&gt;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w:abstractNumId="66"&gt;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w:abstractNumId="67"&gt;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w:abstractNumId="68"&gt;
          &lt;w:nsid w:val="5F2A1ABE" /&gt;
          &lt;w:multiLevelType w:val="singleLevel" /&gt;
          &lt;w:tmpl w:val="B686D922" /&gt;
          &lt;w:lvl w:ilvl="0"&gt;
            &lt;w:start w:val="1" /&gt;
            &lt;w:numFmt w:val="bullet" /&gt;
            &lt;w:lvlText w:val="" /&gt;
            &lt;w:lvlJc w:val="left" /&gt;
            &lt;w:pPr&gt;
              &lt;w:tabs&gt;
                &lt;w:tab w:val="num" w:pos="432" /&gt;
              &lt;/w:tabs&gt;
              &lt;w:ind w:left="432" w:hanging="432" /&gt;
            &lt;/w:pPr&gt;
            &lt;w:rPr&gt;
              &lt;w:rFonts w:ascii="Symbol" w:hAnsi="Symbol" w:hint="default" /&gt;
            &lt;/w:rPr&gt;
          &lt;/w:lvl&gt;
        &lt;/w:abstractNum&gt;
        &lt;w:abstractNum w:abstractNumId="69"&gt;
          &lt;w:nsid w:val="5F3A6F28" /&gt;
          &lt;w:multiLevelType w:val="hybridMultilevel" /&gt;
          &lt;w:tmpl w:val="E83CD1AC"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w:abstractNumId="70"&gt;
          &lt;w:nsid w:val="611227B5" /&gt;
          &lt;w:multiLevelType w:val="hybridMultilevel" /&gt;
          &lt;w:tmpl w:val="DD861FAE" /&gt;
          &lt;w:lvl w:ilvl="0" w:tplc="04090001"&gt;
            &lt;w:start w:val="1" /&gt;
            &lt;w:numFmt w:val="decimal"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w:abstractNumId="71"&gt;
          &lt;w:nsid w:val="62DB3D68" /&gt;
          &lt;w:multiLevelType w:val="hybridMultilevel" /&gt;
          &lt;w:tmpl w:val="3286A04E" /&gt;
          &lt;w:lvl w:ilvl="0" w:tplc="AF42F0A2"&gt;
            &lt;w:start w:val="1" /&gt;
            &lt;w:numFmt w:val="bullet"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w:abstractNumId="72"&gt;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w:abstractNumId="73"&gt;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w:abstractNumId="74"&gt;
          &lt;w:nsid w:val="63DC4716" /&gt;
          &lt;w:multiLevelType w:val="hybridMultilevel" /&gt;
          &lt;w:tmpl w:val="3A288F9A" /&gt;
          &lt;w:lvl w:ilvl="0" w:tplc="B1769F9E"&gt;
            &lt;w:start w:val="1" /&gt;
            &lt;w:numFmt w:val="lowerLetter" /&gt;
            &lt;w:lvlText w:val="%1." /&gt;
            &lt;w:lvlJc w:val="left" /&gt;
            &lt;w:pPr&gt;
              &lt;w:ind w:left="720" w:hanging="360" /&gt;
            &lt;/w:pPr&gt;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w:abstractNumId="75"&gt;
          &lt;w:nsid w:val="641A1632" /&gt;
          &lt;w:multiLevelType w:val="hybridMultilevel" /&gt;
          &lt;w:tmpl w:val="EFDC5884"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w:abstractNumId="76"&gt;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w:abstractNumId="77"&gt;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w:abstractNumId="78"&gt;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w:abstractNumId="79"&gt;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w:abstractNumId="80"&gt;
          &lt;w:nsid w:val="6D273DC5" /&gt;
          &lt;w:multiLevelType w:val="hybridMultilevel" /&gt;
          &lt;w:tmpl w:val="32C89C8E" /&gt;
          &lt;w:lvl w:ilvl="0" w:tplc="4A5AD112"&gt;
            &lt;w:start w:val="1" /&gt;
            &lt;w:numFmt w:val="decimal" /&gt;
            &lt;w:lvlText w:val="%1." /&gt;
            &lt;w:lvlJc w:val="left" /&gt;
            &lt;w:pPr&gt;
              &lt;w:ind w:left="928" w:hanging="360" /&gt;
            &lt;/w:pPr&gt;
            &lt;w:rPr&gt;
              &lt;w:rFonts w:hint="default" /&gt;
            &lt;/w:rPr&gt;
          &lt;/w:lvl&gt;
          &lt;w:lvl w:ilvl="1" w:tplc="04090019" w:tentative="1"&gt;
            &lt;w:start w:val="1" /&gt;
            &lt;w:numFmt w:val="lowerLetter" /&gt;
            &lt;w:lvlText w:val="%2." /&gt;
            &lt;w:lvlJc w:val="left" /&gt;
            &lt;w:pPr&gt;
              &lt;w:ind w:left="1648" w:hanging="360" /&gt;
            &lt;/w:pPr&gt;
          &lt;/w:lvl&gt;
          &lt;w:lvl w:ilvl="2" w:tplc="0409001B" w:tentative="1"&gt;
            &lt;w:start w:val="1" /&gt;
            &lt;w:numFmt w:val="lowerRoman" /&gt;
            &lt;w:lvlText w:val="%3." /&gt;
            &lt;w:lvlJc w:val="right" /&gt;
            &lt;w:pPr&gt;
              &lt;w:ind w:left="2368" w:hanging="180" /&gt;
            &lt;/w:pPr&gt;
          &lt;/w:lvl&gt;
          &lt;w:lvl w:ilvl="3" w:tplc="0409000F" w:tentative="1"&gt;
            &lt;w:start w:val="1" /&gt;
            &lt;w:numFmt w:val="decimal" /&gt;
            &lt;w:lvlText w:val="%4." /&gt;
            &lt;w:lvlJc w:val="left" /&gt;
            &lt;w:pPr&gt;
              &lt;w:ind w:left="3088" w:hanging="360" /&gt;
            &lt;/w:pPr&gt;
          &lt;/w:lvl&gt;
          &lt;w:lvl w:ilvl="4" w:tplc="04090019" w:tentative="1"&gt;
            &lt;w:start w:val="1" /&gt;
            &lt;w:numFmt w:val="lowerLetter" /&gt;
            &lt;w:lvlText w:val="%5." /&gt;
            &lt;w:lvlJc w:val="left" /&gt;
            &lt;w:pPr&gt;
              &lt;w:ind w:left="3808" w:hanging="360" /&gt;
            &lt;/w:pPr&gt;
          &lt;/w:lvl&gt;
          &lt;w:lvl w:ilvl="5" w:tplc="0409001B" w:tentative="1"&gt;
            &lt;w:start w:val="1" /&gt;
            &lt;w:numFmt w:val="lowerRoman" /&gt;
            &lt;w:lvlText w:val="%6." /&gt;
            &lt;w:lvlJc w:val="right" /&gt;
            &lt;w:pPr&gt;
              &lt;w:ind w:left="4528" w:hanging="180" /&gt;
            &lt;/w:pPr&gt;
          &lt;/w:lvl&gt;
          &lt;w:lvl w:ilvl="6" w:tplc="0409000F" w:tentative="1"&gt;
            &lt;w:start w:val="1" /&gt;
            &lt;w:numFmt w:val="decimal" /&gt;
            &lt;w:lvlText w:val="%7." /&gt;
            &lt;w:lvlJc w:val="left" /&gt;
            &lt;w:pPr&gt;
              &lt;w:ind w:left="5248" w:hanging="360" /&gt;
            &lt;/w:pPr&gt;
          &lt;/w:lvl&gt;
          &lt;w:lvl w:ilvl="7" w:tplc="04090019" w:tentative="1"&gt;
            &lt;w:start w:val="1" /&gt;
            &lt;w:numFmt w:val="lowerLetter" /&gt;
            &lt;w:lvlText w:val="%8." /&gt;
            &lt;w:lvlJc w:val="left" /&gt;
            &lt;w:pPr&gt;
              &lt;w:ind w:left="5968" w:hanging="360" /&gt;
            &lt;/w:pPr&gt;
          &lt;/w:lvl&gt;
          &lt;w:lvl w:ilvl="8" w:tplc="0409001B" w:tentative="1"&gt;
            &lt;w:start w:val="1" /&gt;
            &lt;w:numFmt w:val="lowerRoman" /&gt;
            &lt;w:lvlText w:val="%9." /&gt;
            &lt;w:lvlJc w:val="right" /&gt;
            &lt;w:pPr&gt;
              &lt;w:ind w:left="6688" w:hanging="180" /&gt;
            &lt;/w:pPr&gt;
          &lt;/w:lvl&gt;
        &lt;/w:abstractNum&gt;
        &lt;w:abstractNum w:abstractNumId="81"&gt;
          &lt;w:nsid w:val="6D762647" /&gt;
          &lt;w:multiLevelType w:val="hybridMultilevel" /&gt;
          &lt;w:tmpl w:val="767CFDA0" /&gt;
          &lt;w:lvl w:ilvl="0" w:tplc="8A5430F2"&gt;
            &lt;w:start w:val="1" /&gt;
            &lt;w:numFmt w:val="decimal"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w:abstractNumId="82"&gt;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w:abstractNumId="84"&gt;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w:abstractNumId="85"&gt;
          &lt;w:nsid w:val="715E7661" /&gt;
          &lt;w:multiLevelType w:val="hybridMultilevel" /&gt;
          &lt;w:tmpl w:val="6B644DB4"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w:abstractNumId="86"&gt;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w:abstractNumId="87"&gt;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w:abstractNumId="88"&gt;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w:abstractNumId="89"&gt;
          &lt;w:nsid w:val="7BDD14CF"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w:abstractNumId="90"&gt;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w:val="46" /&gt;
        &lt;/w:num&gt;
        &lt;w:num w:numId="3"&gt;
          &lt;w:abstractNumId w:val="81" /&gt;
        &lt;/w:num&gt;
        &lt;w:num w:numId="4"&gt;
          &lt;w:abstractNumId w:val="13" /&gt;
        &lt;/w:num&gt;
        &lt;w:num w:numId="5"&gt;
          &lt;w:abstractNumId w:val="45" /&gt;
        &lt;/w:num&gt;
        &lt;w:num w:numId="6"&gt;
          &lt;w:abstractNumId w:val="34" /&gt;
        &lt;/w:num&gt;
        &lt;w:num w:numId="7"&gt;
          &lt;w:abstractNumId w:val="19" /&gt;
        &lt;/w:num&gt;
        &lt;w:num w:numId="8"&gt;
          &lt;w:abstractNumId w:val="16" /&gt;
        &lt;/w:num&gt;
        &lt;w:num w:numId="9"&gt;
          &lt;w:abstractNumId w:val="68" /&gt;
        &lt;/w:num&gt;
        &lt;w:num w:numId="10"&gt;
          &lt;w:abstractNumId w:val="87" /&gt;
        &lt;/w:num&gt;
        &lt;w:num w:numId="11"&gt;
          &lt;w:abstractNumId w:val="50" /&gt;
        &lt;/w:num&gt;
        &lt;w:num w:numId="12"&gt;
          &lt;w:abstractNumId w:val="11" /&gt;
        &lt;/w:num&gt;
        &lt;w:num w:numId="13"&gt;
          &lt;w:abstractNumId w:val="70" /&gt;
        &lt;/w:num&gt;
        &lt;w:num w:numId="14"&gt;
          &lt;w:abstractNumId w:val="40" /&gt;
        &lt;/w:num&gt;
        &lt;w:num w:numId="15"&gt;
          &lt;w:abstractNumId w:val="49" /&gt;
        &lt;/w:num&gt;
        &lt;w:num w:numId="16"&gt;
          &lt;w:abstractNumId w:val="74" /&gt;
        &lt;/w:num&gt;
        &lt;w:num w:numId="17"&gt;
          &lt;w:abstractNumId w:val="71"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w:val="26" /&gt;
        &lt;/w:num&gt;
        &lt;w:num w:numId="19"&gt;
          &lt;w:abstractNumId w:val="76" /&gt;
        &lt;/w:num&gt;
        &lt;w:num w:numId="20"&gt;
          &lt;w:abstractNumId w:val="58" /&gt;
        &lt;/w:num&gt;
        &lt;w:num w:numId="21"&gt;
          &lt;w:abstractNumId w:val="12" /&gt;
        &lt;/w:num&gt;
        &lt;w:num w:numId="22"&gt;
          &lt;w:abstractNumId w:val="65" /&gt;
        &lt;/w:num&gt;
        &lt;w:num w:numId="23"&gt;
          &lt;w:abstractNumId w:val="55" /&gt;
        &lt;/w:num&gt;
        &lt;w:num w:numId="24"&gt;
          &lt;w:abstractNumId w:val="41" /&gt;
        &lt;/w:num&gt;
        &lt;w:num w:numId="25"&gt;
          &lt;w:abstractNumId w:val="54" /&gt;
        &lt;/w:num&gt;
        &lt;w:num w:numId="26"&gt;
          &lt;w:abstractNumId w:val="62" /&gt;
        &lt;/w:num&gt;
        &lt;w:num w:numId="27"&gt;
          &lt;w:abstractNumId w:val="27" /&gt;
        &lt;/w:num&gt;
        &lt;w:num w:numId="28"&gt;
          &lt;w:abstractNumId w:val="90" /&gt;
        &lt;/w:num&gt;
        &lt;w:num w:numId="29"&gt;
          &lt;w:abstractNumId w:val="88" /&gt;
        &lt;/w:num&gt;
        &lt;w:num w:numId="30"&gt;
          &lt;w:abstractNumId w:val="56" /&gt;
        &lt;/w:num&gt;
        &lt;w:num w:numId="31"&gt;
          &lt;w:abstractNumId w:val="38" /&gt;
        &lt;/w:num&gt;
        &lt;w:num w:numId="32"&gt;
          &lt;w:abstractNumId w:val="28" /&gt;
        &lt;/w:num&gt;
        &lt;w:num w:numId="33"&gt;
          &lt;w:abstractNumId w:val="53" /&gt;
        &lt;/w:num&gt;
        &lt;w:num w:numId="34"&gt;
          &lt;w:abstractNumId w:val="37" /&gt;
        &lt;/w:num&gt;
        &lt;w:num w:numId="35"&gt;
          &lt;w:abstractNumId w:val="63" /&gt;
        &lt;/w:num&gt;
        &lt;w:num w:numId="36"&gt;
          &lt;w:abstractNumId w:val="44" /&gt;
        &lt;/w:num&gt;
        &lt;w:num w:numId="37"&gt;
          &lt;w:abstractNumId w:val="24" /&gt;
        &lt;/w:num&gt;
        &lt;w:num w:numId="38"&gt;
          &lt;w:abstractNumId w:val="67" /&gt;
        &lt;/w:num&gt;
        &lt;w:num w:numId="39"&gt;
          &lt;w:abstractNumId w:val="33" /&gt;
        &lt;/w:num&gt;
        &lt;w:num w:numId="40"&gt;
          &lt;w:abstractNumId w:val="42" /&gt;
        &lt;/w:num&gt;
        &lt;w:num w:numId="41"&gt;
          &lt;w:abstractNumId w:val="69" /&gt;
        &lt;/w:num&gt;
        &lt;w:num w:numId="42"&gt;
          &lt;w:abstractNumId w:val="57" /&gt;
        &lt;/w:num&gt;
        &lt;w:num w:numId="43"&gt;
          &lt;w:abstractNumId w:val="51" /&gt;
        &lt;/w:num&gt;
        &lt;w:num w:numId="44"&gt;
          &lt;w:abstractNumId w:val="72" /&gt;
        &lt;/w:num&gt;
        &lt;w:num w:numId="45"&gt;
          &lt;w:abstractNumId w:val="83" /&gt;
        &lt;/w:num&gt;
        &lt;w:num w:numId="46"&gt;
          &lt;w:abstractNumId w:val="39" /&gt;
        &lt;/w:num&gt;
        &lt;w:num w:numId="47"&gt;
          &lt;w:abstractNumId w:val="35" /&gt;
        &lt;/w:num&gt;
        &lt;w:num w:numId="48"&gt;
          &lt;w:abstractNumId w:val="21" /&gt;
        &lt;/w:num&gt;
        &lt;w:num w:numId="49"&gt;
          &lt;w:abstractNumId w:val="14" /&gt;
        &lt;/w:num&gt;
        &lt;w:num w:numId="50"&gt;
          &lt;w:abstractNumId w:val="15" /&gt;
        &lt;/w:num&gt;
        &lt;w:num w:numId="51"&gt;
          &lt;w:abstractNumId w:val="82" /&gt;
        &lt;/w:num&gt;
        &lt;w:num w:numId="52"&gt;
          &lt;w:abstractNumId w:val="80" /&gt;
        &lt;/w:num&gt;
        &lt;w:num w:numId="53"&gt;
          &lt;w:abstractNumId w:val="32" /&gt;
        &lt;/w:num&gt;
        &lt;w:num w:numId="54"&gt;
          &lt;w:abstractNumId w:val="52" /&gt;
        &lt;/w:num&gt;
        &lt;w:num w:numId="55"&gt;
          &lt;w:abstractNumId w:val="77" /&gt;
        &lt;/w:num&gt;
        &lt;w:num w:numId="56"&gt;
          &lt;w:abstractNumId w:val="86" /&gt;
        &lt;/w:num&gt;
        &lt;w:num w:numId="57"&gt;
          &lt;w:abstractNumId w:val="20" /&gt;
        &lt;/w:num&gt;
        &lt;w:num w:numId="58"&gt;
          &lt;w:abstractNumId w:val="66" /&gt;
        &lt;/w:num&gt;
        &lt;w:num w:numId="59"&gt;
          &lt;w:abstractNumId w:val="84" /&gt;
        &lt;/w:num&gt;
        &lt;w:num w:numId="60"&gt;
          &lt;w:abstractNumId w:val="60" /&gt;
        &lt;/w:num&gt;
        &lt;w:num w:numId="61"&gt;
          &lt;w:abstractNumId w:val="59" /&gt;
        &lt;/w:num&gt;
        &lt;w:num w:numId="62"&gt;
          &lt;w:abstractNumId w:val="31" /&gt;
        &lt;/w:num&gt;
        &lt;w:num w:numId="63"&gt;
          &lt;w:abstractNumId w:val="73" /&gt;
        &lt;/w:num&gt;
        &lt;w:num w:numId="64"&gt;
          &lt;w:abstractNumId w:val="22" /&gt;
        &lt;/w:num&gt;
        &lt;w:num w:numId="65"&gt;
          &lt;w:abstractNumId w:val="48" /&gt;
        &lt;/w:num&gt;
        &lt;w:num w:numId="66"&gt;
          &lt;w:abstractNumId w:val="79" /&gt;
        &lt;/w:num&gt;
        &lt;w:num w:numId="67"&gt;
          &lt;w:abstractNumId w:val="10" /&gt;
        &lt;/w:num&gt;
        &lt;w:num w:numId="68"&gt;
          &lt;w:abstractNumId w:val="47" /&gt;
        &lt;/w:num&gt;
        &lt;w:num w:numId="69"&gt;
          &lt;w:abstractNumId w:val="18" /&gt;
        &lt;/w:num&gt;
        &lt;w:num w:numId="70"&gt;
          &lt;w:abstractNumId w:val="43" /&gt;
        &lt;/w:num&gt;
        &lt;w:num w:numId="71"&gt;
          &lt;w:abstractNumId w:val="78" /&gt;
        &lt;/w:num&gt;
        &lt;w:num w:numId="72"&gt;
          &lt;w:abstractNumId w:val="61" /&gt;
        &lt;/w:num&gt;
        &lt;w:num w:numId="73"&gt;
          &lt;w:abstractNumId w:val="7" /&gt;
        &lt;/w:num&gt;
        &lt;w:num w:numId="74"&gt;
          &lt;w:abstractNumId w:val="6" /&gt;
        &lt;/w:num&gt;
        &lt;w:num w:numId="75"&gt;
          &lt;w:abstractNumId w:val="5" /&gt;
        &lt;/w:num&gt;
        &lt;w:num w:numId="76"&gt;
          &lt;w:abstractNumId w:val="4" /&gt;
        &lt;/w:num&gt;
        &lt;w:num w:numId="77"&gt;
          &lt;w:abstractNumId w:val="8" /&gt;
        &lt;/w:num&gt;
        &lt;w:num w:numId="78"&gt;
          &lt;w:abstractNumId w:val="3" /&gt;
        &lt;/w:num&gt;
        &lt;w:num w:numId="79"&gt;
          &lt;w:abstractNumId w:val="2" /&gt;
        &lt;/w:num&gt;
        &lt;w:num w:numId="80"&gt;
          &lt;w:abstractNumId w:val="1" /&gt;
        &lt;/w:num&gt;
        &lt;w:num w:numId="81"&gt;
          &lt;w:abstractNumId w:val="0" /&gt;
        &lt;/w:num&gt;
        &lt;w:num w:numId="82"&gt;
          &lt;w:abstractNumId w:val="29" /&gt;
        &lt;/w:num&gt;
        &lt;w:num w:numId="83"&gt;
          &lt;w:abstractNumId w:val="75" /&gt;
        &lt;/w:num&gt;
        &lt;w:num w:numId="84"&gt;
          &lt;w:abstractNumId w:val="17" /&gt;
        &lt;/w:num&gt;
        &lt;w:num w:numId="85"&gt;
          &lt;w:abstractNumId w:val="25" /&gt;
        &lt;/w:num&gt;
        &lt;w:num w:numId="86"&gt;
          &lt;w:abstractNumId w:val="89" /&gt;
        &lt;/w:num&gt;
        &lt;w:num w:numId="87"&gt;
          &lt;w:abstractNumId w:val="64" /&gt;
        &lt;/w:num&gt;
        &lt;w:num w:numId="88"&gt;
          &lt;w:abstractNumId w:val="85" /&gt;
        &lt;/w:num&gt;
        &lt;w:num w:numId="89"&gt;
          &lt;w:abstractNumId w:val="30" /&gt;
        &lt;/w:num&gt;
        &lt;w:num w:numId="90"&gt;
          &lt;w:abstractNumId w:val="36" /&gt;
        &lt;/w:num&gt;
        &lt;w:num w:numId="91"&gt;
          &lt;w:abstractNumId w:val="23" /&gt;
        &lt;/w:num&gt;
        &lt;w:numIdMacAtCleanup w:val="90" /&gt;
      &lt;/w:numbering&gt;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pkg:name="/word/commentsExtended.xml" pkg:contentType="application/vnd.openxmlformats-officedocument.wordprocessingml.commentsExtended+xml"&gt;
    &lt;pkg:xmlData&gt;
      &lt;w15:commentsEx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&lt;w15:commentEx w15:paraId="3A53BF52" w15:done="0" /&gt;
        &lt;w15:commentEx w15:paraId="21D7C13A" w15:done="0" /&gt;
        &lt;w15:commentEx w15:paraId="2451C35C" w15:done="0" /&gt;
        &lt;w15:commentEx w15:paraId="153CB5F7" w15:done="0" /&gt;
        &lt;w15:commentEx w15:paraId="003DF36E" w15:done="0" /&gt;
        &lt;w15:commentEx w15:paraId="188BD655" w15:done="0" /&gt;
        &lt;w15:commentEx w15:paraId="6DCF61D8" w15:done="0" /&gt;
        &lt;w15:commentEx w15:paraId="18BB442E" w15:done="0" /&gt;
        &lt;w15:commentEx w15:paraId="7437DC8F" w15:done="0" /&gt;
        &lt;w15:commentEx w15:paraId="263809FA" w15:done="0" /&gt;
        &lt;w15:commentEx w15:paraId="44BD0A90" w15:done="0" /&gt;
        &lt;w15:commentEx w15:paraId="2EFD0CEA" w15:done="0" /&gt;
      &lt;/w15:commentsEx&gt;
    &lt;/pkg:xmlData&gt;
  &lt;/pkg:part&gt;
  &lt;pkg:part pkg:name="/word/people.xml" pkg:contentType="application/vnd.openxmlformats-officedocument.wordprocessingml.people+xml"&gt;
    &lt;pkg:xmlData&gt;
      &lt;w15:people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&lt;w15:person w15:author="Stacy Tegan"&gt;
          &lt;w15:presenceInfo w15:providerId="None" w15:userId="Stacy Tegan" /&gt;
        &lt;/w15:person&gt;
      &lt;/w15:people&gt;
    &lt;/pkg:xmlData&gt;
  &lt;/pkg:part&gt;
&lt;/pkg:package&gt;</ExclusionCriteriaDiagnosticAssessments>
    <ExclusionCriteriaOther>&lt;?mso-application progid="Word.Document"?&gt;
&lt;pkg:package xmlns:pkg="http://schemas.microsoft.com/office/2006/xmlPackage"&gt;
  &lt;pkg:part pkg:name="/_rels/.rels" pkg:contentType="application/vnd.openxmlformats-package.relationships+xml" pkg:padding="512"&gt;
    &lt;pkg:xmlData&gt;
      &lt;Relationships xmlns="http://schemas.openxmlformats.org/package/2006/relationships"&gt;
        &lt;Relationship Id="rId1" Type="http://schemas.openxmlformats.org/officeDocument/2006/relationships/officeDocument" Target="word/document.xml" /&gt;
      &lt;/Relationships&gt;
    &lt;/pkg:xmlData&gt;
  &lt;/pkg:part&gt;
  &lt;pkg:part pkg:name="/word/_rels/document.xml.rels" pkg:contentType="application/vnd.openxmlformats-package.relationships+xml" pkg:padding="256"&gt;
    &lt;pkg:xmlData&gt;
      &lt;Relationships xmlns="http://schemas.openxmlformats.org/package/2006/relationships"&gt;
        &lt;Relationship Id="rId8" Type="http://schemas.openxmlformats.org/officeDocument/2006/relationships/fontTable" Target="fontTable.xml" /&gt;
        &lt;Relationship Id="rId3" Type="http://schemas.microsoft.com/office/2007/relationships/stylesWithEffects" Target="stylesWithEffects.xml" /&gt;
        &lt;Relationship Id="rId7" Type="http://schemas.openxmlformats.org/officeDocument/2006/relationships/endnotes" Target="endnotes.xml" /&gt;
        &lt;Relationship Id="rId2" Type="http://schemas.openxmlformats.org/officeDocument/2006/relationships/styles" Target="styles.xml" /&gt;
        &lt;Relationship Id="rId1" Type="http://schemas.openxmlformats.org/officeDocument/2006/relationships/numbering" Target="numbering.xml" /&gt;
        &lt;Relationship Id="rId6" Type="http://schemas.openxmlformats.org/officeDocument/2006/relationships/footnotes" Target="footnotes.xml" /&gt;
        &lt;Relationship Id="rId5" Type="http://schemas.openxmlformats.org/officeDocument/2006/relationships/webSettings" Target="webSettings.xml" /&gt;
        &lt;Relationship Id="rId31" Type="http://schemas.microsoft.com/office/2011/relationships/commentsExtended" Target="commentsExtended.xml" /&gt;
        &lt;Relationship Id="rId4" Type="http://schemas.openxmlformats.org/officeDocument/2006/relationships/settings" Target="settings.xml" /&gt;
        &lt;Relationship Id="rId9" Type="http://schemas.openxmlformats.org/officeDocument/2006/relationships/theme" Target="theme/theme1.xml" /&gt;
        &lt;Relationship Id="rId30" Type="http://schemas.microsoft.com/office/2011/relationships/people" Target="people.xml" /&gt;
      &lt;/Relationships&gt;
    &lt;/pkg:xmlData&gt;
  &lt;/pkg:part&gt;
  &lt;pkg:part pkg:name="/word/document.xml" pkg:contentType="application/vnd.openxmlformats-officedocument.wordprocessingml.document.main+xml"&gt;
    &lt;pkg:xmlData&gt;
      &lt;w:document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&lt;w:body&gt;
          &lt;w:p&gt;
            &lt;w:pPr&gt;
              &lt;w:pStyle w:val="ListParagraph" /&gt;
              &lt;w:numPr&gt;
                &lt;w:ilvl w:val="0" /&gt;
                &lt;w:numId w:val="52" /&gt;
              &lt;/w:numPr&gt;
              &lt;w:ind w:left="709" /&gt;
              &lt;w:rPr&gt;
                &lt;w:rFonts w:eastAsia="Calibri" w:cs="Cordia New" /&gt;
                &lt;w:szCs w:val="22" /&gt;
              &lt;/w:rPr&gt;
            &lt;/w:pPr&gt;
            &lt;w:r&gt;
              &lt;w:rPr&gt;
                &lt;w:color w:val="0070C0" /&gt;
              &lt;/w:rPr&gt;
              &lt;w:t&gt;[]&lt;/w:t&gt;
            &lt;/w:r&gt;
          &lt;/w:p&gt;
          &lt;w:sectPr&gt;
            &lt;w:pgSz w:w="12240" w:h="15840" /&gt;
            &lt;w:pgMar w:top="1440" w:right="1440" w:bottom="1440" w:left="1440" w:header="720" w:footer="720" w:gutter="0" /&gt;
            &lt;w:cols w:space="720" /&gt;
          &lt;/w:sectPr&gt;
        &lt;/w:body&gt;
      &lt;/w:document&gt;
    &lt;/pkg:xmlData&gt;
  &lt;/pkg:part&gt;
  &lt;pkg:part pkg:name="/word/endnotes.xml" pkg:contentType="application/vnd.openxmlformats-officedocument.wordprocessingml.endnotes+xml"&gt;
    &lt;pkg:xmlData&gt;
      &lt;w:endnotes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&lt;w:endnote w:type="separator" w:id="-1"&gt;
          &lt;w:p&gt;
            &lt;w:pPr&gt;
              &lt;w:spacing w:after="0" w:line="240" w:lineRule="auto" /&gt;
            &lt;/w:pPr&gt;
            &lt;w:r&gt;
              &lt;w:separator /&gt;
            &lt;/w:r&gt;
          &lt;/w:p&gt;
          &lt;w:p /&gt;
          &lt;w:p /&gt;
          &lt;w:p /&gt;
        &lt;/w:endnote&gt;
        &lt;w:endnote w:type="continuationSeparator" w:id="0"&gt;
          &lt;w:p&gt;
            &lt;w:pPr&gt;
              &lt;w:spacing w:after="0" w:line="240" w:lineRule="auto" /&gt;
            &lt;/w:pPr&gt;
            &lt;w:r&gt;
              &lt;w:continuationSeparator /&gt;
            &lt;/w:r&gt;
          &lt;/w:p&gt;
          &lt;w:p /&gt;
          &lt;w:p /&gt;
          &lt;w:p /&gt;
        &lt;/w:endnote&gt;
        &lt;w:endnote w:type="continuationNotice" w:id="1"&gt;
          &lt;w:p&gt;
            &lt;w:pPr&gt;
              &lt;w:spacing w:after="0" w:line="240" w:lineRule="auto" /&gt;
            &lt;/w:pPr&gt;
          &lt;/w:p&gt;
          &lt;w:p /&gt;
          &lt;w:p /&gt;
          &lt;w:p /&gt;
        &lt;/w:endnote&gt;
      &lt;/w:endnotes&gt;
    &lt;/pkg:xmlData&gt;
  &lt;/pkg:part&gt;
  &lt;pkg:part pkg:name="/word/footnotes.xml" pkg:contentType="application/vnd.openxmlformats-officedocument.wordprocessingml.footnotes+xml"&gt;
    &lt;pkg:xmlData&gt;
      &lt;w:footnotes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&lt;w:footnote w:type="separator" w:id="-1"&gt;
          &lt;w:p&gt;
            &lt;w:pPr&gt;
              &lt;w:spacing w:after="0" w:line="240" w:lineRule="auto" /&gt;
            &lt;/w:pPr&gt;
            &lt;w:r&gt;
              &lt;w:separator /&gt;
            &lt;/w:r&gt;
          &lt;/w:p&gt;
          &lt;w:p /&gt;
          &lt;w:p /&gt;
          &lt;w:p /&gt;
        &lt;/w:footnote&gt;
        &lt;w:footnote w:type="continuationSeparator" w:id="0"&gt;
          &lt;w:p&gt;
            &lt;w:pPr&gt;
              &lt;w:spacing w:after="0" w:line="240" w:lineRule="auto" /&gt;
            &lt;/w:pPr&gt;
            &lt;w:r&gt;
              &lt;w:continuationSeparator /&gt;
            &lt;/w:r&gt;
          &lt;/w:p&gt;
          &lt;w:p /&gt;
          &lt;w:p /&gt;
          &lt;w:p /&gt;
        &lt;/w:footnote&gt;
        &lt;w:footnote w:type="continuationNotice" w:id="1"&gt;
          &lt;w:p&gt;
            &lt;w:pPr&gt;
              &lt;w:spacing w:after="0" w:line="240" w:lineRule="auto" /&gt;
            &lt;/w:pPr&gt;
          &lt;/w:p&gt;
          &lt;w:p /&gt;
          &lt;w:p /&gt;
          &lt;w:p /&gt;
        &lt;/w:footnote&gt;
      &lt;/w:footnotes&gt;
    &lt;/pkg:xmlData&gt;
  &lt;/pkg:part&gt;
  &lt;pkg:part pkg:name="/word/theme/theme1.xml" pkg:contentType="application/vnd.openxmlformats-officedocument.theme+xml"&gt;
    &lt;pkg:xmlData&gt;
      &lt;a:theme name="Office Theme" xmlns:a="http://schemas.openxmlformats.org/drawingml/2006/main"&gt;
        &lt;a:themeElements&gt;
          &lt;a:clrScheme name="Office"&gt;
            &lt;a:dk1&gt;
              &lt;a:sysClr val="windowText" lastClr="000000" /&gt;
            &lt;/a:dk1&gt;
            &lt;a:lt1&gt;
              &lt;a:sysClr val="window" lastClr="FFFFFF" /&gt;
            &lt;/a:lt1&gt;
            &lt;a:dk2&gt;
              &lt;a:srgbClr val="1F497D" /&gt;
            &lt;/a:dk2&gt;
            &lt;a:lt2&gt;
              &lt;a:srgbClr val="EEECE1" /&gt;
            &lt;/a:lt2&gt;
            &lt;a:accent1&gt;
              &lt;a:srgbClr val="4F81BD" /&gt;
            &lt;/a:accent1&gt;
            &lt;a:accent2&gt;
              &lt;a:srgbClr val="C0504D" /&gt;
            &lt;/a:accent2&gt;
            &lt;a:accent3&gt;
              &lt;a:srgbClr val="9BBB59" /&gt;
            &lt;/a:accent3&gt;
            &lt;a:accent4&gt;
              &lt;a:srgbClr val="8064A2" /&gt;
            &lt;/a:accent4&gt;
            &lt;a:accent5&gt;
              &lt;a:srgbClr val="4BACC6" /&gt;
            &lt;/a:accent5&gt;
            &lt;a:accent6&gt;
              &lt;a:srgbClr val="F79646" /&gt;
            &lt;/a:accent6&gt;
            &lt;a:hlink&gt;
              &lt;a:srgbClr val="0000FF" /&gt;
            &lt;/a:hlink&gt;
            &lt;a:folHlink&gt;
              &lt;a:srgbClr val="800080" /&gt;
            &lt;/a:folHlink&gt;
          &lt;/a:clrScheme&gt;
          &lt;a:fontScheme name="Office"&gt;
            &lt;a:majorFont&gt;
              &lt;a:latin typeface="Cambria" /&gt;
              &lt;a:ea typeface="" /&gt;
              &lt;a:cs typeface="" /&gt;
              &lt;a:font script="Jpan" typeface="ＭＳ ゴシック" /&gt;
              &lt;a:font script="Hang" typeface="맑은 고딕" /&gt;
              &lt;a:font script="Hans" typeface="宋体" /&gt;
              &lt;a:font script="Hant" typeface="新細明體" /&gt;
              &lt;a:font script="Arab" typeface="Times New Roman" /&gt;
              &lt;a:font script="Hebr" typeface="Times New Roman" /&gt;
              &lt;a:font script="Thai" typeface="Angsana New" /&gt;
              &lt;a:font script="Ethi" typeface="Nyala" /&gt;
              &lt;a:font script="Beng" typeface="Vrinda" /&gt;
              &lt;a:font script="Gujr" typeface="Shruti" /&gt;
              &lt;a:font script="Khmr" typeface="MoolBoran"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typeface="Times New Roman" /&gt;
              &lt;a:font script="Uigh" typeface="Microsoft Uighur" /&gt;
              &lt;a:font script="Geor" typeface="Sylfaen" /&gt;
            &lt;/a:majorFont&gt;
            &lt;a:minorFont&gt;
              &lt;a:latin typeface="Calibri" /&gt;
              &lt;a:ea typeface="" /&gt;
              &lt;a:cs typeface="" /&gt;
              &lt;a:font script="Jpan" typeface="ＭＳ 明朝" /&gt;
              &lt;a:font script="Hang" typeface="맑은 고딕" /&gt;
              &lt;a:font script="Hans" typeface="宋体" /&gt;
              &lt;a:font script="Hant" typeface="新細明體" /&gt;
              &lt;a:font script="Arab" typeface="Arial" /&gt;
              &lt;a:font script="Hebr" typeface="Arial" /&gt;
              &lt;a:font script="Thai" typeface="Cordia New" /&gt;
              &lt;a:font script="Ethi" typeface="Nyala" /&gt;
              &lt;a:font script="Beng" typeface="Vrinda" /&gt;
              &lt;a:font script="Gujr" typeface="Shruti" /&gt;
              &lt;a:font script="Khmr" typeface="DaunPenh" /&gt;
              &lt;a:font script="Knda" typeface="Tunga" /&gt;
              &lt;a:font script="Guru" typeface="Raavi" /&gt;
              &lt;a:font script="Cans" typeface="Euphemia" /&gt;
              &lt;a:font script="Cher" typeface="Plantagenet Cherokee" /&gt;
              &lt;a:font script="Yiii" typeface="Microsoft Yi Baiti" /&gt;
              &lt;a:font script="Tibt" typeface="Microsoft Himalaya" /&gt;
              &lt;a:font script="Thaa" typeface="MV Boli" /&gt;
              &lt;a:font script="Deva" typeface="Mangal" /&gt;
              &lt;a:font script="Telu" typeface="Gautami" /&gt;
              &lt;a:font script="Taml" typeface="Latha" /&gt;
              &lt;a:font script="Syrc" typeface="Estrangelo Edessa" /&gt;
              &lt;a:font script="Orya" typeface="Kalinga" /&gt;
              &lt;a:font script="Mlym" typeface="Kartika" /&gt;
              &lt;a:font script="Laoo" typeface="DokChampa" /&gt;
              &lt;a:font script="Sinh" typeface="Iskoola Pota" /&gt;
              &lt;a:font script="Mong" typeface="Mongolian Baiti" /&gt;
              &lt;a:font script="Viet" typeface="Arial" /&gt;
              &lt;a:font script="Uigh" typeface="Microsoft Uighur" /&gt;
              &lt;a:font script="Geor" typeface="Sylfaen" /&gt;
            &lt;/a:minorFont&gt;
          &lt;/a:fontScheme&gt;
          &lt;a:fmtScheme name="Office"&gt;
            &lt;a:fillStyleLst&gt;
              &lt;a:solidFill&gt;
                &lt;a:schemeClr val="phClr" /&gt;
              &lt;/a:solidFill&gt;
              &lt;a:gradFill rotWithShape="1"&gt;
                &lt;a:gsLst&gt;
                  &lt;a:gs pos="0"&gt;
                    &lt;a:schemeClr val="phClr"&gt;
                      &lt;a:tint val="50000" /&gt;
                      &lt;a:satMod val="300000" /&gt;
                    &lt;/a:schemeClr&gt;
                  &lt;/a:gs&gt;
                  &lt;a:gs pos="35000"&gt;
                    &lt;a:schemeClr val="phClr"&gt;
                      &lt;a:tint val="37000" /&gt;
                      &lt;a:satMod val="300000" /&gt;
                    &lt;/a:schemeClr&gt;
                  &lt;/a:gs&gt;
                  &lt;a:gs pos="100000"&gt;
                    &lt;a:schemeClr val="phClr"&gt;
                      &lt;a:tint val="15000" /&gt;
                      &lt;a:satMod val="350000" /&gt;
                    &lt;/a:schemeClr&gt;
                  &lt;/a:gs&gt;
                &lt;/a:gsLst&gt;
                &lt;a:lin ang="16200000" scaled="1" /&gt;
              &lt;/a:gradFill&gt;
              &lt;a:gradFill rotWithShape="1"&gt;
                &lt;a:gsLst&gt;
                  &lt;a:gs pos="0"&gt;
                    &lt;a:schemeClr val="phClr"&gt;
                      &lt;a:shade val="51000" /&gt;
                      &lt;a:satMod val="130000" /&gt;
                    &lt;/a:schemeClr&gt;
                  &lt;/a:gs&gt;
                  &lt;a:gs pos="80000"&gt;
                    &lt;a:schemeClr val="phClr"&gt;
                      &lt;a:shade val="93000" /&gt;
                      &lt;a:satMod val="130000" /&gt;
                    &lt;/a:schemeClr&gt;
                  &lt;/a:gs&gt;
                  &lt;a:gs pos="100000"&gt;
                    &lt;a:schemeClr val="phClr"&gt;
                      &lt;a:shade val="94000" /&gt;
                      &lt;a:satMod val="135000" /&gt;
                    &lt;/a:schemeClr&gt;
                  &lt;/a:gs&gt;
                &lt;/a:gsLst&gt;
                &lt;a:lin ang="16200000" scaled="0" /&gt;
              &lt;/a:gradFill&gt;
            &lt;/a:fillStyleLst&gt;
            &lt;a:lnStyleLst&gt;
              &lt;a:ln w="9525" cap="flat" cmpd="sng" algn="ctr"&gt;
                &lt;a:solidFill&gt;
                  &lt;a:schemeClr val="phClr"&gt;
                    &lt;a:shade val="95000" /&gt;
                    &lt;a:satMod val="105000" /&gt;
                  &lt;/a:schemeClr&gt;
                &lt;/a:solidFill&gt;
                &lt;a:prstDash val="solid" /&gt;
              &lt;/a:ln&gt;
              &lt;a:ln w="25400" cap="flat" cmpd="sng" algn="ctr"&gt;
                &lt;a:solidFill&gt;
                  &lt;a:schemeClr val="phClr" /&gt;
                &lt;/a:solidFill&gt;
                &lt;a:prstDash val="solid" /&gt;
              &lt;/a:ln&gt;
              &lt;a:ln w="38100" cap="flat" cmpd="sng" algn="ctr"&gt;
                &lt;a:solidFill&gt;
                  &lt;a:schemeClr val="phClr" /&gt;
                &lt;/a:solidFill&gt;
                &lt;a:prstDash val="solid" /&gt;
              &lt;/a:ln&gt;
            &lt;/a:lnStyleLst&gt;
            &lt;a:effectStyleLst&gt;
              &lt;a:effectStyle&gt;
                &lt;a:effectLst&gt;
                  &lt;a:outerShdw blurRad="40000" dist="20000" dir="5400000" rotWithShape="0"&gt;
                    &lt;a:srgbClr val="000000"&gt;
                      &lt;a:alpha val="38000" /&gt;
                    &lt;/a:srgbClr&gt;
                  &lt;/a:outerShdw&gt;
                &lt;/a:effectLst&gt;
              &lt;/a:effectStyle&gt;
              &lt;a:effectStyle&gt;
                &lt;a:effectLst&gt;
                  &lt;a:outerShdw blurRad="40000" dist="23000" dir="5400000" rotWithShape="0"&gt;
                    &lt;a:srgbClr val="000000"&gt;
                      &lt;a:alpha val="35000" /&gt;
                    &lt;/a:srgbClr&gt;
                  &lt;/a:outerShdw&gt;
                &lt;/a:effectLst&gt;
              &lt;/a:effectStyle&gt;
              &lt;a:effectStyle&gt;
                &lt;a:effectLst&gt;
                  &lt;a:outerShdw blurRad="40000" dist="23000" dir="5400000" rotWithShape="0"&gt;
                    &lt;a:srgbClr val="000000"&gt;
                      &lt;a:alpha val="35000" /&gt;
                    &lt;/a:srgbClr&gt;
                  &lt;/a:outerShdw&gt;
                &lt;/a:effectLst&gt;
                &lt;a:scene3d&gt;
                  &lt;a:camera prst="orthographicFront"&gt;
                    &lt;a:rot lat="0" lon="0" rev="0" /&gt;
                  &lt;/a:camera&gt;
                  &lt;a:lightRig rig="threePt" dir="t"&gt;
                    &lt;a:rot lat="0" lon="0" rev="1200000" /&gt;
                  &lt;/a:lightRig&gt;
                &lt;/a:scene3d&gt;
                &lt;a:sp3d&gt;
                  &lt;a:bevelT w="63500" h="25400" /&gt;
                &lt;/a:sp3d&gt;
              &lt;/a:effectStyle&gt;
            &lt;/a:effectStyleLst&gt;
            &lt;a:bgFillStyleLst&gt;
              &lt;a:solidFill&gt;
                &lt;a:schemeClr val="phClr" /&gt;
              &lt;/a:solidFill&gt;
              &lt;a:gradFill rotWithShape="1"&gt;
                &lt;a:gsLst&gt;
                  &lt;a:gs pos="0"&gt;
                    &lt;a:schemeClr val="phClr"&gt;
                      &lt;a:tint val="40000" /&gt;
                      &lt;a:satMod val="350000" /&gt;
                    &lt;/a:schemeClr&gt;
                  &lt;/a:gs&gt;
                  &lt;a:gs pos="40000"&gt;
                    &lt;a:schemeClr val="phClr"&gt;
                      &lt;a:tint val="45000" /&gt;
                      &lt;a:shade val="99000" /&gt;
                      &lt;a:satMod val="350000" /&gt;
                    &lt;/a:schemeClr&gt;
                  &lt;/a:gs&gt;
                  &lt;a:gs pos="100000"&gt;
                    &lt;a:schemeClr val="phClr"&gt;
                      &lt;a:shade val="20000" /&gt;
                      &lt;a:satMod val="255000" /&gt;
                    &lt;/a:schemeClr&gt;
                  &lt;/a:gs&gt;
                &lt;/a:gsLst&gt;
                &lt;a:path path="circle"&gt;
                  &lt;a:fillToRect l="50000" t="-80000" r="50000" b="180000" /&gt;
                &lt;/a:path&gt;
              &lt;/a:gradFill&gt;
              &lt;a:gradFill rotWithShape="1"&gt;
                &lt;a:gsLst&gt;
                  &lt;a:gs pos="0"&gt;
                    &lt;a:schemeClr val="phClr"&gt;
                      &lt;a:tint val="80000" /&gt;
                      &lt;a:satMod val="300000" /&gt;
                    &lt;/a:schemeClr&gt;
                  &lt;/a:gs&gt;
                  &lt;a:gs pos="100000"&gt;
                    &lt;a:schemeClr val="phClr"&gt;
                      &lt;a:shade val="30000" /&gt;
                      &lt;a:satMod val="200000" /&gt;
                    &lt;/a:schemeClr&gt;
                  &lt;/a:gs&gt;
                &lt;/a:gsLst&gt;
                &lt;a:path path="circle"&gt;
                  &lt;a:fillToRect l="50000" t="50000" r="50000" b="50000" /&gt;
                &lt;/a:path&gt;
              &lt;/a:gradFill&gt;
            &lt;/a:bgFillStyleLst&gt;
          &lt;/a:fmtScheme&gt;
        &lt;/a:themeElements&gt;
        &lt;a:objectDefaults /&gt;
        &lt;a:extraClrSchemeLst /&gt;
      &lt;/a:theme&gt;
    &lt;/pkg:xmlData&gt;
  &lt;/pkg:part&gt;
  &lt;pkg:part pkg:name="/word/settings.xml" pkg:contentType="application/vnd.openxmlformats-officedocument.wordprocessingml.settings+xml"&gt;
    &lt;pkg:xmlData&gt;
      &lt;w:settings mc:Ignorable="w14"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xmlns:sl="http://schemas.openxmlformats.org/schemaLibrary/2006/main"&gt;
        &lt;w:zoom w:percent="100" /&gt;
        &lt;w:bordersDoNotSurroundHeader /&gt;
        &lt;w:bordersDoNotSurroundFooter /&gt;
        &lt;w:stylePaneFormatFilter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/&gt;
        &lt;w:stylePaneSortMethod w:val="0000" /&gt;
        &lt;w:documentProtection w:edit="readOnly" w:enforcement="0" /&gt;
        &lt;w:defaultTabStop w:val="720" /&gt;
        &lt;w:drawingGridHorizontalSpacing w:val="110" /&gt;
        &lt;w:displayHorizontalDrawingGridEvery w:val="2" /&gt;
        &lt;w:characterSpacingControl w:val="doNotCompress" /&gt;
        &lt;w:savePreviewPicture /&gt;
        &lt;w:hdrShapeDefaults&gt;
          &lt;o:shapedefaults v:ext="edit" spidmax="2049"&gt;
            &lt;v:textbox inset="5.85pt,.7pt,5.85pt,.7pt" /&gt;
          &lt;/o:shapedefaults&gt;
        &lt;/w:hdrShapeDefaults&gt;
        &lt;w:footnotePr&gt;
          &lt;w:footnote w:id="-1" /&gt;
          &lt;w:footnote w:id="0" /&gt;
          &lt;w:footnote w:id="1" /&gt;
        &lt;/w:footnotePr&gt;
        &lt;w:endnotePr&gt;
          &lt;w:endnote w:id="-1" /&gt;
          &lt;w:endnote w:id="0" /&gt;
          &lt;w:endnote w:id="1" /&gt;
        &lt;/w:endnotePr&gt;
        &lt;w:compat&gt;
          &lt;w:useFELayout /&gt;
          &lt;w:compatSetting w:name="compatibilityMode" w:uri="http://schemas.microsoft.com/office/word" w:val="14" /&gt;
          &lt;w:compatSetting w:name="overrideTableStyleFontSizeAndJustification" w:uri="http://schemas.microsoft.com/office/word" w:val="1" /&gt;
          &lt;w:compatSetting w:name="enableOpenTypeFeatures" w:uri="http://schemas.microsoft.com/office/word" w:val="1" /&gt;
          &lt;w:compatSetting w:name="doNotFlipMirrorIndents" w:uri="http://schemas.microsoft.com/office/word" w:val="1" /&gt;
        &lt;/w:compat&gt;
        &lt;w:docVars&gt;
          &lt;w:docVar w:name="LibraryFilter" w:val="CPT Library_Asthma_20150609.docx|CPT Library_Healthy Volunteer_20150611.docx|" /&gt;
        &lt;/w:docVars&gt;
        &lt;w:rsids&gt;
          &lt;w:rsidRoot w:val="00433693" /&gt;
        &lt;/w:rsids&gt;
        &lt;m:mathPr&gt;
          &lt;m:mathFont m:val="Cambria Math" /&gt;
          &lt;m:brkBin m:val="before" /&gt;
          &lt;m:brkBinSub m:val="--" /&gt;
          &lt;m:smallFrac m:val="0" /&gt;
          &lt;m:dispDef /&gt;
          &lt;m:lMargin m:val="0" /&gt;
          &lt;m:rMargin m:val="0" /&gt;
          &lt;m:defJc m:val="centerGroup" /&gt;
          &lt;m:wrapIndent m:val="1440" /&gt;
          &lt;m:intLim m:val="subSup" /&gt;
          &lt;m:naryLim m:val="undOvr" /&gt;
        &lt;/m:mathPr&gt;
        &lt;w:themeFontLang w:val="en-US" /&gt;
        &lt;w:clrSchemeMapping w:bg1="light1" w:t1="dark1" w:bg2="light2" w:t2="dark2" w:accent1="accent1" w:accent2="accent2" w:accent3="accent3" w:accent4="accent4" w:accent5="accent5" w:accent6="accent6" w:hyperlink="hyperlink" w:followedHyperlink="followedHyperlink" /&gt;
        &lt;w:shapeDefaults&gt;
          &lt;o:shapedefaults v:ext="edit" spidmax="2049"&gt;
            &lt;v:textbox inset="5.85pt,.7pt,5.85pt,.7pt" /&gt;
          &lt;/o:shapedefaults&gt;
          &lt;o:shapelayout v:ext="edit"&gt;
            &lt;o:idmap v:ext="edit" data="1" /&gt;
          &lt;/o:shapelayout&gt;
        &lt;/w:shapeDefaults&gt;
        &lt;w:decimalSymbol w:val="." /&gt;
        &lt;w:listSeparator w:val="," /&gt;
        &lt;w14:docId w14:val="72174103" /&gt;
      &lt;/w:settings&gt;
    &lt;/pkg:xmlData&gt;
  &lt;/pkg:part&gt;
  &lt;pkg:part pkg:name="/word/fontTable.xml" pkg:contentType="application/vnd.openxmlformats-officedocument.wordprocessingml.fontTable+xml"&gt;
    &lt;pkg:xmlData&gt;
      &lt;w:fonts mc:Ignorable="w14" xmlns:mc="http://schemas.openxmlformats.org/markup-compatibility/2006" xmlns:r="http://schemas.openxmlformats.org/officeDocument/2006/relationships" xmlns:w="http://schemas.openxmlformats.org/wordprocessingml/2006/main" xmlns:w14="http://schemas.microsoft.com/office/word/2010/wordml"&gt;
        &lt;w:font w:name="Symbol"&gt;
          &lt;w:panose1 w:val="05050102010706020507" /&gt;
          &lt;w:charset w:val="02" /&gt;
          &lt;w:family w:val="roman" /&gt;
          &lt;w:pitch w:val="variable" /&gt;
          &lt;w:sig w:usb0="00000000" w:usb1="10000000" w:usb2="00000000" w:usb3="00000000" w:csb0="80000000" w:csb1="00000000" /&gt;
        &lt;/w:font&gt;
        &lt;w:font w:name="Times New Roman"&gt;
          &lt;w:panose1 w:val="02020603050405020304" /&gt;
          &lt;w:charset w:val="00" /&gt;
          &lt;w:family w:val="roman" /&gt;
          &lt;w:pitch w:val="variable" /&gt;
          &lt;w:sig w:usb0="E0002AFF" w:usb1="C0007841" w:usb2="00000009" w:usb3="00000000" w:csb0="000001FF" w:csb1="00000000" /&gt;
        &lt;/w:font&gt;
        &lt;w:font w:name="Arial"&gt;
          &lt;w:panose1 w:val="020B0604020202020204" /&gt;
          &lt;w:charset w:val="00" /&gt;
          &lt;w:family w:val="swiss" /&gt;
          &lt;w:pitch w:val="variable" /&gt;
          &lt;w:sig w:usb0="E0002AFF" w:usb1="C0007843" w:usb2="00000009" w:usb3="00000000" w:csb0="000001FF" w:csb1="00000000" /&gt;
        &lt;/w:font&gt;
        &lt;w:font w:name="MS Gothic"&gt;
          &lt;w:altName w:val="ＭＳ ゴシック" /&gt;
          &lt;w:panose1 w:val="020B0609070205080204" /&gt;
          &lt;w:charset w:val="80" /&gt;
          &lt;w:family w:val="modern" /&gt;
          &lt;w:pitch w:val="fixed" /&gt;
          &lt;w:sig w:usb0="E00002FF" w:usb1="6AC7FDFB" w:usb2="00000012" w:usb3="00000000" w:csb0="0002009F" w:csb1="00000000" /&gt;
        &lt;/w:font&gt;
        &lt;w:font w:name="Courier New"&gt;
          &lt;w:panose1 w:val="02070309020205020404" /&gt;
          &lt;w:charset w:val="00" /&gt;
          &lt;w:family w:val="modern" /&gt;
          &lt;w:pitch w:val="fixed" /&gt;
          &lt;w:sig w:usb0="E0002AFF" w:usb1="C0007843" w:usb2="00000009" w:usb3="00000000" w:csb0="000001FF" w:csb1="00000000" /&gt;
        &lt;/w:font&gt;
        &lt;w:font w:name="Wingdings"&gt;
          &lt;w:panose1 w:val="05000000000000000000" /&gt;
          &lt;w:charset w:val="02" /&gt;
          &lt;w:family w:val="auto" /&gt;
          &lt;w:pitch w:val="variable" /&gt;
          &lt;w:sig w:usb0="00000000" w:usb1="10000000" w:usb2="00000000" w:usb3="00000000" w:csb0="80000000" w:csb1="00000000" /&gt;
        &lt;/w:font&gt;
        &lt;w:font w:name="MS Mincho"&gt;
          &lt;w:altName w:val="ＭＳ 明朝" /&gt;
          &lt;w:panose1 w:val="02020609040205080304" /&gt;
          &lt;w:charset w:val="80" /&gt;
          &lt;w:family w:val="modern" /&gt;
          &lt;w:pitch w:val="fixed" /&gt;
          &lt;w:sig w:usb0="E00002FF" w:usb1="6AC7FDFB" w:usb2="00000012" w:usb3="00000000" w:csb0="0002009F" w:csb1="00000000" /&gt;
        &lt;/w:font&gt;
        &lt;w:font w:name="Calibri"&gt;
          &lt;w:panose1 w:val="020F0502020204030204" /&gt;
          &lt;w:charset w:val="00" /&gt;
          &lt;w:family w:val="swiss" /&gt;
          &lt;w:pitch w:val="variable" /&gt;
          &lt;w:sig w:usb0="E10002FF" w:usb1="4000ACFF" w:usb2="00000009" w:usb3="00000000" w:csb0="0000019F" w:csb1="00000000" /&gt;
        &lt;/w:font&gt;
        &lt;w:font w:name="Cordia New"&gt;
          &lt;w:panose1 w:val="020B0304020202020204" /&gt;
          &lt;w:charset w:val="00" /&gt;
          &lt;w:family w:val="swiss" /&gt;
          &lt;w:pitch w:val="variable" /&gt;
          &lt;w:sig w:usb0="81000003" w:usb1="00000000" w:usb2="00000000" w:usb3="00000000" w:csb0="00010001" w:csb1="00000000" /&gt;
        &lt;/w:font&gt;
        &lt;w:font w:name="Times New Roman Bold"&gt;
          &lt;w:panose1 w:val="02020803070505020304" /&gt;
          &lt;w:charset w:val="00" /&gt;
          &lt;w:family w:val="roman" /&gt;
          &lt;w:notTrueType /&gt;
          &lt;w:pitch w:val="default" /&gt;
        &lt;/w:font&gt;
        &lt;w:font w:name="Tahoma"&gt;
          &lt;w:panose1 w:val="020B0604030504040204" /&gt;
          &lt;w:charset w:val="00" /&gt;
          &lt;w:family w:val="swiss" /&gt;
          &lt;w:pitch w:val="variable" /&gt;
          &lt;w:sig w:usb0="E1002EFF" w:usb1="C000605B" w:usb2="00000029" w:usb3="00000000" w:csb0="000101FF" w:csb1="00000000" /&gt;
        &lt;/w:font&gt;
        &lt;w:font w:name="Arial Narrow"&gt;
          &lt;w:panose1 w:val="020B0606020202030204" /&gt;
          &lt;w:charset w:val="00" /&gt;
          &lt;w:family w:val="swiss" /&gt;
          &lt;w:pitch w:val="variable" /&gt;
          &lt;w:sig w:usb0="00000287" w:usb1="00000800" w:usb2="00000000" w:usb3="00000000" w:csb0="0000009F" w:csb1="00000000" /&gt;
        &lt;/w:font&gt;
        &lt;w:font w:name="Cambria"&gt;
          &lt;w:panose1 w:val="02040503050406030204" /&gt;
          &lt;w:charset w:val="00" /&gt;
          &lt;w:family w:val="roman" /&gt;
          &lt;w:pitch w:val="variable" /&gt;
          &lt;w:sig w:usb0="E00002FF" w:usb1="400004FF" w:usb2="00000000" w:usb3="00000000" w:csb0="0000019F" w:csb1="00000000" /&gt;
        &lt;/w:font&gt;
        &lt;w:font w:name="Consolas"&gt;
          &lt;w:panose1 w:val="020B0609020204030204" /&gt;
          &lt;w:charset w:val="00" /&gt;
          &lt;w:family w:val="modern" /&gt;
          &lt;w:pitch w:val="fixed" /&gt;
          &lt;w:sig w:usb0="E10002FF" w:usb1="4000FCFF" w:usb2="00000009" w:usb3="00000000" w:csb0="0000019F" w:csb1="00000000" /&gt;
        &lt;/w:font&gt;
      &lt;/w:fonts&gt;
    &lt;/pkg:xmlData&gt;
  &lt;/pkg:part&gt;
  &lt;pkg:part pkg:name="/word/styles.xml" pkg:contentType="application/vnd.openxmlformats-officedocument.wordprocessingml.styles+xml"&gt;
    &lt;pkg:xmlData&gt;
      &lt;w:styles mc:Ignorable="w14" xmlns:mc="http://schemas.openxmlformats.org/markup-compatibility/2006" xmlns:r="http://schemas.openxmlformats.org/officeDocument/2006/relationships" xmlns:w="http://schemas.openxmlformats.org/wordprocessingml/2006/main" xmlns:w14="http://schemas.microsoft.com/office/word/2010/wordml"&gt;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&lt;w:qFormat /&gt;
          &lt;w:rPr&gt;
            &lt;w:rFonts w:cs="Arial" /&gt;
            &lt;w:vanish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&lt;/w:styles&gt;
    &lt;/pkg:xmlData&gt;
  &lt;/pkg:part&gt;
  &lt;pkg:part pkg:name="/word/stylesWithEffects.xml" pkg:contentType="application/vnd.ms-word.stylesWithEffects+xml"&gt;
    &lt;pkg:xmlData&gt;
      &lt;w:styles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&lt;w:docDefaults&gt;
          &lt;w:rPrDefault&gt;
            &lt;w:rPr&gt;
              &lt;w:rFonts w:ascii="Times New Roman" w:eastAsia="MS Mincho" w:hAnsi="Times New Roman" w:cs="Times New Roman" /&gt;
              &lt;w:lang w:val="en-US" w:eastAsia="en-US" w:bidi="ar-SA" /&gt;
            &lt;/w:rPr&gt;
          &lt;/w:rPrDefault&gt;
          &lt;w:pPrDefault /&gt;
        &lt;/w:docDefaults&gt;
        &lt;w:latentStyles w:defLockedState="0" w:defUIPriority="0" w:defSemiHidden="1" w:defUnhideWhenUsed="1" w:defQFormat="0" w:count="267"&gt;
          &lt;w:lsdException w:name="Normal" w:semiHidden="0" w:unhideWhenUsed="0" w:qFormat="1" /&gt;
          &lt;w:lsdException w:name="heading 1" w:locked="1" w:semiHidden="0" w:unhideWhenUsed="0" w:qFormat="1" /&gt;
          &lt;w:lsdException w:name="heading 2" w:locked="1" w:qFormat="1" /&gt;
          &lt;w:lsdException w:name="heading 3" w:locked="1" w:qFormat="1" /&gt;
          &lt;w:lsdException w:name="heading 4" w:locked="1" w:qFormat="1" /&gt;
          &lt;w:lsdException w:name="heading 5" w:locked="1" w:qFormat="1" /&gt;
          &lt;w:lsdException w:name="heading 6" w:locked="1" w:qFormat="1" /&gt;
          &lt;w:lsdException w:name="heading 7" w:locked="1" /&gt;
          &lt;w:lsdException w:name="heading 8" w:locked="1" w:qFormat="1" /&gt;
          &lt;w:lsdException w:name="heading 9" w:locked="1" w:qFormat="1" /&gt;
          &lt;w:lsdException w:name="toc 1" w:uiPriority="39" /&gt;
          &lt;w:lsdException w:name="toc 2" w:uiPriority="39" /&gt;
          &lt;w:lsdException w:name="toc 3" w:uiPriority="39" /&gt;
          &lt;w:lsdException w:name="toc 4" w:uiPriority="39" /&gt;
          &lt;w:lsdException w:name="toc 5" w:uiPriority="39" /&gt;
          &lt;w:lsdException w:name="toc 6" w:uiPriority="39" /&gt;
          &lt;w:lsdException w:name="toc 7" w:uiPriority="39" /&gt;
          &lt;w:lsdException w:name="toc 8" w:uiPriority="39" /&gt;
          &lt;w:lsdException w:name="toc 9" w:uiPriority="39" /&gt;
          &lt;w:lsdException w:name="Normal Indent" w:uiPriority="99" /&gt;
          &lt;w:lsdException w:name="annotation text" w:uiPriority="99" /&gt;
          &lt;w:lsdException w:name="caption" w:uiPriority="99" w:qFormat="1" /&gt;
          &lt;w:lsdException w:name="table of figures" w:uiPriority="99" /&gt;
          &lt;w:lsdException w:name="annotation reference" w:uiPriority="99" /&gt;
          &lt;w:lsdException w:name="List Bullet" w:uiPriority="99" /&gt;
          &lt;w:lsdException w:name="List Number" w:semiHidden="0" w:unhideWhenUsed="0" /&gt;
          &lt;w:lsdException w:name="List 4" w:semiHidden="0" w:unhideWhenUsed="0" /&gt;
          &lt;w:lsdException w:name="List 5" w:semiHidden="0" w:unhideWhenUsed="0" /&gt;
          &lt;w:lsdException w:name="Title" w:semiHidden="0" w:unhideWhenUsed="0" w:qFormat="1" /&gt;
          &lt;w:lsdException w:name="Default Paragraph Font" w:uiPriority="1" /&gt;
          &lt;w:lsdException w:name="Body Text" w:uiPriority="99" /&gt;
          &lt;w:lsdException w:name="Subtitle" w:semiHidden="0" w:unhideWhenUsed="0" /&gt;
          &lt;w:lsdException w:name="Salutation" w:semiHidden="0" w:unhideWhenUsed="0" /&gt;
          &lt;w:lsdException w:name="Date" w:semiHidden="0" w:unhideWhenUsed="0" /&gt;
          &lt;w:lsdException w:name="Body Text First Indent" w:semiHidden="0" w:unhideWhenUsed="0" /&gt;
          &lt;w:lsdException w:name="Block Text" w:qFormat="1" /&gt;
          &lt;w:lsdException w:name="Hyperlink" w:uiPriority="99" /&gt;
          &lt;w:lsdException w:name="FollowedHyperlink" w:uiPriority="99" /&gt;
          &lt;w:lsdException w:name="Strong" w:semiHidden="0" w:uiPriority="22" w:unhideWhenUsed="0" w:qFormat="1" /&gt;
          &lt;w:lsdException w:name="Emphasis" w:semiHidden="0" w:uiPriority="20" w:unhideWhenUsed="0" w:qFormat="1" /&gt;
          &lt;w:lsdException w:name="Document Map" w:uiPriority="99" /&gt;
          &lt;w:lsdException w:name="HTML Top of Form" w:uiPriority="99" /&gt;
          &lt;w:lsdException w:name="HTML Bottom of Form" w:uiPriority="99" /&gt;
          &lt;w:lsdException w:name="Normal (Web)" w:uiPriority="99" /&gt;
          &lt;w:lsdException w:name="HTML Typewriter" w:uiPriority="99" /&gt;
          &lt;w:lsdException w:name="Normal Table" w:uiPriority="99" /&gt;
          &lt;w:lsdException w:name="annotation subject" w:uiPriority="99" /&gt;
          &lt;w:lsdException w:name="No List" w:uiPriority="99" /&gt;
          &lt;w:lsdException w:name="Balloon Text" w:uiPriority="99" /&gt;
          &lt;w:lsdException w:name="Table Grid" w:semiHidden="0" w:uiPriority="59" w:unhideWhenUsed="0" /&gt;
          &lt;w:lsdException w:name="Placeholder Text" w:uiPriority="99" w:unhideWhenUsed="0" /&gt;
          &lt;w:lsdException w:name="No Spacing" w:semiHidden="0" w:uiPriority="1" w:unhideWhenUsed="0" /&gt;
          &lt;w:lsdException w:name="Light Shading" w:semiHidden="0" w:uiPriority="60" w:unhideWhenUsed="0" /&gt;
          &lt;w:lsdException w:name="Light List" w:semiHidden="0" w:uiPriority="61" w:unhideWhenUsed="0" /&gt;
          &lt;w:lsdException w:name="Light Grid" w:semiHidden="0" w:uiPriority="62" w:unhideWhenUsed="0" /&gt;
          &lt;w:lsdException w:name="Medium Shading 1" w:semiHidden="0" w:uiPriority="63" w:unhideWhenUsed="0" /&gt;
          &lt;w:lsdException w:name="Medium Shading 2" w:semiHidden="0" w:uiPriority="64" w:unhideWhenUsed="0" /&gt;
          &lt;w:lsdException w:name="Medium List 1" w:semiHidden="0" w:uiPriority="65" w:unhideWhenUsed="0" /&gt;
          &lt;w:lsdException w:name="Medium List 2" w:semiHidden="0" w:uiPriority="66" w:unhideWhenUsed="0" /&gt;
          &lt;w:lsdException w:name="Medium Grid 1" w:semiHidden="0" w:uiPriority="67" w:unhideWhenUsed="0" /&gt;
          &lt;w:lsdException w:name="Medium Grid 2" w:semiHidden="0" w:uiPriority="68" w:unhideWhenUsed="0" /&gt;
          &lt;w:lsdException w:name="Medium Grid 3" w:semiHidden="0" w:uiPriority="69" w:unhideWhenUsed="0" /&gt;
          &lt;w:lsdException w:name="Dark List" w:semiHidden="0" w:uiPriority="70" w:unhideWhenUsed="0" /&gt;
          &lt;w:lsdException w:name="Colorful Shading" w:semiHidden="0" w:uiPriority="71" w:unhideWhenUsed="0" /&gt;
          &lt;w:lsdException w:name="Colorful List" w:semiHidden="0" w:uiPriority="72" w:unhideWhenUsed="0" /&gt;
          &lt;w:lsdException w:name="Colorful Grid" w:semiHidden="0" w:uiPriority="73" w:unhideWhenUsed="0" /&gt;
          &lt;w:lsdException w:name="Light Shading Accent 1" w:semiHidden="0" w:uiPriority="60" w:unhideWhenUsed="0" /&gt;
          &lt;w:lsdException w:name="Light List Accent 1" w:semiHidden="0" w:uiPriority="61" w:unhideWhenUsed="0" /&gt;
          &lt;w:lsdException w:name="Light Grid Accent 1" w:semiHidden="0" w:uiPriority="62" w:unhideWhenUsed="0" /&gt;
          &lt;w:lsdException w:name="Medium Shading 1 Accent 1" w:semiHidden="0" w:uiPriority="63" w:unhideWhenUsed="0" /&gt;
          &lt;w:lsdException w:name="Medium Shading 2 Accent 1" w:semiHidden="0" w:uiPriority="64" w:unhideWhenUsed="0" /&gt;
          &lt;w:lsdException w:name="Medium List 1 Accent 1" w:semiHidden="0" w:uiPriority="65" w:unhideWhenUsed="0" /&gt;
          &lt;w:lsdException w:name="Revision" w:uiPriority="99" w:unhideWhenUsed="0" /&gt;
          &lt;w:lsdException w:name="List Paragraph" w:semiHidden="0" w:uiPriority="34" w:unhideWhenUsed="0" w:qFormat="1" /&gt;
          &lt;w:lsdException w:name="Quote" w:semiHidden="0" w:uiPriority="29" w:unhideWhenUsed="0" w:qFormat="1" /&gt;
          &lt;w:lsdException w:name="Intense Quote" w:semiHidden="0" w:uiPriority="30" w:unhideWhenUsed="0" /&gt;
          &lt;w:lsdException w:name="Medium List 2 Accent 1" w:semiHidden="0" w:uiPriority="66" w:unhideWhenUsed="0" /&gt;
          &lt;w:lsdException w:name="Medium Grid 1 Accent 1" w:semiHidden="0" w:uiPriority="67" w:unhideWhenUsed="0" /&gt;
          &lt;w:lsdException w:name="Medium Grid 2 Accent 1" w:semiHidden="0" w:uiPriority="68" w:unhideWhenUsed="0" /&gt;
          &lt;w:lsdException w:name="Medium Grid 3 Accent 1" w:semiHidden="0" w:uiPriority="69" w:unhideWhenUsed="0" /&gt;
          &lt;w:lsdException w:name="Dark List Accent 1" w:semiHidden="0" w:uiPriority="70" w:unhideWhenUsed="0" /&gt;
          &lt;w:lsdException w:name="Colorful Shading Accent 1" w:semiHidden="0" w:uiPriority="71" w:unhideWhenUsed="0" /&gt;
          &lt;w:lsdException w:name="Colorful List Accent 1" w:semiHidden="0" w:uiPriority="72" w:unhideWhenUsed="0" /&gt;
          &lt;w:lsdException w:name="Colorful Grid Accent 1" w:semiHidden="0" w:uiPriority="73" w:unhideWhenUsed="0" /&gt;
          &lt;w:lsdException w:name="Light Shading Accent 2" w:semiHidden="0" w:uiPriority="60" w:unhideWhenUsed="0" /&gt;
          &lt;w:lsdException w:name="Light List Accent 2" w:semiHidden="0" w:uiPriority="61" w:unhideWhenUsed="0" /&gt;
          &lt;w:lsdException w:name="Light Grid Accent 2" w:semiHidden="0" w:uiPriority="62" w:unhideWhenUsed="0" /&gt;
          &lt;w:lsdException w:name="Medium Shading 1 Accent 2" w:semiHidden="0" w:uiPriority="63" w:unhideWhenUsed="0" /&gt;
          &lt;w:lsdException w:name="Medium Shading 2 Accent 2" w:semiHidden="0" w:uiPriority="64" w:unhideWhenUsed="0" /&gt;
          &lt;w:lsdException w:name="Medium List 1 Accent 2" w:semiHidden="0" w:uiPriority="65" w:unhideWhenUsed="0" /&gt;
          &lt;w:lsdException w:name="Medium List 2 Accent 2" w:semiHidden="0" w:uiPriority="66" w:unhideWhenUsed="0" /&gt;
          &lt;w:lsdException w:name="Medium Grid 1 Accent 2" w:semiHidden="0" w:uiPriority="67" w:unhideWhenUsed="0" /&gt;
          &lt;w:lsdException w:name="Medium Grid 2 Accent 2" w:semiHidden="0" w:uiPriority="68" w:unhideWhenUsed="0" /&gt;
          &lt;w:lsdException w:name="Medium Grid 3 Accent 2" w:semiHidden="0" w:uiPriority="69" w:unhideWhenUsed="0" /&gt;
          &lt;w:lsdException w:name="Dark List Accent 2" w:semiHidden="0" w:uiPriority="70" w:unhideWhenUsed="0" /&gt;
          &lt;w:lsdException w:name="Colorful Shading Accent 2" w:semiHidden="0" w:uiPriority="71" w:unhideWhenUsed="0" /&gt;
          &lt;w:lsdException w:name="Colorful List Accent 2" w:semiHidden="0" w:uiPriority="72" w:unhideWhenUsed="0" /&gt;
          &lt;w:lsdException w:name="Colorful Grid Accent 2" w:semiHidden="0" w:uiPriority="73" w:unhideWhenUsed="0" /&gt;
          &lt;w:lsdException w:name="Light Shading Accent 3" w:semiHidden="0" w:uiPriority="60" w:unhideWhenUsed="0" /&gt;
          &lt;w:lsdException w:name="Light List Accent 3" w:semiHidden="0" w:uiPriority="61" w:unhideWhenUsed="0" /&gt;
          &lt;w:lsdException w:name="Light Grid Accent 3" w:semiHidden="0" w:uiPriority="62" w:unhideWhenUsed="0" /&gt;
          &lt;w:lsdException w:name="Medium Shading 1 Accent 3" w:semiHidden="0" w:uiPriority="63" w:unhideWhenUsed="0" /&gt;
          &lt;w:lsdException w:name="Medium Shading 2 Accent 3" w:semiHidden="0" w:uiPriority="64" w:unhideWhenUsed="0" /&gt;
          &lt;w:lsdException w:name="Medium List 1 Accent 3" w:semiHidden="0" w:uiPriority="65" w:unhideWhenUsed="0" /&gt;
          &lt;w:lsdException w:name="Medium List 2 Accent 3" w:semiHidden="0" w:uiPriority="66" w:unhideWhenUsed="0" /&gt;
          &lt;w:lsdException w:name="Medium Grid 1 Accent 3" w:semiHidden="0" w:uiPriority="67" w:unhideWhenUsed="0" /&gt;
          &lt;w:lsdException w:name="Medium Grid 2 Accent 3" w:semiHidden="0" w:uiPriority="68" w:unhideWhenUsed="0" /&gt;
          &lt;w:lsdException w:name="Medium Grid 3 Accent 3" w:semiHidden="0" w:uiPriority="69" w:unhideWhenUsed="0" /&gt;
          &lt;w:lsdException w:name="Dark List Accent 3" w:semiHidden="0" w:uiPriority="70" w:unhideWhenUsed="0" /&gt;
          &lt;w:lsdException w:name="Colorful Shading Accent 3" w:semiHidden="0" w:uiPriority="71" w:unhideWhenUsed="0" /&gt;
          &lt;w:lsdException w:name="Colorful List Accent 3" w:semiHidden="0" w:uiPriority="72" w:unhideWhenUsed="0" /&gt;
          &lt;w:lsdException w:name="Colorful Grid Accent 3" w:semiHidden="0" w:uiPriority="73" w:unhideWhenUsed="0" /&gt;
          &lt;w:lsdException w:name="Light Shading Accent 4" w:semiHidden="0" w:uiPriority="60" w:unhideWhenUsed="0" /&gt;
          &lt;w:lsdException w:name="Light List Accent 4" w:semiHidden="0" w:uiPriority="61" w:unhideWhenUsed="0" /&gt;
          &lt;w:lsdException w:name="Light Grid Accent 4" w:semiHidden="0" w:uiPriority="62" w:unhideWhenUsed="0" /&gt;
          &lt;w:lsdException w:name="Medium Shading 1 Accent 4" w:semiHidden="0" w:uiPriority="63" w:unhideWhenUsed="0" /&gt;
          &lt;w:lsdException w:name="Medium Shading 2 Accent 4" w:semiHidden="0" w:uiPriority="64" w:unhideWhenUsed="0" /&gt;
          &lt;w:lsdException w:name="Medium List 1 Accent 4" w:semiHidden="0" w:uiPriority="65" w:unhideWhenUsed="0" /&gt;
          &lt;w:lsdException w:name="Medium List 2 Accent 4" w:semiHidden="0" w:uiPriority="66" w:unhideWhenUsed="0" /&gt;
          &lt;w:lsdException w:name="Medium Grid 1 Accent 4" w:semiHidden="0" w:uiPriority="67" w:unhideWhenUsed="0" /&gt;
          &lt;w:lsdException w:name="Medium Grid 2 Accent 4" w:semiHidden="0" w:uiPriority="68" w:unhideWhenUsed="0" /&gt;
          &lt;w:lsdException w:name="Medium Grid 3 Accent 4" w:semiHidden="0" w:uiPriority="69" w:unhideWhenUsed="0" /&gt;
          &lt;w:lsdException w:name="Dark List Accent 4" w:semiHidden="0" w:uiPriority="70" w:unhideWhenUsed="0" /&gt;
          &lt;w:lsdException w:name="Colorful Shading Accent 4" w:semiHidden="0" w:uiPriority="71" w:unhideWhenUsed="0" /&gt;
          &lt;w:lsdException w:name="Colorful List Accent 4" w:semiHidden="0" w:uiPriority="72" w:unhideWhenUsed="0" /&gt;
          &lt;w:lsdException w:name="Colorful Grid Accent 4" w:semiHidden="0" w:uiPriority="73" w:unhideWhenUsed="0" /&gt;
          &lt;w:lsdException w:name="Light Shading Accent 5" w:semiHidden="0" w:uiPriority="60" w:unhideWhenUsed="0" /&gt;
          &lt;w:lsdException w:name="Light List Accent 5" w:semiHidden="0" w:uiPriority="61" w:unhideWhenUsed="0" /&gt;
          &lt;w:lsdException w:name="Light Grid Accent 5" w:semiHidden="0" w:uiPriority="62" w:unhideWhenUsed="0" /&gt;
          &lt;w:lsdException w:name="Medium Shading 1 Accent 5" w:semiHidden="0" w:uiPriority="63" w:unhideWhenUsed="0" /&gt;
          &lt;w:lsdException w:name="Medium Shading 2 Accent 5" w:semiHidden="0" w:uiPriority="64" w:unhideWhenUsed="0" /&gt;
          &lt;w:lsdException w:name="Medium List 1 Accent 5" w:semiHidden="0" w:uiPriority="65" w:unhideWhenUsed="0" /&gt;
          &lt;w:lsdException w:name="Medium List 2 Accent 5" w:semiHidden="0" w:uiPriority="66" w:unhideWhenUsed="0" /&gt;
          &lt;w:lsdException w:name="Medium Grid 1 Accent 5" w:semiHidden="0" w:uiPriority="67" w:unhideWhenUsed="0" /&gt;
          &lt;w:lsdException w:name="Medium Grid 2 Accent 5" w:semiHidden="0" w:uiPriority="68" w:unhideWhenUsed="0" /&gt;
          &lt;w:lsdException w:name="Medium Grid 3 Accent 5" w:semiHidden="0" w:uiPriority="69" w:unhideWhenUsed="0" /&gt;
          &lt;w:lsdException w:name="Dark List Accent 5" w:semiHidden="0" w:uiPriority="70" w:unhideWhenUsed="0" /&gt;
          &lt;w:lsdException w:name="Colorful Shading Accent 5" w:semiHidden="0" w:uiPriority="71" w:unhideWhenUsed="0" /&gt;
          &lt;w:lsdException w:name="Colorful List Accent 5" w:semiHidden="0" w:uiPriority="72" w:unhideWhenUsed="0" /&gt;
          &lt;w:lsdException w:name="Colorful Grid Accent 5" w:semiHidden="0" w:uiPriority="73" w:unhideWhenUsed="0" /&gt;
          &lt;w:lsdException w:name="Light Shading Accent 6" w:semiHidden="0" w:uiPriority="60" w:unhideWhenUsed="0" /&gt;
          &lt;w:lsdException w:name="Light List Accent 6" w:semiHidden="0" w:uiPriority="61" w:unhideWhenUsed="0" /&gt;
          &lt;w:lsdException w:name="Light Grid Accent 6" w:semiHidden="0" w:uiPriority="62" w:unhideWhenUsed="0" /&gt;
          &lt;w:lsdException w:name="Medium Shading 1 Accent 6" w:semiHidden="0" w:uiPriority="63" w:unhideWhenUsed="0" /&gt;
          &lt;w:lsdException w:name="Medium Shading 2 Accent 6" w:semiHidden="0" w:uiPriority="64" w:unhideWhenUsed="0" /&gt;
          &lt;w:lsdException w:name="Medium List 1 Accent 6" w:semiHidden="0" w:uiPriority="65" w:unhideWhenUsed="0" /&gt;
          &lt;w:lsdException w:name="Medium List 2 Accent 6" w:semiHidden="0" w:uiPriority="66" w:unhideWhenUsed="0" /&gt;
          &lt;w:lsdException w:name="Medium Grid 1 Accent 6" w:semiHidden="0" w:uiPriority="67" w:unhideWhenUsed="0" /&gt;
          &lt;w:lsdException w:name="Medium Grid 2 Accent 6" w:semiHidden="0" w:uiPriority="68" w:unhideWhenUsed="0" /&gt;
          &lt;w:lsdException w:name="Medium Grid 3 Accent 6" w:semiHidden="0" w:uiPriority="69" w:unhideWhenUsed="0" /&gt;
          &lt;w:lsdException w:name="Dark List Accent 6" w:semiHidden="0" w:uiPriority="70" w:unhideWhenUsed="0" /&gt;
          &lt;w:lsdException w:name="Colorful Shading Accent 6" w:semiHidden="0" w:uiPriority="71" w:unhideWhenUsed="0" /&gt;
          &lt;w:lsdException w:name="Colorful List Accent 6" w:semiHidden="0" w:uiPriority="72" w:unhideWhenUsed="0" /&gt;
          &lt;w:lsdException w:name="Colorful Grid Accent 6" w:semiHidden="0" w:uiPriority="73" w:unhideWhenUsed="0" /&gt;
          &lt;w:lsdException w:name="Subtle Emphasis" w:semiHidden="0" w:uiPriority="19" w:unhideWhenUsed="0" w:qFormat="1" /&gt;
          &lt;w:lsdException w:name="Intense Emphasis" w:semiHidden="0" w:uiPriority="21" w:unhideWhenUsed="0" /&gt;
          &lt;w:lsdException w:name="Subtle Reference" w:semiHidden="0" w:uiPriority="31" w:unhideWhenUsed="0" /&gt;
          &lt;w:lsdException w:name="Intense Reference" w:semiHidden="0" w:uiPriority="32" w:unhideWhenUsed="0" /&gt;
          &lt;w:lsdException w:name="Book Title" w:semiHidden="0" w:uiPriority="33" w:unhideWhenUsed="0" w:qFormat="1" /&gt;
          &lt;w:lsdException w:name="Bibliography" w:uiPriority="37" /&gt;
          &lt;w:lsdException w:name="TOC Heading" w:uiPriority="39" /&gt;
        &lt;/w:latentStyles&gt;
        &lt;w:style w:type="paragraph" w:default="1" w:styleId="Normal"&gt;
          &lt;w:name w:val="Normal" /&gt;
          &lt;w:qFormat /&gt;
          &lt;w:pPr&gt;
            &lt;w:spacing w:before="120" w:after="120" w:line="280" w:lineRule="atLeast" /&gt;
          &lt;/w:pPr&gt;
          &lt;w:rPr&gt;
            &lt;w:rFonts w:eastAsia="Calibri" w:cs="Cordia New" /&gt;
            &lt;w:sz w:val="24" /&gt;
            &lt;w:szCs w:val="22" /&gt;
          &lt;/w:rPr&gt;
        &lt;/w:style&gt;
        &lt;w:style w:type="paragraph" w:styleId="Heading1"&gt;
          &lt;w:name w:val="heading 1" /&gt;
          &lt;w:basedOn w:val="Normal" /&gt;
          &lt;w:next w:val="Normal" /&gt;
          &lt;w:link w:val="Heading1Char" /&gt;
          &lt;w:qFormat /&gt;
          &lt;w:pPr&gt;
            &lt;w:keepNext /&gt;
            &lt;w:pageBreakBefore /&gt;
            &lt;w:numPr&gt;
              &lt;w:numId w:val="19" /&gt;
            &lt;/w:numPr&gt;
            &lt;w:adjustRightInd w:val="0" /&gt;
            &lt;w:snapToGrid w:val="0" /&gt;
            &lt;w:spacing w:before="480" w:line="240" w:lineRule="auto" /&gt;
            &lt;w:textAlignment w:val="baseline" /&gt;
            &lt;w:outlineLvl w:val="0" /&gt;
          &lt;/w:pPr&gt;
          &lt;w:rPr&gt;
            &lt;w:rFonts w:ascii="Times New Roman Bold" w:eastAsia="MS Gothic" w:hAnsi="Times New Roman Bold" /&gt;
            &lt;w:b /&gt;
            &lt;w:sz w:val="28" /&gt;
            &lt;w:lang w:eastAsia="ja-JP" /&gt;
          &lt;/w:rPr&gt;
        &lt;/w:style&gt;
        &lt;w:style w:type="paragraph" w:styleId="Heading2"&gt;
          &lt;w:name w:val="heading 2" /&gt;
          &lt;w:basedOn w:val="Normal" /&gt;
          &lt;w:next w:val="Normal" /&gt;
          &lt;w:link w:val="Heading2Char" /&gt;
          &lt;w:qFormat /&gt;
          &lt;w:pPr&gt;
            &lt;w:keepNext /&gt;
            &lt;w:numPr&gt;
              &lt;w:ilvl w:val="1" /&gt;
              &lt;w:numId w:val="19" /&gt;
            &lt;/w:numPr&gt;
            &lt;w:tabs&gt;
              &lt;w:tab w:val="left" w:pos="1080" /&gt;
            &lt;/w:tabs&gt;
            &lt;w:adjustRightInd w:val="0" /&gt;
            &lt;w:snapToGrid w:val="0" /&gt;
            &lt;w:spacing w:before="240" w:after="0" w:line="240" w:lineRule="auto" /&gt;
            &lt;w:ind w:left="1080" /&gt;
            &lt;w:textAlignment w:val="baseline" /&gt;
            &lt;w:outlineLvl w:val="1" /&gt;
          &lt;/w:pPr&gt;
          &lt;w:rPr&gt;
            &lt;w:rFonts w:ascii="Times New Roman Bold" w:eastAsia="MS Gothic" w:hAnsi="Times New Roman Bold" /&gt;
            &lt;w:b /&gt;
            &lt;w:sz w:val="28" /&gt;
            &lt;w:lang w:eastAsia="ja-JP" /&gt;
          &lt;/w:rPr&gt;
        &lt;/w:style&gt;
        &lt;w:style w:type="paragraph" w:styleId="Heading3"&gt;
          &lt;w:name w:val="heading 3" /&gt;
          &lt;w:basedOn w:val="Heading2" /&gt;
          &lt;w:next w:val="Normal" /&gt;
          &lt;w:link w:val="Heading3Char" /&gt;
          &lt;w:qFormat /&gt;
          &lt;w:pPr&gt;
            &lt;w:numPr&gt;
              &lt;w:ilvl w:val="2" /&gt;
            &lt;/w:numPr&gt;
            &lt;w:outlineLvl w:val="2" /&gt;
          &lt;/w:pPr&gt;
          &lt;w:rPr&gt;
            &lt;w:sz w:val="24" /&gt;
          &lt;/w:rPr&gt;
        &lt;/w:style&gt;
        &lt;w:style w:type="paragraph" w:styleId="Heading4"&gt;
          &lt;w:name w:val="heading 4" /&gt;
          &lt;w:basedOn w:val="Heading2" /&gt;
          &lt;w:next w:val="Normal" /&gt;
          &lt;w:link w:val="Heading4Char" /&gt;
          &lt;w:qFormat /&gt;
          &lt;w:pPr&gt;
            &lt;w:numPr&gt;
              &lt;w:ilvl w:val="3" /&gt;
            &lt;/w:numPr&gt;
            &lt;w:outlineLvl w:val="3" /&gt;
          &lt;/w:pPr&gt;
          &lt;w:rPr&gt;
            &lt;w:sz w:val="24" /&gt;
          &lt;/w:rPr&gt;
        &lt;/w:style&gt;
        &lt;w:style w:type="paragraph" w:styleId="Heading5"&gt;
          &lt;w:name w:val="heading 5" /&gt;
          &lt;w:basedOn w:val="Normal" /&gt;
          &lt;w:next w:val="Normal" /&gt;
          &lt;w:link w:val="Heading5Char" /&gt;
          &lt;w:qFormat /&gt;
          &lt;w:pPr&gt;
            &lt;w:keepNext /&gt;
            &lt;w:keepLines /&gt;
            &lt;w:numPr&gt;
              &lt;w:ilvl w:val="4" /&gt;
              &lt;w:numId w:val="19" /&gt;
            &lt;/w:numPr&gt;
            &lt;w:adjustRightInd w:val="0" /&gt;
            &lt;w:snapToGrid w:val="0" /&gt;
            &lt;w:spacing w:before="216" w:after="0" w:line="219" w:lineRule="exact" /&gt;
            &lt;w:textAlignment w:val="baseline" /&gt;
            &lt;w:outlineLvl w:val="4" /&gt;
          &lt;/w:pPr&gt;
          &lt;w:rPr&gt;
            &lt;w:rFonts w:eastAsia="MS Gothic" w:cs="Times New Roman" /&gt;
            &lt;w:b /&gt;
            &lt;w:i /&gt;
            &lt;w:szCs w:val="24" /&gt;
            &lt;w:lang w:eastAsia="ja-JP" /&gt;
          &lt;/w:rPr&gt;
        &lt;/w:style&gt;
        &lt;w:style w:type="paragraph" w:styleId="Heading6"&gt;
          &lt;w:name w:val="heading 6" /&gt;
          &lt;w:basedOn w:val="Normal" /&gt;
          &lt;w:next w:val="Normal" /&gt;
          &lt;w:link w:val="Heading6Char" /&gt;
          &lt;w:qFormat /&gt;
          &lt;w:pPr&gt;
            &lt;w:keepNext /&gt;
            &lt;w:keepLines /&gt;
            &lt;w:numPr&gt;
              &lt;w:ilvl w:val="5" /&gt;
              &lt;w:numId w:val="19" /&gt;
            &lt;/w:numPr&gt;
            &lt;w:adjustRightInd w:val="0" /&gt;
            &lt;w:snapToGrid w:val="0" /&gt;
            &lt;w:spacing w:before="216" w:after="0" w:line="219" w:lineRule="exact" /&gt;
            &lt;w:textAlignment w:val="baseline" /&gt;
            &lt;w:outlineLvl w:val="5" /&gt;
          &lt;/w:pPr&gt;
          &lt;w:rPr&gt;
            &lt;w:rFonts w:ascii="Arial" w:eastAsia="MS Gothic" w:hAnsi="Arial" /&gt;
            &lt;w:b /&gt;
            &lt;w:lang w:eastAsia="ja-JP" /&gt;
          &lt;/w:rPr&gt;
        &lt;/w:style&gt;
        &lt;w:style w:type="paragraph" w:styleId="Heading7"&gt;
          &lt;w:name w:val="heading 7" /&gt;
          &lt;w:aliases w:val="Appendix Heading" /&gt;
          &lt;w:basedOn w:val="Normal" /&gt;
          &lt;w:next w:val="Normal" /&gt;
          &lt;w:link w:val="Heading7Char" /&gt;
          &lt;w:pPr&gt;
            &lt;w:numPr&gt;
              &lt;w:ilvl w:val="6" /&gt;
              &lt;w:numId w:val="1" /&gt;
            &lt;/w:numPr&gt;
            &lt;w:adjustRightInd w:val="0" /&gt;
            &lt;w:snapToGrid w:val="0" /&gt;
            &lt;w:spacing w:before="216" w:after="0" w:line="219" w:lineRule="exact" /&gt;
            &lt;w:textAlignment w:val="baseline" /&gt;
            &lt;w:outlineLvl w:val="6" /&gt;
          &lt;/w:pPr&gt;
          &lt;w:rPr&gt;
            &lt;w:rFonts w:ascii="Arial" w:eastAsia="MS Gothic" w:hAnsi="Arial" /&gt;
            &lt;w:b /&gt;
            &lt;w:i /&gt;
            &lt;w:lang w:eastAsia="ja-JP" /&gt;
          &lt;/w:rPr&gt;
        &lt;/w:style&gt;
        &lt;w:style w:type="paragraph" w:styleId="Heading8"&gt;
          &lt;w:name w:val="heading 8" /&gt;
          &lt;w:basedOn w:val="Normal" /&gt;
          &lt;w:next w:val="Normal" /&gt;
          &lt;w:link w:val="Heading8Char" /&gt;
          &lt;w:qFormat /&gt;
          &lt;w:pPr&gt;
            &lt;w:numPr&gt;
              &lt;w:ilvl w:val="7" /&gt;
              &lt;w:numId w:val="1" /&gt;
            &lt;/w:numPr&gt;
            &lt;w:adjustRightInd w:val="0" /&gt;
            &lt;w:snapToGrid w:val="0" /&gt;
            &lt;w:spacing w:before="216" w:after="0" w:line="240" w:lineRule="exact" /&gt;
            &lt;w:textAlignment w:val="baseline" /&gt;
            &lt;w:outlineLvl w:val="7" /&gt;
          &lt;/w:pPr&gt;
          &lt;w:rPr&gt;
            &lt;w:rFonts w:ascii="Arial" w:eastAsia="MS Gothic" w:hAnsi="Arial" /&gt;
            &lt;w:b /&gt;
            &lt;w:sz w:val="21" /&gt;
            &lt;w:lang w:eastAsia="ja-JP" /&gt;
          &lt;/w:rPr&gt;
        &lt;/w:style&gt;
        &lt;w:style w:type="paragraph" w:styleId="Heading9"&gt;
          &lt;w:name w:val="heading 9" /&gt;
          &lt;w:basedOn w:val="Normal" /&gt;
          &lt;w:next w:val="Normal" /&gt;
          &lt;w:link w:val="Heading9Char" /&gt;
          &lt;w:qFormat /&gt;
          &lt;w:pPr&gt;
            &lt;w:numPr&gt;
              &lt;w:ilvl w:val="8" /&gt;
              &lt;w:numId w:val="1" /&gt;
            &lt;/w:numPr&gt;
            &lt;w:adjustRightInd w:val="0" /&gt;
            &lt;w:snapToGrid w:val="0" /&gt;
            &lt;w:spacing w:before="216" w:after="0" w:line="219" w:lineRule="exact" /&gt;
            &lt;w:textAlignment w:val="baseline" /&gt;
            &lt;w:outlineLvl w:val="8" /&gt;
          &lt;/w:pPr&gt;
          &lt;w:rPr&gt;
            &lt;w:rFonts w:ascii="Arial" w:eastAsia="MS Gothic" w:hAnsi="Arial" /&gt;
            &lt;w:b /&gt;
            &lt;w:i /&gt;
            &lt;w:sz w:val="21" /&gt;
            &lt;w:lang w:eastAsia="ja-JP" /&gt;
          &lt;/w:rPr&gt;
        &lt;/w:style&gt;
        &lt;w:style w:type="character" w:default="1" w:styleId="DefaultParagraphFont"&gt;
          &lt;w:name w:val="Default Paragraph Font" /&gt;
          &lt;w:uiPriority w:val="1" /&gt;
          &lt;w:semiHidden /&gt;
          &lt;w:unhideWhenUsed /&gt;
        &lt;/w:style&gt;
        &lt;w:style w:type="table" w:default="1" w:styleId="TableNormal"&gt;
          &lt;w:name w:val="Normal Table" /&gt;
          &lt;w:uiPriority w:val="99" /&gt;
          &lt;w:semiHidden /&gt;
          &lt;w:unhideWhenUsed /&gt;
          &lt;w:tblPr&gt;
            &lt;w:tblInd w:w="0" w:type="dxa" /&gt;
            &lt;w:tblCellMar&gt;
              &lt;w:top w:w="0" w:type="dxa" /&gt;
              &lt;w:left w:w="108" w:type="dxa" /&gt;
              &lt;w:bottom w:w="0" w:type="dxa" /&gt;
              &lt;w:right w:w="108" w:type="dxa" /&gt;
            &lt;/w:tblCellMar&gt;
          &lt;/w:tblPr&gt;
        &lt;/w:style&gt;
        &lt;w:style w:type="numbering" w:default="1" w:styleId="NoList"&gt;
          &lt;w:name w:val="No List" /&gt;
          &lt;w:uiPriority w:val="99" /&gt;
          &lt;w:semiHidden /&gt;
          &lt;w:unhideWhenUsed /&gt;
        &lt;/w:style&gt;
        &lt;w:style w:type="character" w:customStyle="1" w:styleId="Heading1Char"&gt;
          &lt;w:name w:val="Heading 1 Char" /&gt;
          &lt;w:link w:val="Heading1" /&gt;
          &lt;w:rPr&gt;
            &lt;w:rFonts w:ascii="Times New Roman Bold" w:eastAsia="MS Gothic" w:hAnsi="Times New Roman Bold" w:cs="Cordia New" /&gt;
            &lt;w:b /&gt;
            &lt;w:sz w:val="28" /&gt;
            &lt;w:szCs w:val="22" /&gt;
            &lt;w:lang w:eastAsia="ja-JP" /&gt;
          &lt;/w:rPr&gt;
        &lt;/w:style&gt;
        &lt;w:style w:type="character" w:customStyle="1" w:styleId="Heading2Char"&gt;
          &lt;w:name w:val="Heading 2 Char" /&gt;
          &lt;w:link w:val="Heading2" /&gt;
          &lt;w:rPr&gt;
            &lt;w:rFonts w:ascii="Times New Roman Bold" w:eastAsia="MS Gothic" w:hAnsi="Times New Roman Bold" w:cs="Cordia New" /&gt;
            &lt;w:b /&gt;
            &lt;w:sz w:val="28" /&gt;
            &lt;w:szCs w:val="22" /&gt;
            &lt;w:lang w:eastAsia="ja-JP" /&gt;
          &lt;/w:rPr&gt;
        &lt;/w:style&gt;
        &lt;w:style w:type="character" w:customStyle="1" w:styleId="Heading3Char"&gt;
          &lt;w:name w:val="Heading 3 Char" /&gt;
          &lt;w:link w:val="Heading3" /&gt;
          &lt;w:rPr&gt;
            &lt;w:rFonts w:ascii="Times New Roman Bold" w:eastAsia="MS Gothic" w:hAnsi="Times New Roman Bold" w:cs="Cordia New" /&gt;
            &lt;w:b /&gt;
            &lt;w:sz w:val="24" /&gt;
            &lt;w:szCs w:val="22" /&gt;
            &lt;w:lang w:eastAsia="ja-JP" /&gt;
          &lt;/w:rPr&gt;
        &lt;/w:style&gt;
        &lt;w:style w:type="character" w:customStyle="1" w:styleId="Heading4Char"&gt;
          &lt;w:name w:val="Heading 4 Char" /&gt;
          &lt;w:link w:val="Heading4" /&gt;
          &lt;w:rPr&gt;
            &lt;w:rFonts w:ascii="Times New Roman Bold" w:eastAsia="MS Gothic" w:hAnsi="Times New Roman Bold" w:cs="Cordia New" /&gt;
            &lt;w:b /&gt;
            &lt;w:sz w:val="24" /&gt;
            &lt;w:szCs w:val="22" /&gt;
            &lt;w:lang w:eastAsia="ja-JP" /&gt;
          &lt;/w:rPr&gt;
        &lt;/w:style&gt;
        &lt;w:style w:type="character" w:customStyle="1" w:styleId="Heading5Char"&gt;
          &lt;w:name w:val="Heading 5 Char" /&gt;
          &lt;w:link w:val="Heading5" /&gt;
          &lt;w:rPr&gt;
            &lt;w:rFonts w:eastAsia="MS Gothic" /&gt;
            &lt;w:b /&gt;
            &lt;w:i /&gt;
            &lt;w:sz w:val="24" /&gt;
            &lt;w:szCs w:val="24" /&gt;
            &lt;w:lang w:eastAsia="ja-JP" /&gt;
          &lt;/w:rPr&gt;
        &lt;/w:style&gt;
        &lt;w:style w:type="character" w:customStyle="1" w:styleId="Heading6Char"&gt;
          &lt;w:name w:val="Heading 6 Char" /&gt;
          &lt;w:link w:val="Heading6" /&gt;
          &lt;w:rPr&gt;
            &lt;w:rFonts w:ascii="Arial" w:eastAsia="MS Gothic" w:hAnsi="Arial" w:cs="Cordia New" /&gt;
            &lt;w:b /&gt;
            &lt;w:sz w:val="24" /&gt;
            &lt;w:szCs w:val="22" /&gt;
            &lt;w:lang w:eastAsia="ja-JP" /&gt;
          &lt;/w:rPr&gt;
        &lt;/w:style&gt;
        &lt;w:style w:type="character" w:customStyle="1" w:styleId="Heading7Char"&gt;
          &lt;w:name w:val="Heading 7 Char" /&gt;
          &lt;w:aliases w:val="Appendix Heading Char" /&gt;
          &lt;w:link w:val="Heading7" /&gt;
          &lt;w:rPr&gt;
            &lt;w:rFonts w:ascii="Arial" w:eastAsia="MS Gothic" w:hAnsi="Arial" w:cs="Cordia New" /&gt;
            &lt;w:b /&gt;
            &lt;w:i /&gt;
            &lt;w:sz w:val="24" /&gt;
            &lt;w:szCs w:val="22" /&gt;
            &lt;w:lang w:eastAsia="ja-JP" /&gt;
          &lt;/w:rPr&gt;
        &lt;/w:style&gt;
        &lt;w:style w:type="character" w:customStyle="1" w:styleId="Heading8Char"&gt;
          &lt;w:name w:val="Heading 8 Char" /&gt;
          &lt;w:link w:val="Heading8" /&gt;
          &lt;w:rPr&gt;
            &lt;w:rFonts w:ascii="Arial" w:eastAsia="MS Gothic" w:hAnsi="Arial" w:cs="Cordia New" /&gt;
            &lt;w:b /&gt;
            &lt;w:sz w:val="21" /&gt;
            &lt;w:szCs w:val="22" /&gt;
            &lt;w:lang w:eastAsia="ja-JP" /&gt;
          &lt;/w:rPr&gt;
        &lt;/w:style&gt;
        &lt;w:style w:type="character" w:customStyle="1" w:styleId="Heading9Char"&gt;
          &lt;w:name w:val="Heading 9 Char" /&gt;
          &lt;w:link w:val="Heading9" /&gt;
          &lt;w:rPr&gt;
            &lt;w:rFonts w:ascii="Arial" w:eastAsia="MS Gothic" w:hAnsi="Arial" w:cs="Cordia New" /&gt;
            &lt;w:b /&gt;
            &lt;w:i /&gt;
            &lt;w:sz w:val="21" /&gt;
            &lt;w:szCs w:val="22" /&gt;
            &lt;w:lang w:eastAsia="ja-JP" /&gt;
          &lt;/w:rPr&gt;
        &lt;/w:style&gt;
        &lt;w:style w:type="paragraph" w:styleId="TOC1"&gt;
          &lt;w:name w:val="toc 1" /&gt;
          &lt;w:basedOn w:val="Normal" /&gt;
          &lt;w:next w:val="Normal" /&gt;
          &lt;w:uiPriority w:val="39" /&gt;
          &lt;w:pPr&gt;
            &lt;w:keepLines /&gt;
            &lt;w:tabs&gt;
              &lt;w:tab w:val="right" w:leader="dot" w:pos="9360" /&gt;
            &lt;/w:tabs&gt;
            &lt;w:spacing w:after="0" w:line="259" w:lineRule="atLeast" /&gt;
            &lt;w:ind w:left="907" w:right="2160" w:hanging="907" /&gt;
          &lt;/w:pPr&gt;
          &lt;w:rPr&gt;
            &lt;w:rFonts w:eastAsia="MS Gothic" w:cs="Times New Roman" /&gt;
            &lt;w:b /&gt;
            &lt;w:noProof /&gt;
            &lt;w:color w:val="0000FF" /&gt;
            &lt;w:szCs w:val="24" /&gt;
          &lt;/w:rPr&gt;
        &lt;/w:style&gt;
        &lt;w:style w:type="paragraph" w:styleId="TOC2"&gt;
          &lt;w:name w:val="toc 2" /&gt;
          &lt;w:basedOn w:val="TOC1" /&gt;
          &lt;w:next w:val="Normal" /&gt;
          &lt;w:uiPriority w:val="39" /&gt;
          &lt;w:pPr&gt;
            &lt;w:spacing w:before="0" /&gt;
          &lt;/w:pPr&gt;
          &lt;w:rPr&gt;
            &lt;w:b w:val="0" /&gt;
          &lt;/w:rPr&gt;
        &lt;/w:style&gt;
        &lt;w:style w:type="paragraph" w:styleId="TOC3"&gt;
          &lt;w:name w:val="toc 3" /&gt;
          &lt;w:basedOn w:val="TOC1" /&gt;
          &lt;w:next w:val="Normal" /&gt;
          &lt;w:uiPriority w:val="39" /&gt;
          &lt;w:pPr&gt;
            &lt;w:spacing w:before="0" /&gt;
            &lt;w:ind w:left="900" w:hanging="900" /&gt;
          &lt;/w:pPr&gt;
          &lt;w:rPr&gt;
            &lt;w:b w:val="0" /&gt;
          &lt;/w:rPr&gt;
        &lt;/w:style&gt;
        &lt;w:style w:type="paragraph" w:styleId="TOC4"&gt;
          &lt;w:name w:val="toc 4" /&gt;
          &lt;w:basedOn w:val="TOC1" /&gt;
          &lt;w:next w:val="Normal" /&gt;
          &lt;w:uiPriority w:val="39" /&gt;
          &lt;w:pPr&gt;
            &lt;w:spacing w:before="0" /&gt;
            &lt;w:ind w:left="1656" w:hanging="1123" /&gt;
          &lt;/w:pPr&gt;
          &lt;w:rPr&gt;
            &lt;w:b w:val="0" /&gt;
          &lt;/w:rPr&gt;
        &lt;/w:style&gt;
        &lt;w:style w:type="paragraph" w:styleId="BalloonText"&gt;
          &lt;w:name w:val="Balloon Text" /&gt;
          &lt;w:basedOn w:val="Normal" /&gt;
          &lt;w:link w:val="BalloonTextChar" /&gt;
          &lt;w:uiPriority w:val="99" /&gt;
          &lt;w:semiHidden /&gt;
          &lt;w:unhideWhenUsed /&gt;
          &lt;w:pPr&gt;
            &lt;w:spacing w:before="0" w:after="0" w:line="240" w:lineRule="auto" /&gt;
          &lt;/w:pPr&gt;
          &lt;w:rPr&gt;
            &lt;w:rFonts w:ascii="Tahoma" w:hAnsi="Tahoma" w:cs="Tahoma" /&gt;
            &lt;w:sz w:val="16" /&gt;
            &lt;w:szCs w:val="16" /&gt;
          &lt;/w:rPr&gt;
        &lt;/w:style&gt;
        &lt;w:style w:type="character" w:customStyle="1" w:styleId="BalloonTextChar"&gt;
          &lt;w:name w:val="Balloon Text Char" /&gt;
          &lt;w:basedOn w:val="DefaultParagraphFont" /&gt;
          &lt;w:link w:val="BalloonText" /&gt;
          &lt;w:uiPriority w:val="99" /&gt;
          &lt;w:semiHidden /&gt;
          &lt;w:rPr&gt;
            &lt;w:rFonts w:ascii="Tahoma" w:eastAsia="Calibri" w:hAnsi="Tahoma" w:cs="Tahoma" /&gt;
            &lt;w:sz w:val="16" /&gt;
            &lt;w:szCs w:val="16" /&gt;
          &lt;/w:rPr&gt;
        &lt;/w:style&gt;
        &lt;w:style w:type="table" w:styleId="TableGrid"&gt;
          &lt;w:name w:val="Table Grid" /&gt;
          &lt;w:basedOn w:val="TableNormal" /&gt;
          &lt;w:uiPriority w:val="59" /&gt;
          &lt;w:pPr&gt;
            &lt;w:spacing w:before="14" w:after="144" w:line="300" w:lineRule="atLeast" /&gt;
          &lt;/w:pPr&gt;
          &lt;w:rPr&gt;
            &lt;w:rFonts w:eastAsia="Times New Roman" /&gt;
          &lt;/w:rPr&gt;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w:type="character" w:styleId="PlaceholderText"&gt;
          &lt;w:name w:val="Placeholder Text" /&gt;
          &lt;w:uiPriority w:val="99" /&gt;
          &lt;w:semiHidden /&gt;
          &lt;w:rPr&gt;
            &lt;w:color w:val="808080" /&gt;
          &lt;/w:rPr&gt;
        &lt;/w:style&gt;
        &lt;w:style w:type="paragraph" w:styleId="ListParagraph"&gt;
          &lt;w:name w:val="List Paragraph" /&gt;
          &lt;w:basedOn w:val="Normal" /&gt;
          &lt;w:link w:val="ListParagraphChar" /&gt;
          &lt;w:uiPriority w:val="34" /&gt;
          &lt;w:qFormat /&gt;
          &lt;w:pPr&gt;
            &lt;w:spacing w:before="14" w:after="144" w:line="300" w:lineRule="atLeast" /&gt;
            &lt;w:ind w:left="720" /&gt;
            &lt;w:contextualSpacing /&gt;
          &lt;/w:pPr&gt;
          &lt;w:rPr&gt;
            &lt;w:rFonts w:eastAsia="Times New Roman" w:cs="Times New Roman" /&gt;
            &lt;w:szCs w:val="24" /&gt;
          &lt;/w:rPr&gt;
        &lt;/w:style&gt;
        &lt;w:style w:type="paragraph" w:customStyle="1" w:styleId="TblFootnote"&gt;
          &lt;w:name w:val="Tbl Footnote" /&gt;
          &lt;w:basedOn w:val="Normal" /&gt;
          &lt;w:next w:val="Normal" /&gt;
          &lt;w:link w:val="TblFootnoteChar" /&gt;
          &lt;w:pPr&gt;
            &lt;w:keepNext /&gt;
            &lt;w:keepLines /&gt;
            &lt;w:tabs&gt;
              &lt;w:tab w:val="left" w:pos="259" /&gt;
            &lt;/w:tabs&gt;
            &lt;w:spacing w:after="0" w:line="259" w:lineRule="atLeast" /&gt;
            &lt;w:ind w:left="259" w:hanging="259" /&gt;
          &lt;/w:pPr&gt;
          &lt;w:rPr&gt;
            &lt;w:rFonts w:eastAsia="Times New Roman" w:cs="Times New Roman" /&gt;
            &lt;w:sz w:val="20" /&gt;
            &lt;w:szCs w:val="24" /&gt;
          &lt;/w:rPr&gt;
        &lt;/w:style&gt;
        &lt;w:style w:type="paragraph" w:styleId="Revision"&gt;
          &lt;w:name w:val="Revision" /&gt;
          &lt;w:hidden /&gt;
          &lt;w:uiPriority w:val="99" /&gt;
          &lt;w:semiHidden /&gt;
          &lt;w:rPr&gt;
            &lt;w:rFonts w:eastAsia="Times New Roman" /&gt;
            &lt;w:sz w:val="24" /&gt;
            &lt;w:szCs w:val="24" /&gt;
          &lt;/w:rPr&gt;
        &lt;/w:style&gt;
        &lt;w:style w:type="table" w:styleId="TableList5"&gt;
          &lt;w:name w:val="Table List 5" /&gt;
          &lt;w:basedOn w:val="TableNormal" /&gt;
          &lt;w:pPr&gt;
            &lt;w:spacing w:before="14" w:after="144" w:line="300"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&lt;/w:tblBorders&gt;
          &lt;/w:tblPr&gt;
          &lt;w:tcPr&gt;
            &lt;w:shd w:val="clear" w:color="auto" w:fill="auto"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&lt;/w:style&gt;
        &lt;w:style w:type="character" w:customStyle="1" w:styleId="TblFootnoteChar"&gt;
          &lt;w:name w:val="Tbl Footnote Char" /&gt;
          &lt;w:link w:val="TblFootnote" /&gt;
          &lt;w:locked /&gt;
          &lt;w:rPr&gt;
            &lt;w:rFonts w:eastAsia="Times New Roman" /&gt;
            &lt;w:szCs w:val="24" /&gt;
          &lt;/w:rPr&gt;
        &lt;/w:style&gt;
        &lt;w:style w:type="paragraph" w:customStyle="1" w:styleId="listbull"&gt;
          &lt;w:name w:val="list:bull" /&gt;
          &lt;w:basedOn w:val="Normal" /&gt;
          &lt;w:link w:val="listbullChar" /&gt;
          &lt;w:pPr&gt;
            &lt;w:numPr&gt;
              &lt;w:numId w:val="6" /&gt;
            &lt;/w:numPr&gt;
            &lt;w:spacing w:line="240" w:lineRule="auto" /&gt;
          &lt;/w:pPr&gt;
          &lt;w:rPr&gt;
            &lt;w:rFonts w:eastAsia="Times New Roman" w:cs="Times New Roman" /&gt;
            &lt;w:szCs w:val="24" /&gt;
            &lt;w:lang w:val="en-GB" /&gt;
          &lt;/w:rPr&gt;
        &lt;/w:style&gt;
        &lt;w:style w:type="character" w:customStyle="1" w:styleId="listbullChar"&gt;
          &lt;w:name w:val="list:bull Char" /&gt;
          &lt;w:basedOn w:val="DefaultParagraphFont" /&gt;
          &lt;w:link w:val="listbull" /&gt;
          &lt;w:rPr&gt;
            &lt;w:rFonts w:eastAsia="Times New Roman" /&gt;
            &lt;w:sz w:val="24" /&gt;
            &lt;w:szCs w:val="24" /&gt;
            &lt;w:lang w:val="en-GB" /&gt;
          &lt;/w:rPr&gt;
        &lt;/w:style&gt;
        &lt;w:style w:type="paragraph" w:customStyle="1" w:styleId="tabletextNS"&gt;
          &lt;w:name w:val="table:textNS" /&gt;
          &lt;w:basedOn w:val="Normal" /&gt;
          &lt;w:link w:val="tabletextNSChar" /&gt;
          &lt;w:qFormat /&gt;
          &lt;w:pPr&gt;
            &lt;w:spacing w:after="0" w:line="240" w:lineRule="auto" /&gt;
          &lt;/w:pPr&gt;
          &lt;w:rPr&gt;
            &lt;w:rFonts w:ascii="Arial Narrow" w:eastAsia="Times New Roman" w:hAnsi="Arial Narrow" w:cs="Arial Narrow" /&gt;
            &lt;w:szCs w:val="24" /&gt;
            &lt;w:lang w:val="en-GB" /&gt;
          &lt;/w:rPr&gt;
        &lt;/w:style&gt;
        &lt;w:style w:type="character" w:customStyle="1" w:styleId="tabletextNSChar"&gt;
          &lt;w:name w:val="table:textNS Char" /&gt;
          &lt;w:basedOn w:val="DefaultParagraphFont" /&gt;
          &lt;w:link w:val="tabletextNS" /&gt;
          &lt;w:rPr&gt;
            &lt;w:rFonts w:ascii="Arial Narrow" w:eastAsia="Times New Roman" w:hAnsi="Arial Narrow" w:cs="Arial Narrow" /&gt;
            &lt;w:sz w:val="24" /&gt;
            &lt;w:szCs w:val="24" /&gt;
            &lt;w:lang w:val="en-GB" /&gt;
          &lt;/w:rPr&gt;
        &lt;/w:style&gt;
        &lt;w:style w:type="paragraph" w:customStyle="1" w:styleId="listalpha"&gt;
          &lt;w:name w:val="list:alpha" /&gt;
          &lt;w:basedOn w:val="Normal" /&gt;
          &lt;w:pPr&gt;
            &lt;w:numPr&gt;
              &lt;w:numId w:val="7" /&gt;
            &lt;/w:numPr&gt;
            &lt;w:spacing w:line="240" w:lineRule="auto" /&gt;
          &lt;/w:pPr&gt;
          &lt;w:rPr&gt;
            &lt;w:rFonts w:eastAsia="Times New Roman" w:cs="Times New Roman" /&gt;
            &lt;w:szCs w:val="24" /&gt;
            &lt;w:lang w:val="en-GB" /&gt;
          &lt;/w:rPr&gt;
        &lt;/w:style&gt;
        &lt;w:style w:type="paragraph" w:styleId="ListBullet"&gt;
          &lt;w:name w:val="List Bullet" /&gt;
          &lt;w:basedOn w:val="Normal" /&gt;
          &lt;w:uiPriority w:val="99" /&gt;
          &lt;w:unhideWhenUsed /&gt;
          &lt;w:pPr&gt;
            &lt;w:spacing w:after="240" w:line="240" w:lineRule="auto" /&gt;
            &lt;w:contextualSpacing /&gt;
          &lt;/w:pPr&gt;
          &lt;w:rPr&gt;
            &lt;w:rFonts w:eastAsia="Times New Roman" w:cs="Times New Roman" /&gt;
            &lt;w:szCs w:val="24" /&gt;
            &lt;w:lang w:val="en-GB" /&gt;
          &lt;/w:rPr&gt;
        &lt;/w:style&gt;
        &lt;w:style w:type="paragraph" w:styleId="TOCHeading"&gt;
          &lt;w:name w:val="TOC Heading" /&gt;
          &lt;w:basedOn w:val="Heading1" /&gt;
          &lt;w:next w:val="Normal" /&gt;
          &lt;w:uiPriority w:val="39" /&gt;
          &lt;w:unhideWhenUsed /&gt;
          &lt;w:pPr&gt;
            &lt;w:keepNext w:val="0" /&gt;
            &lt;w:pageBreakBefore w:val="0" /&gt;
            &lt;w:numPr&gt;
              &lt;w:numId w:val="0" /&gt;
            &lt;/w:numPr&gt;
            &lt;w:adjustRightInd /&gt;
            &lt;w:snapToGrid /&gt;
            &lt;w:spacing w:before="0" w:after="0" /&gt;
            &lt;w:jc w:val="center" /&gt;
            &lt;w:textAlignment w:val="auto" /&gt;
            &lt;w:outlineLvl w:val="9" /&gt;
          &lt;/w:pPr&gt;
          &lt;w:rPr&gt;
            &lt;w:rFonts w:ascii="Times New Roman" w:eastAsiaTheme="majorEastAsia" w:hAnsi="Times New Roman" w:cs="Times New Roman" /&gt;
            &lt;w:bCs /&gt;
            &lt;w:sz w:val="24" /&gt;
            &lt;w:szCs w:val="24" /&gt;
            &lt;w:lang w:eastAsia="en-US" /&gt;
          &lt;/w:rPr&gt;
        &lt;/w:style&gt;
        &lt;w:style w:type="paragraph" w:customStyle="1" w:styleId="TableText"&gt;
          &lt;w:name w:val="Table Text" /&gt;
          &lt;w:link w:val="TableTextChar1" /&gt;
          &lt;w:qFormat /&gt;
          &lt;w:pPr&gt;
            &lt;w:tabs&gt;
              &lt;w:tab w:val="left" w:pos="288" /&gt;
              &lt;w:tab w:val="left" w:pos="576" /&gt;
              &lt;w:tab w:val="left" w:pos="864" /&gt;
            &lt;/w:tabs&gt;
            &lt;w:spacing w:before="60" w:after="60" /&gt;
          &lt;/w:pPr&gt;
          &lt;w:rPr&gt;
            &lt;w:rFonts w:eastAsia="Times New Roman" /&gt;
            &lt;w:sz w:val="24" /&gt;
          &lt;/w:rPr&gt;
        &lt;/w:style&gt;
        &lt;w:style w:type="character" w:customStyle="1" w:styleId="TableTextChar1"&gt;
          &lt;w:name w:val="Table Text Char1" /&gt;
          &lt;w:link w:val="TableText" /&gt;
          &lt;w:rPr&gt;
            &lt;w:rFonts w:eastAsia="Times New Roman" /&gt;
            &lt;w:sz w:val="24" /&gt;
          &lt;/w:rPr&gt;
        &lt;/w:style&gt;
        &lt;w:style w:type="paragraph" w:customStyle="1" w:styleId="listindentbull"&gt;
          &lt;w:name w:val="list:indent bull" /&gt;
          &lt;w:link w:val="listindentbullChar" /&gt;
          &lt;w:pPr&gt;
            &lt;w:numPr&gt;
              &lt;w:numId w:val="11" /&gt;
            &lt;/w:numPr&gt;
            &lt;w:spacing w:after="120" /&gt;
          &lt;/w:pPr&gt;
          &lt;w:rPr&gt;
            &lt;w:rFonts w:eastAsia="Times New Roman" /&gt;
            &lt;w:sz w:val="24" /&gt;
            &lt;w:szCs w:val="24" /&gt;
            &lt;w:lang w:val="en-GB" /&gt;
          &lt;/w:rPr&gt;
        &lt;/w:style&gt;
        &lt;w:style w:type="character" w:customStyle="1" w:styleId="listindentbullChar"&gt;
          &lt;w:name w:val="list:indent bull Char" /&gt;
          &lt;w:link w:val="listindentbull" /&gt;
          &lt;w:locked /&gt;
          &lt;w:rPr&gt;
            &lt;w:rFonts w:eastAsia="Times New Roman" /&gt;
            &lt;w:sz w:val="24" /&gt;
            &lt;w:szCs w:val="24" /&gt;
            &lt;w:lang w:val="en-GB" /&gt;
          &lt;/w:rPr&gt;
        &lt;/w:style&gt;
        &lt;w:style w:type="paragraph" w:customStyle="1" w:styleId="TableText0"&gt;
          &lt;w:name w:val="TableText" /&gt;
          &lt;w:pPr&gt;
            &lt;w:keepNext /&gt;
          &lt;/w:pPr&gt;
          &lt;w:rPr&gt;
            &lt;w:rFonts w:eastAsia="Times New Roman" /&gt;
          &lt;/w:rPr&gt;
        &lt;/w:style&gt;
        &lt;w:style w:type="paragraph" w:customStyle="1" w:styleId="HeadingNoTOC"&gt;
          &lt;w:name w:val="Heading (No TOC)" /&gt;
          &lt;w:next w:val="Normal" /&gt;
          &lt;w:pPr&gt;
            &lt;w:keepNext /&gt;
            &lt;w:spacing w:before="240" /&gt;
          &lt;/w:pPr&gt;
          &lt;w:rPr&gt;
            &lt;w:rFonts w:ascii="Times New Roman Bold" w:eastAsia="Times New Roman" w:hAnsi="Times New Roman Bold" /&gt;
            &lt;w:b /&gt;
            &lt;w:sz w:val="24" /&gt;
            &lt;w:szCs w:val="24" /&gt;
          &lt;/w:rPr&gt;
        &lt;/w:style&gt;
        &lt;w:style w:type="paragraph" w:customStyle="1" w:styleId="captiontable"&gt;
          &lt;w:name w:val="caption:table" /&gt;
          &lt;w:basedOn w:val="Normal" /&gt;
          &lt;w:next w:val="Normal" /&gt;
          &lt;w:pPr&gt;
            &lt;w:keepNext /&gt;
            &lt;w:ind w:left="1440" w:hanging="1440" /&gt;
          &lt;/w:pPr&gt;
          &lt;w:rPr&gt;
            &lt;w:rFonts w:ascii="Times New Roman Bold" w:eastAsia="Times New Roman" w:hAnsi="Times New Roman Bold" w:cs="Arial" /&gt;
            &lt;w:b /&gt;
            &lt;w:bCs /&gt;
            &lt;w:lang w:val="en-GB" /&gt;
          &lt;/w:rPr&gt;
        &lt;/w:style&gt;
        &lt;w:style w:type="paragraph" w:customStyle="1" w:styleId="TableHeaderText"&gt;
          &lt;w:name w:val="Table Header Text" /&gt;
          &lt;w:basedOn w:val="Normal" /&gt;
          &lt;w:pPr&gt;
            &lt;w:spacing w:before="60" w:after="60" w:line="240" w:lineRule="auto" /&gt;
            &lt;w:jc w:val="center" /&gt;
          &lt;/w:pPr&gt;
          &lt;w:rPr&gt;
            &lt;w:rFonts w:eastAsia="Times New Roman" w:cs="Times New Roman" /&gt;
            &lt;w:b /&gt;
            &lt;w:color w:val="000000" /&gt;
            &lt;w:szCs w:val="20" /&gt;
          &lt;/w:rPr&gt;
        &lt;/w:style&gt;
        &lt;w:style w:type="paragraph" w:customStyle="1" w:styleId="CPTInstructional"&gt;
          &lt;w:name w:val="CPT_Instructional" /&gt;
          &lt;w:basedOn w:val="Normal" /&gt;
          &lt;w:qFormat /&gt;
          &lt;w:rPr&gt;
            &lt;w:rFonts w:cs="Arial" /&gt;
            &lt;w:vanish /&gt;
            &lt;w:color w:val="FF0000" /&gt;
            &lt;w:sz w:val="22" /&gt;
            &lt;w:szCs w:val="20" /&gt;
          &lt;/w:rPr&gt;
        &lt;/w:style&gt;
        &lt;w:style w:type="paragraph" w:styleId="Title"&gt;
          &lt;w:name w:val="Title" /&gt;
          &lt;w:basedOn w:val="Normal" /&gt;
          &lt;w:next w:val="Normal" /&gt;
          &lt;w:link w:val="TitleChar" /&gt;
          &lt;w:qFormat /&gt;
          &lt;w:pPr&gt;
            &lt;w:spacing w:line="360" w:lineRule="auto" /&gt;
            &lt;w:contextualSpacing /&gt;
            &lt;w:jc w:val="center" /&gt;
          &lt;/w:pPr&gt;
          &lt;w:rPr&gt;
            &lt;w:rFonts w:ascii="Times New Roman Bold" w:eastAsiaTheme="majorEastAsia" w:hAnsi="Times New Roman Bold" w:cstheme="majorBidi" /&gt;
            &lt;w:b /&gt;
            &lt;w:spacing w:val="-10" /&gt;
            &lt;w:kern w:val="28" /&gt;
            &lt;w:sz w:val="32" /&gt;
            &lt;w:szCs w:val="56" /&gt;
          &lt;/w:rPr&gt;
        &lt;/w:style&gt;
        &lt;w:style w:type="character" w:customStyle="1" w:styleId="TitleChar"&gt;
          &lt;w:name w:val="Title Char" /&gt;
          &lt;w:basedOn w:val="DefaultParagraphFont" /&gt;
          &lt;w:link w:val="Title" /&gt;
          &lt;w:rPr&gt;
            &lt;w:rFonts w:ascii="Times New Roman Bold" w:eastAsiaTheme="majorEastAsia" w:hAnsi="Times New Roman Bold" w:cstheme="majorBidi" /&gt;
            &lt;w:b /&gt;
            &lt;w:spacing w:val="-10" /&gt;
            &lt;w:kern w:val="28" /&gt;
            &lt;w:sz w:val="32" /&gt;
            &lt;w:szCs w:val="56" /&gt;
          &lt;/w:rPr&gt;
        &lt;/w:style&gt;
        &lt;w:style w:type="paragraph" w:customStyle="1" w:styleId="Heading2non-numbered"&gt;
          &lt;w:name w:val="Heading 2 (non-numbered)" /&gt;
          &lt;w:basedOn w:val="Heading2" /&gt;
          &lt;w:next w:val="Normal" /&gt;
          &lt;w:qFormat /&gt;
          &lt;w:pPr&gt;
            &lt;w:numPr&gt;
              &lt;w:ilvl w:val="0" /&gt;
              &lt;w:numId w:val="0" /&gt;
            &lt;/w:numPr&gt;
          &lt;/w:pPr&gt;
          &lt;w:rPr&gt;
            &lt;w:noProof /&gt;
          &lt;/w:rPr&gt;
        &lt;/w:style&gt;
        &lt;w:style w:type="paragraph" w:customStyle="1" w:styleId="StyleTableTextCentered"&gt;
          &lt;w:name w:val="Style Table Text + Centered" /&gt;
          &lt;w:basedOn w:val="TableText" /&gt;
          &lt;w:pPr&gt;
            &lt;w:jc w:val="center" /&gt;
          &lt;/w:pPr&gt;
        &lt;/w:style&gt;
        &lt;w:style w:type="paragraph" w:customStyle="1" w:styleId="Heading3non-numbered"&gt;
          &lt;w:name w:val="Heading 3 (non-numbered)" /&gt;
          &lt;w:basedOn w:val="Heading3" /&gt;
          &lt;w:next w:val="Normal" /&gt;
          &lt;w:qFormat /&gt;
          &lt;w:pPr&gt;
            &lt;w:numPr&gt;
              &lt;w:ilvl w:val="3" /&gt;
              &lt;w:numId w:val="0" /&gt;
            &lt;/w:numPr&gt;
            &lt;w:tabs&gt;
              &lt;w:tab w:val="left" w:pos="1152" /&gt;
              &lt;w:tab w:val="num" w:pos="5954" /&gt;
            &lt;/w:tabs&gt;
            &lt;w:adjustRightInd /&gt;
            &lt;w:snapToGrid /&gt;
            &lt;w:spacing w:before="120" w:after="240" /&gt;
            &lt;w:ind w:left="1080" w:hanging="1080" /&gt;
            &lt;w:textAlignment w:val="auto" /&gt;
          &lt;/w:pPr&gt;
        &lt;/w:style&gt;
        &lt;w:style w:type="paragraph" w:customStyle="1" w:styleId="Heading4non-numbered"&gt;
          &lt;w:name w:val="Heading 4 (non-numbered)" /&gt;
          &lt;w:basedOn w:val="Heading4" /&gt;
          &lt;w:qFormat /&gt;
          &lt;w:pPr&gt;
            &lt;w:numPr&gt;
              &lt;w:ilvl w:val="0" /&gt;
              &lt;w:numId w:val="0" /&gt;
            &lt;/w:numPr&gt;
          &lt;/w:pPr&gt;
        &lt;/w:style&gt;
        &lt;w:style w:type="paragraph" w:customStyle="1" w:styleId="CPTExample"&gt;
          &lt;w:name w:val="CPT_Example" /&gt;
          &lt;w:basedOn w:val="Normal" /&gt;
          &lt;w:uiPriority w:val="1" /&gt;
          &lt;w:rPr&gt;
            &lt;w:rFonts w:ascii="Arial" w:eastAsia="Times New Roman" w:hAnsi="Arial" w:cs="Times New Roman" /&gt;
            &lt;w:i /&gt;
            &lt;w:color w:val="00B050" /&gt;
            &lt;w:sz w:val="20" /&gt;
            &lt;w:szCs w:val="20" /&gt;
          &lt;/w:rPr&gt;
        &lt;/w:style&gt;
        &lt;w:style w:type="character" w:customStyle="1" w:styleId="eop"&gt;
          &lt;w:name w:val="eop" /&gt;
          &lt;w:basedOn w:val="DefaultParagraphFont" /&gt;
        &lt;/w:style&gt;
        &lt;w:style w:type="numbering" w:styleId="111111"&gt;
          &lt;w:name w:val="Outline List 2" /&gt;
          &lt;w:basedOn w:val="NoList" /&gt;
          &lt;w:semiHidden /&gt;
          &lt;w:unhideWhenUsed /&gt;
          &lt;w:pPr&gt;
            &lt;w:numPr&gt;
              &lt;w:numId w:val="70" /&gt;
            &lt;/w:numPr&gt;
          &lt;/w:pPr&gt;
        &lt;/w:style&gt;
        &lt;w:style w:type="numbering" w:styleId="1ai"&gt;
          &lt;w:name w:val="Outline List 1" /&gt;
          &lt;w:basedOn w:val="NoList" /&gt;
          &lt;w:semiHidden /&gt;
          &lt;w:unhideWhenUsed /&gt;
          &lt;w:pPr&gt;
            &lt;w:numPr&gt;
              &lt;w:numId w:val="71" /&gt;
            &lt;/w:numPr&gt;
          &lt;/w:pPr&gt;
        &lt;/w:style&gt;
        &lt;w:style w:type="numbering" w:styleId="ArticleSection"&gt;
          &lt;w:name w:val="Outline List 3" /&gt;
          &lt;w:basedOn w:val="NoList" /&gt;
          &lt;w:semiHidden /&gt;
          &lt;w:unhideWhenUsed /&gt;
          &lt;w:pPr&gt;
            &lt;w:numPr&gt;
              &lt;w:numId w:val="72" /&gt;
            &lt;/w:numPr&gt;
          &lt;/w:pPr&gt;
        &lt;/w:style&gt;
        &lt;w:style w:type="paragraph" w:styleId="Bibliography"&gt;
          &lt;w:name w:val="Bibliography" /&gt;
          &lt;w:basedOn w:val="Normal" /&gt;
          &lt;w:next w:val="Normal" /&gt;
          &lt;w:uiPriority w:val="37" /&gt;
          &lt;w:semiHidden /&gt;
          &lt;w:unhideWhenUsed /&gt;
        &lt;/w:style&gt;
        &lt;w:style w:type="paragraph" w:styleId="BodyText2"&gt;
          &lt;w:name w:val="Body Text 2" /&gt;
          &lt;w:basedOn w:val="Normal" /&gt;
          &lt;w:link w:val="BodyText2Char" /&gt;
          &lt;w:semiHidden /&gt;
          &lt;w:unhideWhenUsed /&gt;
          &lt;w:pPr&gt;
            &lt;w:spacing w:line="480" w:lineRule="auto" /&gt;
          &lt;/w:pPr&gt;
        &lt;/w:style&gt;
        &lt;w:style w:type="character" w:customStyle="1" w:styleId="BodyText2Char"&gt;
          &lt;w:name w:val="Body Text 2 Char" /&gt;
          &lt;w:basedOn w:val="DefaultParagraphFont" /&gt;
          &lt;w:link w:val="BodyText2" /&gt;
          &lt;w:semiHidden /&gt;
          &lt;w:rPr&gt;
            &lt;w:rFonts w:eastAsia="Calibri" w:cs="Cordia New" /&gt;
            &lt;w:sz w:val="24" /&gt;
            &lt;w:szCs w:val="22" /&gt;
          &lt;/w:rPr&gt;
        &lt;/w:style&gt;
        &lt;w:style w:type="paragraph" w:styleId="BodyText3"&gt;
          &lt;w:name w:val="Body Text 3" /&gt;
          &lt;w:basedOn w:val="Normal" /&gt;
          &lt;w:link w:val="BodyText3Char" /&gt;
          &lt;w:semiHidden /&gt;
          &lt;w:unhideWhenUsed /&gt;
          &lt;w:rPr&gt;
            &lt;w:sz w:val="16" /&gt;
            &lt;w:szCs w:val="16" /&gt;
          &lt;/w:rPr&gt;
        &lt;/w:style&gt;
        &lt;w:style w:type="character" w:customStyle="1" w:styleId="BodyText3Char"&gt;
          &lt;w:name w:val="Body Text 3 Char" /&gt;
          &lt;w:basedOn w:val="DefaultParagraphFont" /&gt;
          &lt;w:link w:val="BodyText3" /&gt;
          &lt;w:semiHidden /&gt;
          &lt;w:rPr&gt;
            &lt;w:rFonts w:eastAsia="Calibri" w:cs="Cordia New" /&gt;
            &lt;w:sz w:val="16" /&gt;
            &lt;w:szCs w:val="16" /&gt;
          &lt;/w:rPr&gt;
        &lt;/w:style&gt;
        &lt;w:style w:type="paragraph" w:styleId="BodyTextIndent"&gt;
          &lt;w:name w:val="Body Text Indent" /&gt;
          &lt;w:basedOn w:val="Normal" /&gt;
          &lt;w:link w:val="BodyTextIndentChar" /&gt;
          &lt;w:semiHidden /&gt;
          &lt;w:unhideWhenUsed /&gt;
          &lt;w:pPr&gt;
            &lt;w:ind w:left="360" /&gt;
          &lt;/w:pPr&gt;
        &lt;/w:style&gt;
        &lt;w:style w:type="character" w:customStyle="1" w:styleId="BodyTextIndentChar"&gt;
          &lt;w:name w:val="Body Text Indent Char" /&gt;
          &lt;w:basedOn w:val="DefaultParagraphFont" /&gt;
          &lt;w:link w:val="BodyTextIndent" /&gt;
          &lt;w:semiHidden /&gt;
          &lt;w:rPr&gt;
            &lt;w:rFonts w:eastAsia="Calibri" w:cs="Cordia New" /&gt;
            &lt;w:sz w:val="24" /&gt;
            &lt;w:szCs w:val="22" /&gt;
          &lt;/w:rPr&gt;
        &lt;/w:style&gt;
        &lt;w:style w:type="paragraph" w:styleId="BodyTextFirstIndent2"&gt;
          &lt;w:name w:val="Body Text First Indent 2" /&gt;
          &lt;w:basedOn w:val="BodyTextIndent" /&gt;
          &lt;w:link w:val="BodyTextFirstIndent2Char" /&gt;
          &lt;w:semiHidden /&gt;
          &lt;w:unhideWhenUsed /&gt;
          &lt;w:pPr&gt;
            &lt;w:ind w:firstLine="360" /&gt;
          &lt;/w:pPr&gt;
        &lt;/w:style&gt;
        &lt;w:style w:type="character" w:customStyle="1" w:styleId="BodyTextFirstIndent2Char"&gt;
          &lt;w:name w:val="Body Text First Indent 2 Char" /&gt;
          &lt;w:basedOn w:val="BodyTextIndentChar" /&gt;
          &lt;w:link w:val="BodyTextFirstIndent2" /&gt;
          &lt;w:semiHidden /&gt;
          &lt;w:rPr&gt;
            &lt;w:rFonts w:eastAsia="Calibri" w:cs="Cordia New" /&gt;
            &lt;w:sz w:val="24" /&gt;
            &lt;w:szCs w:val="22" /&gt;
          &lt;/w:rPr&gt;
        &lt;/w:style&gt;
        &lt;w:style w:type="paragraph" w:styleId="BodyTextIndent2"&gt;
          &lt;w:name w:val="Body Text Indent 2" /&gt;
          &lt;w:basedOn w:val="Normal" /&gt;
          &lt;w:link w:val="BodyTextIndent2Char" /&gt;
          &lt;w:semiHidden /&gt;
          &lt;w:unhideWhenUsed /&gt;
          &lt;w:pPr&gt;
            &lt;w:spacing w:line="480" w:lineRule="auto" /&gt;
            &lt;w:ind w:left="360" /&gt;
          &lt;/w:pPr&gt;
        &lt;/w:style&gt;
        &lt;w:style w:type="character" w:customStyle="1" w:styleId="BodyTextIndent2Char"&gt;
          &lt;w:name w:val="Body Text Indent 2 Char" /&gt;
          &lt;w:basedOn w:val="DefaultParagraphFont" /&gt;
          &lt;w:link w:val="BodyTextIndent2" /&gt;
          &lt;w:semiHidden /&gt;
          &lt;w:rPr&gt;
            &lt;w:rFonts w:eastAsia="Calibri" w:cs="Cordia New" /&gt;
            &lt;w:sz w:val="24" /&gt;
            &lt;w:szCs w:val="22" /&gt;
          &lt;/w:rPr&gt;
        &lt;/w:style&gt;
        &lt;w:style w:type="paragraph" w:styleId="BodyTextIndent3"&gt;
          &lt;w:name w:val="Body Text Indent 3" /&gt;
          &lt;w:basedOn w:val="Normal" /&gt;
          &lt;w:link w:val="BodyTextIndent3Char" /&gt;
          &lt;w:semiHidden /&gt;
          &lt;w:unhideWhenUsed /&gt;
          &lt;w:pPr&gt;
            &lt;w:ind w:left="360" /&gt;
          &lt;/w:pPr&gt;
          &lt;w:rPr&gt;
            &lt;w:sz w:val="16" /&gt;
            &lt;w:szCs w:val="16" /&gt;
          &lt;/w:rPr&gt;
        &lt;/w:style&gt;
        &lt;w:style w:type="character" w:customStyle="1" w:styleId="BodyTextIndent3Char"&gt;
          &lt;w:name w:val="Body Text Indent 3 Char" /&gt;
          &lt;w:basedOn w:val="DefaultParagraphFont" /&gt;
          &lt;w:link w:val="BodyTextIndent3" /&gt;
          &lt;w:semiHidden /&gt;
          &lt;w:rPr&gt;
            &lt;w:rFonts w:eastAsia="Calibri" w:cs="Cordia New" /&gt;
            &lt;w:sz w:val="16" /&gt;
            &lt;w:szCs w:val="16" /&gt;
          &lt;/w:rPr&gt;
        &lt;/w:style&gt;
        &lt;w:style w:type="paragraph" w:styleId="Closing"&gt;
          &lt;w:name w:val="Closing" /&gt;
          &lt;w:basedOn w:val="Normal" /&gt;
          &lt;w:link w:val="ClosingChar" /&gt;
          &lt;w:semiHidden /&gt;
          &lt;w:unhideWhenUsed /&gt;
          &lt;w:pPr&gt;
            &lt;w:spacing w:before="0" w:after="0" w:line="240" w:lineRule="auto" /&gt;
            &lt;w:ind w:left="4320" /&gt;
          &lt;/w:pPr&gt;
        &lt;/w:style&gt;
        &lt;w:style w:type="character" w:customStyle="1" w:styleId="ClosingChar"&gt;
          &lt;w:name w:val="Closing Char" /&gt;
          &lt;w:basedOn w:val="DefaultParagraphFont" /&gt;
          &lt;w:link w:val="Closing" /&gt;
          &lt;w:semiHidden /&gt;
          &lt;w:rPr&gt;
            &lt;w:rFonts w:eastAsia="Calibri" w:cs="Cordia New" /&gt;
            &lt;w:sz w:val="24" /&gt;
            &lt;w:szCs w:val="22" /&gt;
          &lt;/w:rPr&gt;
        &lt;/w:style&gt;
        &lt;w:style w:type="table" w:styleId="ColorfulGrid"&gt;
          &lt;w:name w:val="Colorful Grid"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w:fill="CCCCCC" w:themeFill="text1" w:themeFillTint="33" /&gt;
          &lt;/w:tcPr&gt;
          &lt;w:tblStylePr w:type="firstRow"&gt;
            &lt;w:rPr&gt;
              &lt;w:b /&gt;
              &lt;w:bCs /&gt;
            &lt;/w:rPr&gt;
            &lt;w:tblPr /&gt;
            &lt;w:tcPr&gt;
              &lt;w:shd w:val="clear" w:color="auto" w:fill="999999" w:themeFill="text1" w:themeFillTint="66" /&gt;
            &lt;/w:tcPr&gt;
          &lt;/w:tblStylePr&gt;
          &lt;w:tblStylePr w:type="lastRow"&gt;
            &lt;w:rPr&gt;
              &lt;w:b /&gt;
              &lt;w:bCs /&gt;
              &lt;w:color w:val="000000" w:themeColor="text1" /&gt;
            &lt;/w:rPr&gt;
            &lt;w:tblPr /&gt;
            &lt;w:tcPr&gt;
              &lt;w:shd w:val="clear" w:color="auto" w:fill="999999" w:themeFill="text1" w:themeFillTint="66" /&gt;
            &lt;/w:tcPr&gt;
          &lt;/w:tblStylePr&gt;
          &lt;w:tblStylePr w:type="firstCol"&gt;
            &lt;w:rPr&gt;
              &lt;w:color w:val="FFFFFF" w:themeColor="background1" /&gt;
            &lt;/w:rPr&gt;
            &lt;w:tblPr /&gt;
            &lt;w:tcPr&gt;
              &lt;w:shd w:val="clear" w:color="auto" w:fill="000000" w:themeFill="text1" w:themeFillShade="BF" /&gt;
            &lt;/w:tcPr&gt;
          &lt;/w:tblStylePr&gt;
          &lt;w:tblStylePr w:type="lastCol"&gt;
            &lt;w:rPr&gt;
              &lt;w:color w:val="FFFFFF" w:themeColor="background1" /&gt;
            &lt;/w:rPr&gt;
            &lt;w:tblPr /&gt;
            &lt;w:tcPr&gt;
              &lt;w:shd w:val="clear" w:color="auto" w:fill="000000" w:themeFill="text1" w:themeFillShade="BF" /&gt;
            &lt;/w:tcPr&gt;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w:styleId="ColorfulGrid-Accent1"&gt;
          &lt;w:name w:val="Colorful Grid Accent 1"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w:fill="DBE5F1" w:themeFill="accent1" w:themeFillTint="33" /&gt;
          &lt;/w:tcPr&gt;
          &lt;w:tblStylePr w:type="firstRow"&gt;
            &lt;w:rPr&gt;
              &lt;w:b /&gt;
              &lt;w:bCs /&gt;
            &lt;/w:rPr&gt;
            &lt;w:tblPr /&gt;
            &lt;w:tcPr&gt;
              &lt;w:shd w:val="clear" w:color="auto" w:fill="B8CCE4" w:themeFill="accent1" w:themeFillTint="66" /&gt;
            &lt;/w:tcPr&gt;
          &lt;/w:tblStylePr&gt;
          &lt;w:tblStylePr w:type="lastRow"&gt;
            &lt;w:rPr&gt;
              &lt;w:b /&gt;
              &lt;w:bCs /&gt;
              &lt;w:color w:val="000000" w:themeColor="text1" /&gt;
            &lt;/w:rPr&gt;
            &lt;w:tblPr /&gt;
            &lt;w:tcPr&gt;
              &lt;w:shd w:val="clear" w:color="auto" w:fill="B8CCE4" w:themeFill="accent1" w:themeFillTint="66" /&gt;
            &lt;/w:tcPr&gt;
          &lt;/w:tblStylePr&gt;
          &lt;w:tblStylePr w:type="firstCol"&gt;
            &lt;w:rPr&gt;
              &lt;w:color w:val="FFFFFF" w:themeColor="background1" /&gt;
            &lt;/w:rPr&gt;
            &lt;w:tblPr /&gt;
            &lt;w:tcPr&gt;
              &lt;w:shd w:val="clear" w:color="auto" w:fill="365F91" w:themeFill="accent1" w:themeFillShade="BF" /&gt;
            &lt;/w:tcPr&gt;
          &lt;/w:tblStylePr&gt;
          &lt;w:tblStylePr w:type="lastCol"&gt;
            &lt;w:rPr&gt;
              &lt;w:color w:val="FFFFFF" w:themeColor="background1" /&gt;
            &lt;/w:rPr&gt;
            &lt;w:tblPr /&gt;
            &lt;w:tcPr&gt;
              &lt;w:shd w:val="clear" w:color="auto" w:fill="365F91" w:themeFill="accent1" w:themeFillShade="BF" /&gt;
            &lt;/w:tcPr&gt;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w:styleId="ColorfulGrid-Accent2"&gt;
          &lt;w:name w:val="Colorful Grid Accent 2"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w:fill="F2DBDB" w:themeFill="accent2" w:themeFillTint="33" /&gt;
          &lt;/w:tcPr&gt;
          &lt;w:tblStylePr w:type="firstRow"&gt;
            &lt;w:rPr&gt;
              &lt;w:b /&gt;
              &lt;w:bCs /&gt;
            &lt;/w:rPr&gt;
            &lt;w:tblPr /&gt;
            &lt;w:tcPr&gt;
              &lt;w:shd w:val="clear" w:color="auto" w:fill="E5B8B7" w:themeFill="accent2" w:themeFillTint="66" /&gt;
            &lt;/w:tcPr&gt;
          &lt;/w:tblStylePr&gt;
          &lt;w:tblStylePr w:type="lastRow"&gt;
            &lt;w:rPr&gt;
              &lt;w:b /&gt;
              &lt;w:bCs /&gt;
              &lt;w:color w:val="000000" w:themeColor="text1" /&gt;
            &lt;/w:rPr&gt;
            &lt;w:tblPr /&gt;
            &lt;w:tcPr&gt;
              &lt;w:shd w:val="clear" w:color="auto" w:fill="E5B8B7" w:themeFill="accent2" w:themeFillTint="66" /&gt;
            &lt;/w:tcPr&gt;
          &lt;/w:tblStylePr&gt;
          &lt;w:tblStylePr w:type="firstCol"&gt;
            &lt;w:rPr&gt;
              &lt;w:color w:val="FFFFFF" w:themeColor="background1" /&gt;
            &lt;/w:rPr&gt;
            &lt;w:tblPr /&gt;
            &lt;w:tcPr&gt;
              &lt;w:shd w:val="clear" w:color="auto" w:fill="943634" w:themeFill="accent2" w:themeFillShade="BF" /&gt;
            &lt;/w:tcPr&gt;
          &lt;/w:tblStylePr&gt;
          &lt;w:tblStylePr w:type="lastCol"&gt;
            &lt;w:rPr&gt;
              &lt;w:color w:val="FFFFFF" w:themeColor="background1" /&gt;
            &lt;/w:rPr&gt;
            &lt;w:tblPr /&gt;
            &lt;w:tcPr&gt;
              &lt;w:shd w:val="clear" w:color="auto" w:fill="943634" w:themeFill="accent2" w:themeFillShade="BF" /&gt;
            &lt;/w:tcPr&gt;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w:styleId="ColorfulGrid-Accent3"&gt;
          &lt;w:name w:val="Colorful Grid Accent 3"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w:fill="EAF1DD" w:themeFill="accent3" w:themeFillTint="33" /&gt;
          &lt;/w:tcPr&gt;
          &lt;w:tblStylePr w:type="firstRow"&gt;
            &lt;w:rPr&gt;
              &lt;w:b /&gt;
              &lt;w:bCs /&gt;
            &lt;/w:rPr&gt;
            &lt;w:tblPr /&gt;
            &lt;w:tcPr&gt;
              &lt;w:shd w:val="clear" w:color="auto" w:fill="D6E3BC" w:themeFill="accent3" w:themeFillTint="66" /&gt;
            &lt;/w:tcPr&gt;
          &lt;/w:tblStylePr&gt;
          &lt;w:tblStylePr w:type="lastRow"&gt;
            &lt;w:rPr&gt;
              &lt;w:b /&gt;
              &lt;w:bCs /&gt;
              &lt;w:color w:val="000000" w:themeColor="text1" /&gt;
            &lt;/w:rPr&gt;
            &lt;w:tblPr /&gt;
            &lt;w:tcPr&gt;
              &lt;w:shd w:val="clear" w:color="auto" w:fill="D6E3BC" w:themeFill="accent3" w:themeFillTint="66" /&gt;
            &lt;/w:tcPr&gt;
          &lt;/w:tblStylePr&gt;
          &lt;w:tblStylePr w:type="firstCol"&gt;
            &lt;w:rPr&gt;
              &lt;w:color w:val="FFFFFF" w:themeColor="background1" /&gt;
            &lt;/w:rPr&gt;
            &lt;w:tblPr /&gt;
            &lt;w:tcPr&gt;
              &lt;w:shd w:val="clear" w:color="auto" w:fill="76923C" w:themeFill="accent3" w:themeFillShade="BF" /&gt;
            &lt;/w:tcPr&gt;
          &lt;/w:tblStylePr&gt;
          &lt;w:tblStylePr w:type="lastCol"&gt;
            &lt;w:rPr&gt;
              &lt;w:color w:val="FFFFFF" w:themeColor="background1" /&gt;
            &lt;/w:rPr&gt;
            &lt;w:tblPr /&gt;
            &lt;w:tcPr&gt;
              &lt;w:shd w:val="clear" w:color="auto" w:fill="76923C" w:themeFill="accent3" w:themeFillShade="BF" /&gt;
            &lt;/w:tcPr&gt;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w:styleId="ColorfulGrid-Accent4"&gt;
          &lt;w:name w:val="Colorful Grid Accent 4"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w:fill="E5DFEC" w:themeFill="accent4" w:themeFillTint="33" /&gt;
          &lt;/w:tcPr&gt;
          &lt;w:tblStylePr w:type="firstRow"&gt;
            &lt;w:rPr&gt;
              &lt;w:b /&gt;
              &lt;w:bCs /&gt;
            &lt;/w:rPr&gt;
            &lt;w:tblPr /&gt;
            &lt;w:tcPr&gt;
              &lt;w:shd w:val="clear" w:color="auto" w:fill="CCC0D9" w:themeFill="accent4" w:themeFillTint="66" /&gt;
            &lt;/w:tcPr&gt;
          &lt;/w:tblStylePr&gt;
          &lt;w:tblStylePr w:type="lastRow"&gt;
            &lt;w:rPr&gt;
              &lt;w:b /&gt;
              &lt;w:bCs /&gt;
              &lt;w:color w:val="000000" w:themeColor="text1" /&gt;
            &lt;/w:rPr&gt;
            &lt;w:tblPr /&gt;
            &lt;w:tcPr&gt;
              &lt;w:shd w:val="clear" w:color="auto" w:fill="CCC0D9" w:themeFill="accent4" w:themeFillTint="66" /&gt;
            &lt;/w:tcPr&gt;
          &lt;/w:tblStylePr&gt;
          &lt;w:tblStylePr w:type="firstCol"&gt;
            &lt;w:rPr&gt;
              &lt;w:color w:val="FFFFFF" w:themeColor="background1" /&gt;
            &lt;/w:rPr&gt;
            &lt;w:tblPr /&gt;
            &lt;w:tcPr&gt;
              &lt;w:shd w:val="clear" w:color="auto" w:fill="5F497A" w:themeFill="accent4" w:themeFillShade="BF" /&gt;
            &lt;/w:tcPr&gt;
          &lt;/w:tblStylePr&gt;
          &lt;w:tblStylePr w:type="lastCol"&gt;
            &lt;w:rPr&gt;
              &lt;w:color w:val="FFFFFF" w:themeColor="background1" /&gt;
            &lt;/w:rPr&gt;
            &lt;w:tblPr /&gt;
            &lt;w:tcPr&gt;
              &lt;w:shd w:val="clear" w:color="auto" w:fill="5F497A" w:themeFill="accent4" w:themeFillShade="BF" /&gt;
            &lt;/w:tcPr&gt;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w:styleId="ColorfulGrid-Accent5"&gt;
          &lt;w:name w:val="Colorful Grid Accent 5"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w:fill="DAEEF3" w:themeFill="accent5" w:themeFillTint="33" /&gt;
          &lt;/w:tcPr&gt;
          &lt;w:tblStylePr w:type="firstRow"&gt;
            &lt;w:rPr&gt;
              &lt;w:b /&gt;
              &lt;w:bCs /&gt;
            &lt;/w:rPr&gt;
            &lt;w:tblPr /&gt;
            &lt;w:tcPr&gt;
              &lt;w:shd w:val="clear" w:color="auto" w:fill="B6DDE8" w:themeFill="accent5" w:themeFillTint="66" /&gt;
            &lt;/w:tcPr&gt;
          &lt;/w:tblStylePr&gt;
          &lt;w:tblStylePr w:type="lastRow"&gt;
            &lt;w:rPr&gt;
              &lt;w:b /&gt;
              &lt;w:bCs /&gt;
              &lt;w:color w:val="000000" w:themeColor="text1" /&gt;
            &lt;/w:rPr&gt;
            &lt;w:tblPr /&gt;
            &lt;w:tcPr&gt;
              &lt;w:shd w:val="clear" w:color="auto" w:fill="B6DDE8" w:themeFill="accent5" w:themeFillTint="66" /&gt;
            &lt;/w:tcPr&gt;
          &lt;/w:tblStylePr&gt;
          &lt;w:tblStylePr w:type="firstCol"&gt;
            &lt;w:rPr&gt;
              &lt;w:color w:val="FFFFFF" w:themeColor="background1" /&gt;
            &lt;/w:rPr&gt;
            &lt;w:tblPr /&gt;
            &lt;w:tcPr&gt;
              &lt;w:shd w:val="clear" w:color="auto" w:fill="31849B" w:themeFill="accent5" w:themeFillShade="BF" /&gt;
            &lt;/w:tcPr&gt;
          &lt;/w:tblStylePr&gt;
          &lt;w:tblStylePr w:type="lastCol"&gt;
            &lt;w:rPr&gt;
              &lt;w:color w:val="FFFFFF" w:themeColor="background1" /&gt;
            &lt;/w:rPr&gt;
            &lt;w:tblPr /&gt;
            &lt;w:tcPr&gt;
              &lt;w:shd w:val="clear" w:color="auto" w:fill="31849B" w:themeFill="accent5" w:themeFillShade="BF" /&gt;
            &lt;/w:tcPr&gt;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w:styleId="ColorfulGrid-Accent6"&gt;
          &lt;w:name w:val="Colorful Grid Accent 6" /&gt;
          &lt;w:basedOn w:val="TableNormal" /&gt;
          &lt;w:uiPriority w:val="73" /&gt;
          &lt;w:rPr&gt;
            &lt;w:color w:val="000000" w:themeColor="text1" /&gt;
          &lt;/w:rPr&gt;
          &lt;w:tblPr&gt;
            &lt;w:tblStyleRowBandSize w:val="1" /&gt;
            &lt;w:tblStyleColBandSize w:val="1" /&gt;
            &lt;w:tblBorders&gt;
              &lt;w:insideH w:val="single" w:sz="4" w:space="0" w:color="FFFFFF" w:themeColor="background1" /&gt;
            &lt;/w:tblBorders&gt;
          &lt;/w:tblPr&gt;
          &lt;w:tcPr&gt;
            &lt;w:shd w:val="clear" w:color="auto" w:fill="FDE9D9" w:themeFill="accent6" w:themeFillTint="33" /&gt;
          &lt;/w:tcPr&gt;
          &lt;w:tblStylePr w:type="firstRow"&gt;
            &lt;w:rPr&gt;
              &lt;w:b /&gt;
              &lt;w:bCs /&gt;
            &lt;/w:rPr&gt;
            &lt;w:tblPr /&gt;
            &lt;w:tcPr&gt;
              &lt;w:shd w:val="clear" w:color="auto" w:fill="FBD4B4" w:themeFill="accent6" w:themeFillTint="66" /&gt;
            &lt;/w:tcPr&gt;
          &lt;/w:tblStylePr&gt;
          &lt;w:tblStylePr w:type="lastRow"&gt;
            &lt;w:rPr&gt;
              &lt;w:b /&gt;
              &lt;w:bCs /&gt;
              &lt;w:color w:val="000000" w:themeColor="text1" /&gt;
            &lt;/w:rPr&gt;
            &lt;w:tblPr /&gt;
            &lt;w:tcPr&gt;
              &lt;w:shd w:val="clear" w:color="auto" w:fill="FBD4B4" w:themeFill="accent6" w:themeFillTint="66" /&gt;
            &lt;/w:tcPr&gt;
          &lt;/w:tblStylePr&gt;
          &lt;w:tblStylePr w:type="firstCol"&gt;
            &lt;w:rPr&gt;
              &lt;w:color w:val="FFFFFF" w:themeColor="background1" /&gt;
            &lt;/w:rPr&gt;
            &lt;w:tblPr /&gt;
            &lt;w:tcPr&gt;
              &lt;w:shd w:val="clear" w:color="auto" w:fill="E36C0A" w:themeFill="accent6" w:themeFillShade="BF" /&gt;
            &lt;/w:tcPr&gt;
          &lt;/w:tblStylePr&gt;
          &lt;w:tblStylePr w:type="lastCol"&gt;
            &lt;w:rPr&gt;
              &lt;w:color w:val="FFFFFF" w:themeColor="background1" /&gt;
            &lt;/w:rPr&gt;
            &lt;w:tblPr /&gt;
            &lt;w:tcPr&gt;
              &lt;w:shd w:val="clear" w:color="auto" w:fill="E36C0A" w:themeFill="accent6" w:themeFillShade="BF" /&gt;
            &lt;/w:tcPr&gt;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w:styleId="ColorfulList"&gt;
          &lt;w:name w:val="Colorful List" /&gt;
          &lt;w:basedOn w:val="TableNormal" /&gt;
          &lt;w:uiPriority w:val="72" /&gt;
          &lt;w:rPr&gt;
            &lt;w:color w:val="000000" w:themeColor="text1" /&gt;
          &lt;/w:rPr&gt;
          &lt;w:tblPr&gt;
            &lt;w:tblStyleRowBandSize w:val="1" /&gt;
            &lt;w:tblStyleColBandSize w:val="1" /&gt;
          &lt;/w:tblPr&gt;
          &lt;w:tcPr&gt;
            &lt;w:shd w:val="clear" w:color="auto" w:fill="E6E6E6" w:themeFill="text1"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w:fill="C0C0C0" w:themeFill="text1" w:themeFillTint="3F" /&gt;
            &lt;/w:tcPr&gt;
          &lt;/w:tblStylePr&gt;
          &lt;w:tblStylePr w:type="band1Horz"&gt;
            &lt;w:tblPr /&gt;
            &lt;w:tcPr&gt;
              &lt;w:shd w:val="clear" w:color="auto" w:fill="CCCCCC" w:themeFill="text1" w:themeFillTint="33" /&gt;
            &lt;/w:tcPr&gt;
          &lt;/w:tblStylePr&gt;
        &lt;/w:style&gt;
        &lt;w:style w:type="table" w:styleId="ColorfulList-Accent1"&gt;
          &lt;w:name w:val="Colorful List Accent 1" /&gt;
          &lt;w:basedOn w:val="TableNormal" /&gt;
          &lt;w:uiPriority w:val="72" /&gt;
          &lt;w:rPr&gt;
            &lt;w:color w:val="000000" w:themeColor="text1" /&gt;
          &lt;/w:rPr&gt;
          &lt;w:tblPr&gt;
            &lt;w:tblStyleRowBandSize w:val="1" /&gt;
            &lt;w:tblStyleColBandSize w:val="1" /&gt;
          &lt;/w:tblPr&gt;
          &lt;w:tcPr&gt;
            &lt;w:shd w:val="clear" w:color="auto" w:fill="EDF2F8" w:themeFill="accent1"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w:fill="D3DFEE" w:themeFill="accent1" w:themeFillTint="3F" /&gt;
            &lt;/w:tcPr&gt;
          &lt;/w:tblStylePr&gt;
          &lt;w:tblStylePr w:type="band1Horz"&gt;
            &lt;w:tblPr /&gt;
            &lt;w:tcPr&gt;
              &lt;w:shd w:val="clear" w:color="auto" w:fill="DBE5F1" w:themeFill="accent1" w:themeFillTint="33" /&gt;
            &lt;/w:tcPr&gt;
          &lt;/w:tblStylePr&gt;
        &lt;/w:style&gt;
        &lt;w:style w:type="table" w:styleId="ColorfulList-Accent2"&gt;
          &lt;w:name w:val="Colorful List Accent 2" /&gt;
          &lt;w:basedOn w:val="TableNormal" /&gt;
          &lt;w:uiPriority w:val="72" /&gt;
          &lt;w:rPr&gt;
            &lt;w:color w:val="000000" w:themeColor="text1" /&gt;
          &lt;/w:rPr&gt;
          &lt;w:tblPr&gt;
            &lt;w:tblStyleRowBandSize w:val="1" /&gt;
            &lt;w:tblStyleColBandSize w:val="1" /&gt;
          &lt;/w:tblPr&gt;
          &lt;w:tcPr&gt;
            &lt;w:shd w:val="clear" w:color="auto" w:fill="F8EDED" w:themeFill="accent2"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w:fill="9E3A38" w:themeFill="accent2" w:themeFillShade="CC" /&gt;
            &lt;/w:tcPr&gt;
          &lt;/w:tblStylePr&gt;
          &lt;w:tblStylePr w:type="lastRow"&gt;
            &lt;w:rPr&gt;
              &lt;w:b /&gt;
              &lt;w:bCs /&gt;
              &lt;w:color w:val="9E3A38" w:themeColor="accent2"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w:fill="EFD3D2" w:themeFill="accent2" w:themeFillTint="3F" /&gt;
            &lt;/w:tcPr&gt;
          &lt;/w:tblStylePr&gt;
          &lt;w:tblStylePr w:type="band1Horz"&gt;
            &lt;w:tblPr /&gt;
            &lt;w:tcPr&gt;
              &lt;w:shd w:val="clear" w:color="auto" w:fill="F2DBDB" w:themeFill="accent2" w:themeFillTint="33" /&gt;
            &lt;/w:tcPr&gt;
          &lt;/w:tblStylePr&gt;
        &lt;/w:style&gt;
        &lt;w:style w:type="table" w:styleId="ColorfulList-Accent3"&gt;
          &lt;w:name w:val="Colorful List Accent 3" /&gt;
          &lt;w:basedOn w:val="TableNormal" /&gt;
          &lt;w:uiPriority w:val="72" /&gt;
          &lt;w:rPr&gt;
            &lt;w:color w:val="000000" w:themeColor="text1" /&gt;
          &lt;/w:rPr&gt;
          &lt;w:tblPr&gt;
            &lt;w:tblStyleRowBandSize w:val="1" /&gt;
            &lt;w:tblStyleColBandSize w:val="1" /&gt;
          &lt;/w:tblPr&gt;
          &lt;w:tcPr&gt;
            &lt;w:shd w:val="clear" w:color="auto" w:fill="F5F8EE" w:themeFill="accent3"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w:fill="664E82" w:themeFill="accent4" w:themeFillShade="CC" /&gt;
            &lt;/w:tcPr&gt;
          &lt;/w:tblStylePr&gt;
          &lt;w:tblStylePr w:type="lastRow"&gt;
            &lt;w:rPr&gt;
              &lt;w:b /&gt;
              &lt;w:bCs /&gt;
              &lt;w:color w:val="664E82" w:themeColor="accent4"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w:fill="E6EED5" w:themeFill="accent3" w:themeFillTint="3F" /&gt;
            &lt;/w:tcPr&gt;
          &lt;/w:tblStylePr&gt;
          &lt;w:tblStylePr w:type="band1Horz"&gt;
            &lt;w:tblPr /&gt;
            &lt;w:tcPr&gt;
              &lt;w:shd w:val="clear" w:color="auto" w:fill="EAF1DD" w:themeFill="accent3" w:themeFillTint="33" /&gt;
            &lt;/w:tcPr&gt;
          &lt;/w:tblStylePr&gt;
        &lt;/w:style&gt;
        &lt;w:style w:type="table" w:styleId="ColorfulList-Accent4"&gt;
          &lt;w:name w:val="Colorful List Accent 4" /&gt;
          &lt;w:basedOn w:val="TableNormal" /&gt;
          &lt;w:uiPriority w:val="72" /&gt;
          &lt;w:rPr&gt;
            &lt;w:color w:val="000000" w:themeColor="text1" /&gt;
          &lt;/w:rPr&gt;
          &lt;w:tblPr&gt;
            &lt;w:tblStyleRowBandSize w:val="1" /&gt;
            &lt;w:tblStyleColBandSize w:val="1" /&gt;
          &lt;/w:tblPr&gt;
          &lt;w:tcPr&gt;
            &lt;w:shd w:val="clear" w:color="auto" w:fill="F2EFF6" w:themeFill="accent4"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w:fill="7E9C40" w:themeFill="accent3" w:themeFillShade="CC" /&gt;
            &lt;/w:tcPr&gt;
          &lt;/w:tblStylePr&gt;
          &lt;w:tblStylePr w:type="lastRow"&gt;
            &lt;w:rPr&gt;
              &lt;w:b /&gt;
              &lt;w:bCs /&gt;
              &lt;w:color w:val="7E9C40" w:themeColor="accent3"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w:fill="DFD8E8" w:themeFill="accent4" w:themeFillTint="3F" /&gt;
            &lt;/w:tcPr&gt;
          &lt;/w:tblStylePr&gt;
          &lt;w:tblStylePr w:type="band1Horz"&gt;
            &lt;w:tblPr /&gt;
            &lt;w:tcPr&gt;
              &lt;w:shd w:val="clear" w:color="auto" w:fill="E5DFEC" w:themeFill="accent4" w:themeFillTint="33" /&gt;
            &lt;/w:tcPr&gt;
          &lt;/w:tblStylePr&gt;
        &lt;/w:style&gt;
        &lt;w:style w:type="table" w:styleId="ColorfulList-Accent5"&gt;
          &lt;w:name w:val="Colorful List Accent 5" /&gt;
          &lt;w:basedOn w:val="TableNormal" /&gt;
          &lt;w:uiPriority w:val="72" /&gt;
          &lt;w:rPr&gt;
            &lt;w:color w:val="000000" w:themeColor="text1" /&gt;
          &lt;/w:rPr&gt;
          &lt;w:tblPr&gt;
            &lt;w:tblStyleRowBandSize w:val="1" /&gt;
            &lt;w:tblStyleColBandSize w:val="1" /&gt;
          &lt;/w:tblPr&gt;
          &lt;w:tcPr&gt;
            &lt;w:shd w:val="clear" w:color="auto" w:fill="EDF6F9" w:themeFill="accent5"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w:fill="F2730A" w:themeFill="accent6" w:themeFillShade="CC" /&gt;
            &lt;/w:tcPr&gt;
          &lt;/w:tblStylePr&gt;
          &lt;w:tblStylePr w:type="lastRow"&gt;
            &lt;w:rPr&gt;
              &lt;w:b /&gt;
              &lt;w:bCs /&gt;
              &lt;w:color w:val="F2730A" w:themeColor="accent6"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w:fill="D2EAF1" w:themeFill="accent5" w:themeFillTint="3F" /&gt;
            &lt;/w:tcPr&gt;
          &lt;/w:tblStylePr&gt;
          &lt;w:tblStylePr w:type="band1Horz"&gt;
            &lt;w:tblPr /&gt;
            &lt;w:tcPr&gt;
              &lt;w:shd w:val="clear" w:color="auto" w:fill="DAEEF3" w:themeFill="accent5" w:themeFillTint="33" /&gt;
            &lt;/w:tcPr&gt;
          &lt;/w:tblStylePr&gt;
        &lt;/w:style&gt;
        &lt;w:style w:type="table" w:styleId="ColorfulList-Accent6"&gt;
          &lt;w:name w:val="Colorful List Accent 6" /&gt;
          &lt;w:basedOn w:val="TableNormal" /&gt;
          &lt;w:uiPriority w:val="72" /&gt;
          &lt;w:rPr&gt;
            &lt;w:color w:val="000000" w:themeColor="text1" /&gt;
          &lt;/w:rPr&gt;
          &lt;w:tblPr&gt;
            &lt;w:tblStyleRowBandSize w:val="1" /&gt;
            &lt;w:tblStyleColBandSize w:val="1" /&gt;
          &lt;/w:tblPr&gt;
          &lt;w:tcPr&gt;
            &lt;w:shd w:val="clear" w:color="auto" w:fill="FEF4EC" w:themeFill="accent6" w:themeFillTint="19" /&gt;
          &lt;/w:tcPr&gt;
          &lt;w:tblStylePr w:type="firstRow"&gt;
            &lt;w:rPr&gt;
              &lt;w:b /&gt;
              &lt;w:bCs /&gt;
              &lt;w:color w:val="FFFFFF" w:themeColor="background1" /&gt;
            &lt;/w:rPr&gt;
            &lt;w:tblPr /&gt;
            &lt;w:tcPr&gt;
              &lt;w:tcBorders&gt;
                &lt;w:bottom w:val="single" w:sz="12" w:space="0" w:color="FFFFFF" w:themeColor="background1" /&gt;
              &lt;/w:tcBorders&gt;
              &lt;w:shd w:val="clear" w:color="auto" w:fill="348DA5" w:themeFill="accent5" w:themeFillShade="CC" /&gt;
            &lt;/w:tcPr&gt;
          &lt;/w:tblStylePr&gt;
          &lt;w:tblStylePr w:type="lastRow"&gt;
            &lt;w:rPr&gt;
              &lt;w:b /&gt;
              &lt;w:bCs /&gt;
              &lt;w:color w:val="348DA5" w:themeColor="accent5" w:themeShade="CC" /&gt;
            &lt;/w:rPr&gt;
            &lt;w:tblPr /&gt;
            &lt;w:tcPr&gt;
              &lt;w:tcBorders&gt;
                &lt;w:top w:val="single" w:sz="12" w:space="0" w:color="000000" w:themeColor="text1" /&gt;
              &lt;/w:tcBorders&gt;
              &lt;w:shd w:val="clear" w:color="auto" w:fill="FFFFFF" w:themeFill="background1" /&gt;
            &lt;/w:tcPr&gt;
          &lt;/w:tblStylePr&gt;
          &lt;w:tblStylePr w:type="firstCol"&gt;
            &lt;w:rPr&gt;
              &lt;w:b /&gt;
              &lt;w:bCs /&gt;
            &lt;/w:rPr&gt;
          &lt;/w:tblStylePr&gt;
          &lt;w:tblStylePr w:type="lastCol"&gt;
            &lt;w:rPr&gt;
              &lt;w:b /&gt;
              &lt;w:bCs /&gt;
            &lt;/w:rPr&gt;
          &lt;/w:tblStylePr&gt;
          &lt;w:tblStylePr w:type="band1Vert"&gt;
            &lt;w:tblPr /&gt;
            &lt;w:tcPr&gt;
              &lt;w:tcBorders&gt;
                &lt;w:top w:val="nil" /&gt;
                &lt;w:left w:val="nil" /&gt;
                &lt;w:bottom w:val="nil" /&gt;
                &lt;w:right w:val="nil" /&gt;
                &lt;w:insideH w:val="nil" /&gt;
                &lt;w:insideV w:val="nil" /&gt;
              &lt;/w:tcBorders&gt;
              &lt;w:shd w:val="clear" w:color="auto" w:fill="FDE4D0" w:themeFill="accent6" w:themeFillTint="3F" /&gt;
            &lt;/w:tcPr&gt;
          &lt;/w:tblStylePr&gt;
          &lt;w:tblStylePr w:type="band1Horz"&gt;
            &lt;w:tblPr /&gt;
            &lt;w:tcPr&gt;
              &lt;w:shd w:val="clear" w:color="auto" w:fill="FDE9D9" w:themeFill="accent6" w:themeFillTint="33" /&gt;
            &lt;/w:tcPr&gt;
          &lt;/w:tblStylePr&gt;
        &lt;/w:style&gt;
        &lt;w:style w:type="table" w:styleId="ColorfulShading"&gt;
          &lt;w:name w:val="Colorful Shading"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w:color="000000" w:themeColor="text1" /&gt;
              &lt;w:bottom w:val="single" w:sz="4" w:space="0" w:color="000000" w:themeColor="text1" /&gt;
              &lt;w:right w:val="single" w:sz="4" w:space="0" w:color="000000" w:themeColor="text1" /&gt;
              &lt;w:insideH w:val="single" w:sz="4" w:space="0" w:color="FFFFFF" w:themeColor="background1" /&gt;
              &lt;w:insideV w:val="single" w:sz="4" w:space="0" w:color="FFFFFF" w:themeColor="background1" /&gt;
            &lt;/w:tblBorders&gt;
          &lt;/w:tblPr&gt;
          &lt;w:tcPr&gt;
            &lt;w:shd w:val="clear" w:color="auto" w:fill="E6E6E6" w:themeFill="text1"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w:fill="000000" w:themeFill="text1"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w:color="000000" w:themeColor="text1" w:themeShade="99" /&gt;
                &lt;w:insideV w:val="nil" /&gt;
              &lt;/w:tcBorders&gt;
              &lt;w:shd w:val="clear" w:color="auto" w:fill="000000" w:themeFill="text1"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w:type="band1Vert"&gt;
            &lt;w:tblPr /&gt;
            &lt;w:tcPr&gt;
              &lt;w:shd w:val="clear" w:color="auto" w:fill="999999" w:themeFill="text1" w:themeFillTint="66" /&gt;
            &lt;/w:tcPr&gt;
          &lt;/w:tblStylePr&gt;
          &lt;w:tblStylePr w:type="band1Horz"&gt;
            &lt;w:tblPr /&gt;
            &lt;w:tcPr&gt;
              &lt;w:shd w:val="clear" w:color="auto" w:fill="808080" w:themeFill="text1"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w:styleId="ColorfulShading-Accent1"&gt;
          &lt;w:name w:val="Colorful Shading Accent 1"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w:color="4F81BD" w:themeColor="accent1" /&gt;
              &lt;w:bottom w:val="single" w:sz="4" w:space="0" w:color="4F81BD" w:themeColor="accent1" /&gt;
              &lt;w:right w:val="single" w:sz="4" w:space="0" w:color="4F81BD" w:themeColor="accent1" /&gt;
              &lt;w:insideH w:val="single" w:sz="4" w:space="0" w:color="FFFFFF" w:themeColor="background1" /&gt;
              &lt;w:insideV w:val="single" w:sz="4" w:space="0" w:color="FFFFFF" w:themeColor="background1" /&gt;
            &lt;/w:tblBorders&gt;
          &lt;/w:tblPr&gt;
          &lt;w:tcPr&gt;
            &lt;w:shd w:val="clear" w:color="auto" w:fill="EDF2F8" w:themeFill="accent1"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w:fill="2C4C74" w:themeFill="accent1"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w:color="2C4C74" w:themeColor="accent1" w:themeShade="99" /&gt;
                &lt;w:insideV w:val="nil" /&gt;
              &lt;/w:tcBorders&gt;
              &lt;w:shd w:val="clear" w:color="auto" w:fill="2C4C74" w:themeFill="accent1"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w:fill="2C4C74" w:themeFill="accent1" w:themeFillShade="99" /&gt;
            &lt;/w:tcPr&gt;
          &lt;/w:tblStylePr&gt;
          &lt;w:tblStylePr w:type="band1Vert"&gt;
            &lt;w:tblPr /&gt;
            &lt;w:tcPr&gt;
              &lt;w:shd w:val="clear" w:color="auto" w:fill="B8CCE4" w:themeFill="accent1" w:themeFillTint="66" /&gt;
            &lt;/w:tcPr&gt;
          &lt;/w:tblStylePr&gt;
          &lt;w:tblStylePr w:type="band1Horz"&gt;
            &lt;w:tblPr /&gt;
            &lt;w:tcPr&gt;
              &lt;w:shd w:val="clear" w:color="auto" w:fill="A7BFDE" w:themeFill="accent1"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w:styleId="ColorfulShading-Accent2"&gt;
          &lt;w:name w:val="Colorful Shading Accent 2" /&gt;
          &lt;w:basedOn w:val="TableNormal" /&gt;
          &lt;w:uiPriority w:val="71" /&gt;
          &lt;w:rPr&gt;
            &lt;w:color w:val="000000" w:themeColor="text1" /&gt;
          &lt;/w:rPr&gt;
          &lt;w:tblPr&gt;
            &lt;w:tblStyleRowBandSize w:val="1" /&gt;
            &lt;w:tblStyleColBandSize w:val="1" /&gt;
            &lt;w:tblBorders&gt;
              &lt;w:top w:val="single" w:sz="24" w:space="0" w:color="C0504D" w:themeColor="accent2" /&gt;
              &lt;w:left w:val="single" w:sz="4" w:space="0" w:color="C0504D" w:themeColor="accent2" /&gt;
              &lt;w:bottom w:val="single" w:sz="4" w:space="0" w:color="C0504D" w:themeColor="accent2" /&gt;
              &lt;w:right w:val="single" w:sz="4" w:space="0" w:color="C0504D" w:themeColor="accent2" /&gt;
              &lt;w:insideH w:val="single" w:sz="4" w:space="0" w:color="FFFFFF" w:themeColor="background1" /&gt;
              &lt;w:insideV w:val="single" w:sz="4" w:space="0" w:color="FFFFFF" w:themeColor="background1" /&gt;
            &lt;/w:tblBorders&gt;
          &lt;/w:tblPr&gt;
          &lt;w:tcPr&gt;
            &lt;w:shd w:val="clear" w:color="auto" w:fill="F8EDED" w:themeFill="accent2" w:themeFillTint="19" /&gt;
          &lt;/w:tcPr&gt;
          &lt;w:tblStylePr w:type="firstRow"&gt;
            &lt;w:rPr&gt;
              &lt;w:b /&gt;
              &lt;w:bCs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w:fill="772C2A" w:themeFill="accent2"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w:color="772C2A" w:themeColor="accent2" w:themeShade="99" /&gt;
                &lt;w:insideV w:val="nil" /&gt;
              &lt;/w:tcBorders&gt;
              &lt;w:shd w:val="clear" w:color="auto" w:fill="772C2A" w:themeFill="accent2"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w:fill="772C2A" w:themeFill="accent2" w:themeFillShade="99" /&gt;
            &lt;/w:tcPr&gt;
          &lt;/w:tblStylePr&gt;
          &lt;w:tblStylePr w:type="band1Vert"&gt;
            &lt;w:tblPr /&gt;
            &lt;w:tcPr&gt;
              &lt;w:shd w:val="clear" w:color="auto" w:fill="E5B8B7" w:themeFill="accent2" w:themeFillTint="66" /&gt;
            &lt;/w:tcPr&gt;
          &lt;/w:tblStylePr&gt;
          &lt;w:tblStylePr w:type="band1Horz"&gt;
            &lt;w:tblPr /&gt;
            &lt;w:tcPr&gt;
              &lt;w:shd w:val="clear" w:color="auto" w:fill="DFA7A6" w:themeFill="accent2"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w:styleId="ColorfulShading-Accent3"&gt;
          &lt;w:name w:val="Colorful Shading Accent 3" /&gt;
          &lt;w:basedOn w:val="TableNormal" /&gt;
          &lt;w:uiPriority w:val="71" /&gt;
          &lt;w:rPr&gt;
            &lt;w:color w:val="000000" w:themeColor="text1" /&gt;
          &lt;/w:rPr&gt;
          &lt;w:tblPr&gt;
            &lt;w:tblStyleRowBandSize w:val="1" /&gt;
            &lt;w:tblStyleColBandSize w:val="1" /&gt;
            &lt;w:tblBorders&gt;
              &lt;w:top w:val="single" w:sz="24" w:space="0" w:color="8064A2" w:themeColor="accent4" /&gt;
              &lt;w:left w:val="single" w:sz="4" w:space="0" w:color="9BBB59" w:themeColor="accent3" /&gt;
              &lt;w:bottom w:val="single" w:sz="4" w:space="0" w:color="9BBB59" w:themeColor="accent3" /&gt;
              &lt;w:right w:val="single" w:sz="4" w:space="0" w:color="9BBB59" w:themeColor="accent3" /&gt;
              &lt;w:insideH w:val="single" w:sz="4" w:space="0" w:color="FFFFFF" w:themeColor="background1" /&gt;
              &lt;w:insideV w:val="single" w:sz="4" w:space="0" w:color="FFFFFF" w:themeColor="background1" /&gt;
            &lt;/w:tblBorders&gt;
          &lt;/w:tblPr&gt;
          &lt;w:tcPr&gt;
            &lt;w:shd w:val="clear" w:color="auto" w:fill="F5F8EE" w:themeFill="accent3" w:themeFillTint="19" /&gt;
          &lt;/w:tcPr&gt;
          &lt;w:tblStylePr w:type="firstRow"&gt;
            &lt;w:rPr&gt;
              &lt;w:b /&gt;
              &lt;w:bCs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w:fill="5E7530" w:themeFill="accent3"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w:color="5E7530" w:themeColor="accent3" w:themeShade="99" /&gt;
                &lt;w:insideV w:val="nil" /&gt;
              &lt;/w:tcBorders&gt;
              &lt;w:shd w:val="clear" w:color="auto" w:fill="5E7530" w:themeFill="accent3"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w:fill="5E7530" w:themeFill="accent3" w:themeFillShade="99" /&gt;
            &lt;/w:tcPr&gt;
          &lt;/w:tblStylePr&gt;
          &lt;w:tblStylePr w:type="band1Vert"&gt;
            &lt;w:tblPr /&gt;
            &lt;w:tcPr&gt;
              &lt;w:shd w:val="clear" w:color="auto" w:fill="D6E3BC" w:themeFill="accent3" w:themeFillTint="66" /&gt;
            &lt;/w:tcPr&gt;
          &lt;/w:tblStylePr&gt;
          &lt;w:tblStylePr w:type="band1Horz"&gt;
            &lt;w:tblPr /&gt;
            &lt;w:tcPr&gt;
              &lt;w:shd w:val="clear" w:color="auto" w:fill="CDDDAC" w:themeFill="accent3" w:themeFillTint="7F" /&gt;
            &lt;/w:tcPr&gt;
          &lt;/w:tblStylePr&gt;
        &lt;/w:style&gt;
        &lt;w:style w:type="table" w:styleId="ColorfulShading-Accent4"&gt;
          &lt;w:name w:val="Colorful Shading Accent 4" /&gt;
          &lt;w:basedOn w:val="TableNormal" /&gt;
          &lt;w:uiPriority w:val="71" /&gt;
          &lt;w:rPr&gt;
            &lt;w:color w:val="000000" w:themeColor="text1" /&gt;
          &lt;/w:rPr&gt;
          &lt;w:tblPr&gt;
            &lt;w:tblStyleRowBandSize w:val="1" /&gt;
            &lt;w:tblStyleColBandSize w:val="1" /&gt;
            &lt;w:tblBorders&gt;
              &lt;w:top w:val="single" w:sz="24" w:space="0" w:color="9BBB59" w:themeColor="accent3" /&gt;
              &lt;w:left w:val="single" w:sz="4" w:space="0" w:color="8064A2" w:themeColor="accent4" /&gt;
              &lt;w:bottom w:val="single" w:sz="4" w:space="0" w:color="8064A2" w:themeColor="accent4" /&gt;
              &lt;w:right w:val="single" w:sz="4" w:space="0" w:color="8064A2" w:themeColor="accent4" /&gt;
              &lt;w:insideH w:val="single" w:sz="4" w:space="0" w:color="FFFFFF" w:themeColor="background1" /&gt;
              &lt;w:insideV w:val="single" w:sz="4" w:space="0" w:color="FFFFFF" w:themeColor="background1" /&gt;
            &lt;/w:tblBorders&gt;
          &lt;/w:tblPr&gt;
          &lt;w:tcPr&gt;
            &lt;w:shd w:val="clear" w:color="auto" w:fill="F2EFF6" w:themeFill="accent4" w:themeFillTint="19" /&gt;
          &lt;/w:tcPr&gt;
          &lt;w:tblStylePr w:type="firstRow"&gt;
            &lt;w:rPr&gt;
              &lt;w:b /&gt;
              &lt;w:bCs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w:fill="4C3B62" w:themeFill="accent4"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w:color="4C3B62" w:themeColor="accent4" w:themeShade="99" /&gt;
                &lt;w:insideV w:val="nil" /&gt;
              &lt;/w:tcBorders&gt;
              &lt;w:shd w:val="clear" w:color="auto" w:fill="4C3B62" w:themeFill="accent4"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w:fill="4C3B62" w:themeFill="accent4" w:themeFillShade="99" /&gt;
            &lt;/w:tcPr&gt;
          &lt;/w:tblStylePr&gt;
          &lt;w:tblStylePr w:type="band1Vert"&gt;
            &lt;w:tblPr /&gt;
            &lt;w:tcPr&gt;
              &lt;w:shd w:val="clear" w:color="auto" w:fill="CCC0D9" w:themeFill="accent4" w:themeFillTint="66" /&gt;
            &lt;/w:tcPr&gt;
          &lt;/w:tblStylePr&gt;
          &lt;w:tblStylePr w:type="band1Horz"&gt;
            &lt;w:tblPr /&gt;
            &lt;w:tcPr&gt;
              &lt;w:shd w:val="clear" w:color="auto" w:fill="BFB1D0" w:themeFill="accent4"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w:styleId="ColorfulShading-Accent5"&gt;
          &lt;w:name w:val="Colorful Shading Accent 5" /&gt;
          &lt;w:basedOn w:val="TableNormal" /&gt;
          &lt;w:uiPriority w:val="71" /&gt;
          &lt;w:rPr&gt;
            &lt;w:color w:val="000000" w:themeColor="text1" /&gt;
          &lt;/w:rPr&gt;
          &lt;w:tblPr&gt;
            &lt;w:tblStyleRowBandSize w:val="1" /&gt;
            &lt;w:tblStyleColBandSize w:val="1" /&gt;
            &lt;w:tblBorders&gt;
              &lt;w:top w:val="single" w:sz="24" w:space="0" w:color="F79646" w:themeColor="accent6" /&gt;
              &lt;w:left w:val="single" w:sz="4" w:space="0" w:color="4BACC6" w:themeColor="accent5" /&gt;
              &lt;w:bottom w:val="single" w:sz="4" w:space="0" w:color="4BACC6" w:themeColor="accent5" /&gt;
              &lt;w:right w:val="single" w:sz="4" w:space="0" w:color="4BACC6" w:themeColor="accent5" /&gt;
              &lt;w:insideH w:val="single" w:sz="4" w:space="0" w:color="FFFFFF" w:themeColor="background1" /&gt;
              &lt;w:insideV w:val="single" w:sz="4" w:space="0" w:color="FFFFFF" w:themeColor="background1" /&gt;
            &lt;/w:tblBorders&gt;
          &lt;/w:tblPr&gt;
          &lt;w:tcPr&gt;
            &lt;w:shd w:val="clear" w:color="auto" w:fill="EDF6F9" w:themeFill="accent5" w:themeFillTint="19" /&gt;
          &lt;/w:tcPr&gt;
          &lt;w:tblStylePr w:type="firstRow"&gt;
            &lt;w:rPr&gt;
              &lt;w:b /&gt;
              &lt;w:bCs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w:fill="276A7C" w:themeFill="accent5"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w:color="276A7C" w:themeColor="accent5" w:themeShade="99" /&gt;
                &lt;w:insideV w:val="nil" /&gt;
              &lt;/w:tcBorders&gt;
              &lt;w:shd w:val="clear" w:color="auto" w:fill="276A7C" w:themeFill="accent5"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w:fill="276A7C" w:themeFill="accent5" w:themeFillShade="99" /&gt;
            &lt;/w:tcPr&gt;
          &lt;/w:tblStylePr&gt;
          &lt;w:tblStylePr w:type="band1Vert"&gt;
            &lt;w:tblPr /&gt;
            &lt;w:tcPr&gt;
              &lt;w:shd w:val="clear" w:color="auto" w:fill="B6DDE8" w:themeFill="accent5" w:themeFillTint="66" /&gt;
            &lt;/w:tcPr&gt;
          &lt;/w:tblStylePr&gt;
          &lt;w:tblStylePr w:type="band1Horz"&gt;
            &lt;w:tblPr /&gt;
            &lt;w:tcPr&gt;
              &lt;w:shd w:val="clear" w:color="auto" w:fill="A5D5E2" w:themeFill="accent5"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w:styleId="ColorfulShading-Accent6"&gt;
          &lt;w:name w:val="Colorful Shading Accent 6" /&gt;
          &lt;w:basedOn w:val="TableNormal" /&gt;
          &lt;w:uiPriority w:val="71" /&gt;
          &lt;w:rPr&gt;
            &lt;w:color w:val="000000" w:themeColor="text1" /&gt;
          &lt;/w:rPr&gt;
          &lt;w:tblPr&gt;
            &lt;w:tblStyleRowBandSize w:val="1" /&gt;
            &lt;w:tblStyleColBandSize w:val="1" /&gt;
            &lt;w:tblBorders&gt;
              &lt;w:top w:val="single" w:sz="24" w:space="0" w:color="4BACC6" w:themeColor="accent5" /&gt;
              &lt;w:left w:val="single" w:sz="4" w:space="0" w:color="F79646" w:themeColor="accent6" /&gt;
              &lt;w:bottom w:val="single" w:sz="4" w:space="0" w:color="F79646" w:themeColor="accent6" /&gt;
              &lt;w:right w:val="single" w:sz="4" w:space="0" w:color="F79646" w:themeColor="accent6" /&gt;
              &lt;w:insideH w:val="single" w:sz="4" w:space="0" w:color="FFFFFF" w:themeColor="background1" /&gt;
              &lt;w:insideV w:val="single" w:sz="4" w:space="0" w:color="FFFFFF" w:themeColor="background1" /&gt;
            &lt;/w:tblBorders&gt;
          &lt;/w:tblPr&gt;
          &lt;w:tcPr&gt;
            &lt;w:shd w:val="clear" w:color="auto" w:fill="FEF4EC" w:themeFill="accent6" w:themeFillTint="19" /&gt;
          &lt;/w:tcPr&gt;
          &lt;w:tblStylePr w:type="firstRow"&gt;
            &lt;w:rPr&gt;
              &lt;w:b /&gt;
              &lt;w:bCs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&lt;w:rPr&gt;
              &lt;w:b /&gt;
              &lt;w:bCs /&gt;
              &lt;w:color w:val="FFFFFF" w:themeColor="background1" /&gt;
            &lt;/w:rPr&gt;
            &lt;w:tblPr /&gt;
            &lt;w:tcPr&gt;
              &lt;w:tcBorders&gt;
                &lt;w:top w:val="single" w:sz="6" w:space="0" w:color="FFFFFF" w:themeColor="background1" /&gt;
              &lt;/w:tcBorders&gt;
              &lt;w:shd w:val="clear" w:color="auto" w:fill="B65608" w:themeFill="accent6" w:themeFillShade="99" /&gt;
            &lt;/w:tcPr&gt;
          &lt;/w:tblStylePr&gt;
          &lt;w:tblStylePr w:type="firstCol"&gt;
            &lt;w:rPr&gt;
              &lt;w:color w:val="FFFFFF" w:themeColor="background1" /&gt;
            &lt;/w:rPr&gt;
            &lt;w:tblPr /&gt;
            &lt;w:tcPr&gt;
              &lt;w:tcBorders&gt;
                &lt;w:top w:val="nil" /&gt;
                &lt;w:left w:val="nil" /&gt;
                &lt;w:bottom w:val="nil" /&gt;
                &lt;w:right w:val="nil" /&gt;
                &lt;w:insideH w:val="single" w:sz="4" w:space="0" w:color="B65608" w:themeColor="accent6" w:themeShade="99" /&gt;
                &lt;w:insideV w:val="nil" /&gt;
              &lt;/w:tcBorders&gt;
              &lt;w:shd w:val="clear" w:color="auto" w:fill="B65608" w:themeFill="accent6" w:themeFillShade="99" /&gt;
            &lt;/w:tcPr&gt;
          &lt;/w:tblStylePr&gt;
          &lt;w:tblStylePr w:type="lastCol"&gt;
            &lt;w:rPr&gt;
              &lt;w:color w:val="FFFFFF" w:themeColor="background1" /&gt;
            &lt;/w:rPr&gt;
            &lt;w:tblPr /&gt;
            &lt;w:tcPr&gt;
              &lt;w:tcBorders&gt;
                &lt;w:top w:val="nil" /&gt;
                &lt;w:left w:val="nil" /&gt;
                &lt;w:bottom w:val="nil" /&gt;
                &lt;w:right w:val="nil" /&gt;
                &lt;w:insideH w:val="nil" /&gt;
                &lt;w:insideV w:val="nil" /&gt;
              &lt;/w:tcBorders&gt;
              &lt;w:shd w:val="clear" w:color="auto" w:fill="B65608" w:themeFill="accent6" w:themeFillShade="99" /&gt;
            &lt;/w:tcPr&gt;
          &lt;/w:tblStylePr&gt;
          &lt;w:tblStylePr w:type="band1Vert"&gt;
            &lt;w:tblPr /&gt;
            &lt;w:tcPr&gt;
              &lt;w:shd w:val="clear" w:color="auto" w:fill="FBD4B4" w:themeFill="accent6" w:themeFillTint="66" /&gt;
            &lt;/w:tcPr&gt;
          &lt;/w:tblStylePr&gt;
          &lt;w:tblStylePr w:type="band1Horz"&gt;
            &lt;w:tblPr /&gt;
            &lt;w:tcPr&gt;
              &lt;w:shd w:val="clear" w:color="auto" w:fill="FBCAA2" w:themeFill="accent6" w:themeFillTint="7F" /&gt;
            &lt;/w:tcPr&gt;
          &lt;/w:tblStylePr&gt;
          &lt;w:tblStylePr w:type="neCell"&gt;
            &lt;w:rPr&gt;
              &lt;w:color w:val="000000" w:themeColor="text1" /&gt;
            &lt;/w:rPr&gt;
          &lt;/w:tblStylePr&gt;
          &lt;w:tblStylePr w:type="nwCell"&gt;
            &lt;w:rPr&gt;
              &lt;w:color w:val="000000" w:themeColor="text1" /&gt;
            &lt;/w:rPr&gt;
          &lt;/w:tblStylePr&gt;
        &lt;/w:style&gt;
        &lt;w:style w:type="table" w:styleId="DarkList"&gt;
          &lt;w:name w:val="Dark List" /&gt;
          &lt;w:basedOn w:val="TableNormal" /&gt;
          &lt;w:uiPriority w:val="70" /&gt;
          &lt;w:rPr&gt;
            &lt;w:color w:val="FFFFFF" w:themeColor="background1" /&gt;
          &lt;/w:rPr&gt;
          &lt;w:tblPr&gt;
            &lt;w:tblStyleRowBandSize w:val="1" /&gt;
            &lt;w:tblStyleColBandSize w:val="1" /&gt;
          &lt;/w:tblPr&gt;
          &lt;w:tcPr&gt;
            &lt;w:shd w:val="clear" w:color="auto" w:fill="000000" w:themeFill="text1"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w:fill="000000" w:themeFill="text1"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w:fill="000000" w:themeFill="text1"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w:fill="000000" w:themeFill="text1"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w:fill="000000" w:themeFill="text1" w:themeFillShade="BF" /&gt;
            &lt;/w:tcPr&gt;
          &lt;/w:tblStylePr&gt;
        &lt;/w:style&gt;
        &lt;w:style w:type="table" w:styleId="DarkList-Accent1"&gt;
          &lt;w:name w:val="Dark List Accent 1" /&gt;
          &lt;w:basedOn w:val="TableNormal" /&gt;
          &lt;w:uiPriority w:val="70" /&gt;
          &lt;w:rPr&gt;
            &lt;w:color w:val="FFFFFF" w:themeColor="background1" /&gt;
          &lt;/w:rPr&gt;
          &lt;w:tblPr&gt;
            &lt;w:tblStyleRowBandSize w:val="1" /&gt;
            &lt;w:tblStyleColBandSize w:val="1" /&gt;
          &lt;/w:tblPr&gt;
          &lt;w:tcPr&gt;
            &lt;w:shd w:val="clear" w:color="auto" w:fill="4F81BD" w:themeFill="accent1"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w:fill="243F60" w:themeFill="accent1"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w:fill="365F91" w:themeFill="accent1"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w:fill="365F91" w:themeFill="accent1"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w:fill="365F91" w:themeFill="accent1" w:themeFillShade="BF" /&gt;
            &lt;/w:tcPr&gt;
          &lt;/w:tblStylePr&gt;
        &lt;/w:style&gt;
        &lt;w:style w:type="table" w:styleId="DarkList-Accent2"&gt;
          &lt;w:name w:val="Dark List Accent 2" /&gt;
          &lt;w:basedOn w:val="TableNormal" /&gt;
          &lt;w:uiPriority w:val="70" /&gt;
          &lt;w:rPr&gt;
            &lt;w:color w:val="FFFFFF" w:themeColor="background1" /&gt;
          &lt;/w:rPr&gt;
          &lt;w:tblPr&gt;
            &lt;w:tblStyleRowBandSize w:val="1" /&gt;
            &lt;w:tblStyleColBandSize w:val="1" /&gt;
          &lt;/w:tblPr&gt;
          &lt;w:tcPr&gt;
            &lt;w:shd w:val="clear" w:color="auto" w:fill="C0504D" w:themeFill="accent2"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w:fill="622423" w:themeFill="accent2"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w:fill="943634" w:themeFill="accent2"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w:fill="943634" w:themeFill="accent2"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w:fill="943634" w:themeFill="accent2" w:themeFillShade="BF" /&gt;
            &lt;/w:tcPr&gt;
          &lt;/w:tblStylePr&gt;
        &lt;/w:style&gt;
        &lt;w:style w:type="table" w:styleId="DarkList-Accent3"&gt;
          &lt;w:name w:val="Dark List Accent 3" /&gt;
          &lt;w:basedOn w:val="TableNormal" /&gt;
          &lt;w:uiPriority w:val="70" /&gt;
          &lt;w:rPr&gt;
            &lt;w:color w:val="FFFFFF" w:themeColor="background1" /&gt;
          &lt;/w:rPr&gt;
          &lt;w:tblPr&gt;
            &lt;w:tblStyleRowBandSize w:val="1" /&gt;
            &lt;w:tblStyleColBandSize w:val="1" /&gt;
          &lt;/w:tblPr&gt;
          &lt;w:tcPr&gt;
            &lt;w:shd w:val="clear" w:color="auto" w:fill="9BBB59" w:themeFill="accent3"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w:fill="4E6128" w:themeFill="accent3"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w:fill="76923C" w:themeFill="accent3"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w:fill="76923C" w:themeFill="accent3"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w:fill="76923C" w:themeFill="accent3" w:themeFillShade="BF" /&gt;
            &lt;/w:tcPr&gt;
          &lt;/w:tblStylePr&gt;
        &lt;/w:style&gt;
        &lt;w:style w:type="table" w:styleId="DarkList-Accent4"&gt;
          &lt;w:name w:val="Dark List Accent 4" /&gt;
          &lt;w:basedOn w:val="TableNormal" /&gt;
          &lt;w:uiPriority w:val="70" /&gt;
          &lt;w:rPr&gt;
            &lt;w:color w:val="FFFFFF" w:themeColor="background1" /&gt;
          &lt;/w:rPr&gt;
          &lt;w:tblPr&gt;
            &lt;w:tblStyleRowBandSize w:val="1" /&gt;
            &lt;w:tblStyleColBandSize w:val="1" /&gt;
          &lt;/w:tblPr&gt;
          &lt;w:tcPr&gt;
            &lt;w:shd w:val="clear" w:color="auto" w:fill="8064A2" w:themeFill="accent4"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w:fill="3F3151" w:themeFill="accent4"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w:fill="5F497A" w:themeFill="accent4"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w:fill="5F497A" w:themeFill="accent4"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w:fill="5F497A" w:themeFill="accent4" w:themeFillShade="BF" /&gt;
            &lt;/w:tcPr&gt;
          &lt;/w:tblStylePr&gt;
        &lt;/w:style&gt;
        &lt;w:style w:type="table" w:styleId="DarkList-Accent5"&gt;
          &lt;w:name w:val="Dark List Accent 5" /&gt;
          &lt;w:basedOn w:val="TableNormal" /&gt;
          &lt;w:uiPriority w:val="70" /&gt;
          &lt;w:rPr&gt;
            &lt;w:color w:val="FFFFFF" w:themeColor="background1" /&gt;
          &lt;/w:rPr&gt;
          &lt;w:tblPr&gt;
            &lt;w:tblStyleRowBandSize w:val="1" /&gt;
            &lt;w:tblStyleColBandSize w:val="1" /&gt;
          &lt;/w:tblPr&gt;
          &lt;w:tcPr&gt;
            &lt;w:shd w:val="clear" w:color="auto" w:fill="4BACC6" w:themeFill="accent5"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w:fill="205867" w:themeFill="accent5"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w:fill="31849B" w:themeFill="accent5"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w:fill="31849B" w:themeFill="accent5"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w:fill="31849B" w:themeFill="accent5" w:themeFillShade="BF" /&gt;
            &lt;/w:tcPr&gt;
          &lt;/w:tblStylePr&gt;
        &lt;/w:style&gt;
        &lt;w:style w:type="table" w:styleId="DarkList-Accent6"&gt;
          &lt;w:name w:val="Dark List Accent 6" /&gt;
          &lt;w:basedOn w:val="TableNormal" /&gt;
          &lt;w:uiPriority w:val="70" /&gt;
          &lt;w:rPr&gt;
            &lt;w:color w:val="FFFFFF" w:themeColor="background1" /&gt;
          &lt;/w:rPr&gt;
          &lt;w:tblPr&gt;
            &lt;w:tblStyleRowBandSize w:val="1" /&gt;
            &lt;w:tblStyleColBandSize w:val="1" /&gt;
          &lt;/w:tblPr&gt;
          &lt;w:tcPr&gt;
            &lt;w:shd w:val="clear" w:color="auto" w:fill="F79646" w:themeFill="accent6" /&gt;
          &lt;/w:tcPr&gt;
          &lt;w:tblStylePr w:type="firstRow"&gt;
            &lt;w:rPr&gt;
              &lt;w:b /&gt;
              &lt;w:bCs /&gt;
            &lt;/w:rPr&gt;
            &lt;w:tblPr /&gt;
            &lt;w:tcPr&gt;
              &lt;w:tcBorders&gt;
                &lt;w:top w:val="nil" /&gt;
                &lt;w:left w:val="nil" /&gt;
                &lt;w:bottom w:val="single" w:sz="18" w:space="0" w:color="FFFFFF" w:themeColor="background1" /&gt;
                &lt;w:right w:val="nil" /&gt;
                &lt;w:insideH w:val="nil" /&gt;
                &lt;w:insideV w:val="nil" /&gt;
              &lt;/w:tcBorders&gt;
              &lt;w:shd w:val="clear" w:color="auto" w:fill="000000" w:themeFill="text1" /&gt;
            &lt;/w:tcPr&gt;
          &lt;/w:tblStylePr&gt;
          &lt;w:tblStylePr w:type="lastRow"&gt;
            &lt;w:tblPr /&gt;
            &lt;w:tcPr&gt;
              &lt;w:tcBorders&gt;
                &lt;w:top w:val="single" w:sz="18" w:space="0" w:color="FFFFFF" w:themeColor="background1" /&gt;
                &lt;w:left w:val="nil" /&gt;
                &lt;w:bottom w:val="nil" /&gt;
                &lt;w:right w:val="nil" /&gt;
                &lt;w:insideH w:val="nil" /&gt;
                &lt;w:insideV w:val="nil" /&gt;
              &lt;/w:tcBorders&gt;
              &lt;w:shd w:val="clear" w:color="auto" w:fill="974706" w:themeFill="accent6" w:themeFillShade="7F" /&gt;
            &lt;/w:tcPr&gt;
          &lt;/w:tblStylePr&gt;
          &lt;w:tblStylePr w:type="firstCol"&gt;
            &lt;w:tblPr /&gt;
            &lt;w:tcPr&gt;
              &lt;w:tcBorders&gt;
                &lt;w:top w:val="nil" /&gt;
                &lt;w:left w:val="nil" /&gt;
                &lt;w:bottom w:val="nil" /&gt;
                &lt;w:right w:val="single" w:sz="18" w:space="0" w:color="FFFFFF" w:themeColor="background1" /&gt;
                &lt;w:insideH w:val="nil" /&gt;
                &lt;w:insideV w:val="nil" /&gt;
              &lt;/w:tcBorders&gt;
              &lt;w:shd w:val="clear" w:color="auto" w:fill="E36C0A" w:themeFill="accent6" w:themeFillShade="BF" /&gt;
            &lt;/w:tcPr&gt;
          &lt;/w:tblStylePr&gt;
          &lt;w:tblStylePr w:type="lastCol"&gt;
            &lt;w:tblPr /&gt;
            &lt;w:tcPr&gt;
              &lt;w:tcBorders&gt;
                &lt;w:top w:val="nil" /&gt;
                &lt;w:left w:val="single" w:sz="18" w:space="0" w:color="FFFFFF" w:themeColor="background1" /&gt;
                &lt;w:bottom w:val="nil" /&gt;
                &lt;w:right w:val="nil" /&gt;
                &lt;w:insideH w:val="nil" /&gt;
                &lt;w:insideV w:val="nil" /&gt;
              &lt;/w:tcBorders&gt;
              &lt;w:shd w:val="clear" w:color="auto" w:fill="E36C0A" w:themeFill="accent6" w:themeFillShade="BF" /&gt;
            &lt;/w:tcPr&gt;
          &lt;/w:tblStylePr&gt;
          &lt;w:tblStylePr w:type="band1Vert"&gt;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&lt;w:tblStylePr w:type="band1Horz"&gt;
            &lt;w:tblPr /&gt;
            &lt;w:tcPr&gt;
              &lt;w:tcBorders&gt;
                &lt;w:top w:val="nil" /&gt;
                &lt;w:left w:val="nil" /&gt;
                &lt;w:bottom w:val="nil" /&gt;
                &lt;w:right w:val="nil" /&gt;
                &lt;w:insideH w:val="nil" /&gt;
                &lt;w:insideV w:val="nil" /&gt;
              &lt;/w:tcBorders&gt;
              &lt;w:shd w:val="clear" w:color="auto" w:fill="E36C0A" w:themeFill="accent6" w:themeFillShade="BF" /&gt;
            &lt;/w:tcPr&gt;
          &lt;/w:tblStylePr&gt;
        &lt;/w:style&gt;
        &lt;w:style w:type="paragraph" w:styleId="E-mailSignature"&gt;
          &lt;w:name w:val="E-mail Signature" /&gt;
          &lt;w:basedOn w:val="Normal" /&gt;
          &lt;w:link w:val="E-mailSignatureChar" /&gt;
          &lt;w:semiHidden /&gt;
          &lt;w:unhideWhenUsed /&gt;
          &lt;w:pPr&gt;
            &lt;w:spacing w:before="0" w:after="0" w:line="240" w:lineRule="auto" /&gt;
          &lt;/w:pPr&gt;
        &lt;/w:style&gt;
        &lt;w:style w:type="character" w:customStyle="1" w:styleId="E-mailSignatureChar"&gt;
          &lt;w:name w:val="E-mail Signature Char" /&gt;
          &lt;w:basedOn w:val="DefaultParagraphFont" /&gt;
          &lt;w:link w:val="E-mailSignature" /&gt;
          &lt;w:semiHidden /&gt;
          &lt;w:rPr&gt;
            &lt;w:rFonts w:eastAsia="Calibri" w:cs="Cordia New" /&gt;
            &lt;w:sz w:val="24" /&gt;
            &lt;w:szCs w:val="22" /&gt;
          &lt;/w:rPr&gt;
        &lt;/w:style&gt;
        &lt;w:style w:type="character" w:styleId="EndnoteReference"&gt;
          &lt;w:name w:val="endnote reference" /&gt;
          &lt;w:basedOn w:val="DefaultParagraphFont" /&gt;
          &lt;w:semiHidden /&gt;
          &lt;w:unhideWhenUsed /&gt;
          &lt;w:rPr&gt;
            &lt;w:vertAlign w:val="superscript" /&gt;
          &lt;/w:rPr&gt;
        &lt;/w:style&gt;
        &lt;w:style w:type="paragraph" w:styleId="EnvelopeAddress"&gt;
          &lt;w:name w:val="envelope address" /&gt;
          &lt;w:basedOn w:val="Normal" /&gt;
          &lt;w:semiHidden /&gt;
          &lt;w:unhideWhenUsed /&gt;
          &lt;w:pPr&gt;
            &lt;w:framePr w:w="7920" w:h="1980" w:hRule="exact" w:hSpace="180" w:wrap="auto" w:hAnchor="page" w:xAlign="center" w:yAlign="bottom" /&gt;
            &lt;w:spacing w:before="0" w:after="0" w:line="240" w:lineRule="auto" /&gt;
            &lt;w:ind w:left="2880" /&gt;
          &lt;/w:pPr&gt;
          &lt;w:rPr&gt;
            &lt;w:rFonts w:asciiTheme="majorHAnsi" w:eastAsiaTheme="majorEastAsia" w:hAnsiTheme="majorHAnsi" w:cstheme="majorBidi" /&gt;
            &lt;w:szCs w:val="24" /&gt;
          &lt;/w:rPr&gt;
        &lt;/w:style&gt;
        &lt;w:style w:type="paragraph" w:styleId="EnvelopeReturn"&gt;
          &lt;w:name w:val="envelope return" /&gt;
          &lt;w:basedOn w:val="Normal" /&gt;
          &lt;w:semiHidden /&gt;
          &lt;w:unhideWhenUsed /&gt;
          &lt;w:pPr&gt;
            &lt;w:spacing w:before="0" w:after="0" w:line="240" w:lineRule="auto" /&gt;
          &lt;/w:pPr&gt;
          &lt;w:rPr&gt;
            &lt;w:rFonts w:asciiTheme="majorHAnsi" w:eastAsiaTheme="majorEastAsia" w:hAnsiTheme="majorHAnsi" w:cstheme="majorBidi" /&gt;
            &lt;w:sz w:val="20" /&gt;
            &lt;w:szCs w:val="20" /&gt;
          &lt;/w:rPr&gt;
        &lt;/w:style&gt;
        &lt;w:style w:type="character" w:styleId="FootnoteReference"&gt;
          &lt;w:name w:val="footnote reference" /&gt;
          &lt;w:basedOn w:val="DefaultParagraphFont" /&gt;
          &lt;w:semiHidden /&gt;
          &lt;w:unhideWhenUsed /&gt;
          &lt;w:rPr&gt;
            &lt;w:vertAlign w:val="superscript" /&gt;
          &lt;/w:rPr&gt;
        &lt;/w:style&gt;
        &lt;w:style w:type="character" w:styleId="HTMLAcronym"&gt;
          &lt;w:name w:val="HTML Acronym" /&gt;
          &lt;w:basedOn w:val="DefaultParagraphFont" /&gt;
          &lt;w:semiHidden /&gt;
          &lt;w:unhideWhenUsed /&gt;
        &lt;/w:style&gt;
        &lt;w:style w:type="paragraph" w:styleId="HTMLAddress"&gt;
          &lt;w:name w:val="HTML Address" /&gt;
          &lt;w:basedOn w:val="Normal" /&gt;
          &lt;w:link w:val="HTMLAddressChar" /&gt;
          &lt;w:semiHidden /&gt;
          &lt;w:unhideWhenUsed /&gt;
          &lt;w:pPr&gt;
            &lt;w:spacing w:before="0" w:after="0" w:line="240" w:lineRule="auto" /&gt;
          &lt;/w:pPr&gt;
          &lt;w:rPr&gt;
            &lt;w:i /&gt;
            &lt;w:iCs /&gt;
          &lt;/w:rPr&gt;
        &lt;/w:style&gt;
        &lt;w:style w:type="character" w:customStyle="1" w:styleId="HTMLAddressChar"&gt;
          &lt;w:name w:val="HTML Address Char" /&gt;
          &lt;w:basedOn w:val="DefaultParagraphFont" /&gt;
          &lt;w:link w:val="HTMLAddress" /&gt;
          &lt;w:semiHidden /&gt;
          &lt;w:rPr&gt;
            &lt;w:rFonts w:eastAsia="Calibri" w:cs="Cordia New" /&gt;
            &lt;w:i /&gt;
            &lt;w:iCs /&gt;
            &lt;w:sz w:val="24" /&gt;
            &lt;w:szCs w:val="22" /&gt;
          &lt;/w:rPr&gt;
        &lt;/w:style&gt;
        &lt;w:style w:type="character" w:styleId="HTMLCite"&gt;
          &lt;w:name w:val="HTML Cite" /&gt;
          &lt;w:basedOn w:val="DefaultParagraphFont" /&gt;
          &lt;w:semiHidden /&gt;
          &lt;w:unhideWhenUsed /&gt;
          &lt;w:rPr&gt;
            &lt;w:i /&gt;
            &lt;w:iCs /&gt;
          &lt;/w:rPr&gt;
        &lt;/w:style&gt;
        &lt;w:style w:type="character" w:styleId="HTMLCode"&gt;
          &lt;w:name w:val="HTML Code" /&gt;
          &lt;w:basedOn w:val="DefaultParagraphFont" /&gt;
          &lt;w:semiHidden /&gt;
          &lt;w:unhideWhenUsed /&gt;
          &lt;w:rPr&gt;
            &lt;w:rFonts w:ascii="Consolas" w:hAnsi="Consolas" w:cs="Consolas" /&gt;
            &lt;w:sz w:val="20" /&gt;
            &lt;w:szCs w:val="20" /&gt;
          &lt;/w:rPr&gt;
        &lt;/w:style&gt;
        &lt;w:style w:type="character" w:styleId="HTMLDefinition"&gt;
          &lt;w:name w:val="HTML Definition" /&gt;
          &lt;w:basedOn w:val="DefaultParagraphFont" /&gt;
          &lt;w:semiHidden /&gt;
          &lt;w:unhideWhenUsed /&gt;
          &lt;w:rPr&gt;
            &lt;w:i /&gt;
            &lt;w:iCs /&gt;
          &lt;/w:rPr&gt;
        &lt;/w:style&gt;
        &lt;w:style w:type="character" w:styleId="HTMLKeyboard"&gt;
          &lt;w:name w:val="HTML Keyboard" /&gt;
          &lt;w:basedOn w:val="DefaultParagraphFont" /&gt;
          &lt;w:semiHidden /&gt;
          &lt;w:unhideWhenUsed /&gt;
          &lt;w:rPr&gt;
            &lt;w:rFonts w:ascii="Consolas" w:hAnsi="Consolas" w:cs="Consolas" /&gt;
            &lt;w:sz w:val="20" /&gt;
            &lt;w:szCs w:val="20" /&gt;
          &lt;/w:rPr&gt;
        &lt;/w:style&gt;
        &lt;w:style w:type="paragraph" w:styleId="HTMLPreformatted"&gt;
          &lt;w:name w:val="HTML Preformatted" /&gt;
          &lt;w:basedOn w:val="Normal" /&gt;
          &lt;w:link w:val="HTMLPreformattedChar" /&gt;
          &lt;w:semiHidden /&gt;
          &lt;w:unhideWhenUsed /&gt;
          &lt;w:pPr&gt;
            &lt;w:spacing w:before="0" w:after="0" w:line="240" w:lineRule="auto" /&gt;
          &lt;/w:pPr&gt;
          &lt;w:rPr&gt;
            &lt;w:rFonts w:ascii="Consolas" w:hAnsi="Consolas" w:cs="Consolas" /&gt;
            &lt;w:sz w:val="20" /&gt;
            &lt;w:szCs w:val="20" /&gt;
          &lt;/w:rPr&gt;
        &lt;/w:style&gt;
        &lt;w:style w:type="character" w:customStyle="1" w:styleId="HTMLPreformattedChar"&gt;
          &lt;w:name w:val="HTML Preformatted Char" /&gt;
          &lt;w:basedOn w:val="DefaultParagraphFont" /&gt;
          &lt;w:link w:val="HTMLPreformatted" /&gt;
          &lt;w:semiHidden /&gt;
          &lt;w:rPr&gt;
            &lt;w:rFonts w:ascii="Consolas" w:eastAsia="Calibri" w:hAnsi="Consolas" w:cs="Consolas" /&gt;
          &lt;/w:rPr&gt;
        &lt;/w:style&gt;
        &lt;w:style w:type="character" w:styleId="HTMLSample"&gt;
          &lt;w:name w:val="HTML Sample" /&gt;
          &lt;w:basedOn w:val="DefaultParagraphFont" /&gt;
          &lt;w:semiHidden /&gt;
          &lt;w:unhideWhenUsed /&gt;
          &lt;w:rPr&gt;
            &lt;w:rFonts w:ascii="Consolas" w:hAnsi="Consolas" w:cs="Consolas" /&gt;
            &lt;w:sz w:val="24" /&gt;
            &lt;w:szCs w:val="24" /&gt;
          &lt;/w:rPr&gt;
        &lt;/w:style&gt;
        &lt;w:style w:type="character" w:styleId="HTMLVariable"&gt;
          &lt;w:name w:val="HTML Variable" /&gt;
          &lt;w:basedOn w:val="DefaultParagraphFont" /&gt;
          &lt;w:semiHidden /&gt;
          &lt;w:unhideWhenUsed /&gt;
          &lt;w:rPr&gt;
            &lt;w:i /&gt;
            &lt;w:iCs /&gt;
          &lt;/w:rPr&gt;
        &lt;/w:style&gt;
        &lt;w:style w:type="paragraph" w:styleId="Index1"&gt;
          &lt;w:name w:val="index 1" /&gt;
          &lt;w:basedOn w:val="Normal" /&gt;
          &lt;w:next w:val="Normal" /&gt;
          &lt;w:autoRedefine /&gt;
          &lt;w:semiHidden /&gt;
          &lt;w:unhideWhenUsed /&gt;
          &lt;w:pPr&gt;
            &lt;w:spacing w:before="0" w:after="0" w:line="240" w:lineRule="auto" /&gt;
            &lt;w:ind w:left="240" w:hanging="240" /&gt;
          &lt;/w:pPr&gt;
        &lt;/w:style&gt;
        &lt;w:style w:type="paragraph" w:styleId="Index2"&gt;
          &lt;w:name w:val="index 2" /&gt;
          &lt;w:basedOn w:val="Normal" /&gt;
          &lt;w:next w:val="Normal" /&gt;
          &lt;w:autoRedefine /&gt;
          &lt;w:semiHidden /&gt;
          &lt;w:unhideWhenUsed /&gt;
          &lt;w:pPr&gt;
            &lt;w:spacing w:before="0" w:after="0" w:line="240" w:lineRule="auto" /&gt;
            &lt;w:ind w:left="480" w:hanging="240" /&gt;
          &lt;/w:pPr&gt;
        &lt;/w:style&gt;
        &lt;w:style w:type="paragraph" w:styleId="Index3"&gt;
          &lt;w:name w:val="index 3" /&gt;
          &lt;w:basedOn w:val="Normal" /&gt;
          &lt;w:next w:val="Normal" /&gt;
          &lt;w:autoRedefine /&gt;
          &lt;w:semiHidden /&gt;
          &lt;w:unhideWhenUsed /&gt;
          &lt;w:pPr&gt;
            &lt;w:spacing w:before="0" w:after="0" w:line="240" w:lineRule="auto" /&gt;
            &lt;w:ind w:left="720" w:hanging="240" /&gt;
          &lt;/w:pPr&gt;
        &lt;/w:style&gt;
        &lt;w:style w:type="paragraph" w:styleId="Index4"&gt;
          &lt;w:name w:val="index 4" /&gt;
          &lt;w:basedOn w:val="Normal" /&gt;
          &lt;w:next w:val="Normal" /&gt;
          &lt;w:autoRedefine /&gt;
          &lt;w:semiHidden /&gt;
          &lt;w:unhideWhenUsed /&gt;
          &lt;w:pPr&gt;
            &lt;w:spacing w:before="0" w:after="0" w:line="240" w:lineRule="auto" /&gt;
            &lt;w:ind w:left="960" w:hanging="240" /&gt;
          &lt;/w:pPr&gt;
        &lt;/w:style&gt;
        &lt;w:style w:type="paragraph" w:styleId="Index5"&gt;
          &lt;w:name w:val="index 5" /&gt;
          &lt;w:basedOn w:val="Normal" /&gt;
          &lt;w:next w:val="Normal" /&gt;
          &lt;w:autoRedefine /&gt;
          &lt;w:semiHidden /&gt;
          &lt;w:unhideWhenUsed /&gt;
          &lt;w:pPr&gt;
            &lt;w:spacing w:before="0" w:after="0" w:line="240" w:lineRule="auto" /&gt;
            &lt;w:ind w:left="1200" w:hanging="240" /&gt;
          &lt;/w:pPr&gt;
        &lt;/w:style&gt;
        &lt;w:style w:type="paragraph" w:styleId="Index6"&gt;
          &lt;w:name w:val="index 6" /&gt;
          &lt;w:basedOn w:val="Normal" /&gt;
          &lt;w:next w:val="Normal" /&gt;
          &lt;w:autoRedefine /&gt;
          &lt;w:semiHidden /&gt;
          &lt;w:unhideWhenUsed /&gt;
          &lt;w:pPr&gt;
            &lt;w:spacing w:before="0" w:after="0" w:line="240" w:lineRule="auto" /&gt;
            &lt;w:ind w:left="1440" w:hanging="240" /&gt;
          &lt;/w:pPr&gt;
        &lt;/w:style&gt;
        &lt;w:style w:type="paragraph" w:styleId="Index7"&gt;
          &lt;w:name w:val="index 7" /&gt;
          &lt;w:basedOn w:val="Normal" /&gt;
          &lt;w:next w:val="Normal" /&gt;
          &lt;w:autoRedefine /&gt;
          &lt;w:semiHidden /&gt;
          &lt;w:unhideWhenUsed /&gt;
          &lt;w:pPr&gt;
            &lt;w:spacing w:before="0" w:after="0" w:line="240" w:lineRule="auto" /&gt;
            &lt;w:ind w:left="1680" w:hanging="240" /&gt;
          &lt;/w:pPr&gt;
        &lt;/w:style&gt;
        &lt;w:style w:type="paragraph" w:styleId="Index8"&gt;
          &lt;w:name w:val="index 8" /&gt;
          &lt;w:basedOn w:val="Normal" /&gt;
          &lt;w:next w:val="Normal" /&gt;
          &lt;w:autoRedefine /&gt;
          &lt;w:semiHidden /&gt;
          &lt;w:unhideWhenUsed /&gt;
          &lt;w:pPr&gt;
            &lt;w:spacing w:before="0" w:after="0" w:line="240" w:lineRule="auto" /&gt;
            &lt;w:ind w:left="1920" w:hanging="240" /&gt;
          &lt;/w:pPr&gt;
        &lt;/w:style&gt;
        &lt;w:style w:type="paragraph" w:styleId="Index9"&gt;
          &lt;w:name w:val="index 9" /&gt;
          &lt;w:basedOn w:val="Normal" /&gt;
          &lt;w:next w:val="Normal" /&gt;
          &lt;w:autoRedefine /&gt;
          &lt;w:semiHidden /&gt;
          &lt;w:unhideWhenUsed /&gt;
          &lt;w:pPr&gt;
            &lt;w:spacing w:before="0" w:after="0" w:line="240" w:lineRule="auto" /&gt;
            &lt;w:ind w:left="2160" w:hanging="240" /&gt;
          &lt;/w:pPr&gt;
        &lt;/w:style&gt;
        &lt;w:style w:type="paragraph" w:styleId="IndexHeading"&gt;
          &lt;w:name w:val="index heading" /&gt;
          &lt;w:basedOn w:val="Normal" /&gt;
          &lt;w:next w:val="Index1" /&gt;
          &lt;w:semiHidden /&gt;
          &lt;w:unhideWhenUsed /&gt;
          &lt;w:rPr&gt;
            &lt;w:rFonts w:asciiTheme="majorHAnsi" w:eastAsiaTheme="majorEastAsia" w:hAnsiTheme="majorHAnsi" w:cstheme="majorBidi" /&gt;
            &lt;w:b /&gt;
            &lt;w:bCs /&gt;
          &lt;/w:rPr&gt;
        &lt;/w:style&gt;
        &lt;w:style w:type="table" w:styleId="LightGrid"&gt;
          &lt;w:name w:val="Light Grid" /&gt;
          &lt;w:basedOn w:val="TableNormal" /&gt;
          &lt;w:uiPriority w:val="62"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w:sz="18" w:space="0" w:color="000000" w:themeColor="text1" /&gt;
                &lt;w:right w:val="single" w:sz="8" w:space="0" w:color="000000" w:themeColor="text1" /&gt;
                &lt;w:insideH w:val="nil" /&gt;
                &lt;w:insideV w:val="single" w:sz="8" w:space="0" w:color="000000" w:themeColor="text1"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&lt;w:insideH w:val="nil" /&gt;
                &lt;w:insideV w:val="single" w:sz="8" w:space="0" w:color="000000" w:themeColor="text1"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&lt;w:shd w:val="clear" w:color="auto" w:fill="C0C0C0" w:themeFill="text1" w:themeFillTint="3F" /&gt;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&lt;w:shd w:val="clear" w:color="auto" w:fill="C0C0C0" w:themeFill="text1" w:themeFillTint="3F" /&gt;
            &lt;/w:tcPr&gt;
          &lt;/w:tblStylePr&gt;
          &lt;w:tblStylePr w:type="band2Horz"&gt;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&lt;w:insideV w:val="single" w:sz="8" w:space="0" w:color="000000" w:themeColor="text1" /&gt;
              &lt;/w:tcBorders&gt;
            &lt;/w:tcPr&gt;
          &lt;/w:tblStylePr&gt;
        &lt;/w:style&gt;
        &lt;w:style w:type="table" w:styleId="LightGrid-Accent1"&gt;
          &lt;w:name w:val="Light Grid Accent 1" /&gt;
          &lt;w:basedOn w:val="TableNormal" /&gt;
          &lt;w:uiPriority w:val="62"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w:sz="18" w:space="0" w:color="4F81BD" w:themeColor="accent1" /&gt;
                &lt;w:right w:val="single" w:sz="8" w:space="0" w:color="4F81BD" w:themeColor="accent1" /&gt;
                &lt;w:insideH w:val="nil" /&gt;
                &lt;w:insideV w:val="single" w:sz="8" w:space="0" w:color="4F81BD" w:themeColor="accent1"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&lt;w:insideH w:val="nil" /&gt;
                &lt;w:insideV w:val="single" w:sz="8" w:space="0" w:color="4F81BD" w:themeColor="accent1"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&lt;w:shd w:val="clear" w:color="auto" w:fill="D3DFEE" w:themeFill="accent1" w:themeFillTint="3F" /&gt;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&lt;w:shd w:val="clear" w:color="auto" w:fill="D3DFEE" w:themeFill="accent1" w:themeFillTint="3F" /&gt;
            &lt;/w:tcPr&gt;
          &lt;/w:tblStylePr&gt;
          &lt;w:tblStylePr w:type="band2Horz"&gt;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&lt;w:insideV w:val="single" w:sz="8" w:space="0" w:color="4F81BD" w:themeColor="accent1" /&gt;
              &lt;/w:tcBorders&gt;
            &lt;/w:tcPr&gt;
          &lt;/w:tblStylePr&gt;
        &lt;/w:style&gt;
        &lt;w:style w:type="table" w:styleId="LightGrid-Accent2"&gt;
          &lt;w:name w:val="Light Grid Accent 2" /&gt;
          &lt;w:basedOn w:val="TableNormal" /&gt;
          &lt;w:uiPriority w:val="62"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w:sz="18" w:space="0" w:color="C0504D" w:themeColor="accent2" /&gt;
                &lt;w:right w:val="single" w:sz="8" w:space="0" w:color="C0504D" w:themeColor="accent2" /&gt;
                &lt;w:insideH w:val="nil" /&gt;
                &lt;w:insideV w:val="single" w:sz="8" w:space="0" w:color="C0504D" w:themeColor="accent2"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&lt;w:insideH w:val="nil" /&gt;
                &lt;w:insideV w:val="single" w:sz="8" w:space="0" w:color="C0504D" w:themeColor="accent2"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&lt;w:shd w:val="clear" w:color="auto" w:fill="EFD3D2" w:themeFill="accent2" w:themeFillTint="3F" /&gt;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&lt;w:shd w:val="clear" w:color="auto" w:fill="EFD3D2" w:themeFill="accent2" w:themeFillTint="3F" /&gt;
            &lt;/w:tcPr&gt;
          &lt;/w:tblStylePr&gt;
          &lt;w:tblStylePr w:type="band2Horz"&gt;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&lt;w:insideV w:val="single" w:sz="8" w:space="0" w:color="C0504D" w:themeColor="accent2" /&gt;
              &lt;/w:tcBorders&gt;
            &lt;/w:tcPr&gt;
          &lt;/w:tblStylePr&gt;
        &lt;/w:style&gt;
        &lt;w:style w:type="table" w:styleId="LightGrid-Accent3"&gt;
          &lt;w:name w:val="Light Grid Accent 3" /&gt;
          &lt;w:basedOn w:val="TableNormal" /&gt;
          &lt;w:uiPriority w:val="62"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w:sz="18" w:space="0" w:color="9BBB59" w:themeColor="accent3" /&gt;
                &lt;w:right w:val="single" w:sz="8" w:space="0" w:color="9BBB59" w:themeColor="accent3" /&gt;
                &lt;w:insideH w:val="nil" /&gt;
                &lt;w:insideV w:val="single" w:sz="8" w:space="0" w:color="9BBB59" w:themeColor="accent3"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&lt;w:insideH w:val="nil" /&gt;
                &lt;w:insideV w:val="single" w:sz="8" w:space="0" w:color="9BBB59" w:themeColor="accent3"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&lt;w:shd w:val="clear" w:color="auto" w:fill="E6EED5" w:themeFill="accent3" w:themeFillTint="3F" /&gt;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&lt;w:shd w:val="clear" w:color="auto" w:fill="E6EED5" w:themeFill="accent3" w:themeFillTint="3F" /&gt;
            &lt;/w:tcPr&gt;
          &lt;/w:tblStylePr&gt;
          &lt;w:tblStylePr w:type="band2Horz"&gt;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&lt;w:insideV w:val="single" w:sz="8" w:space="0" w:color="9BBB59" w:themeColor="accent3" /&gt;
              &lt;/w:tcBorders&gt;
            &lt;/w:tcPr&gt;
          &lt;/w:tblStylePr&gt;
        &lt;/w:style&gt;
        &lt;w:style w:type="table" w:styleId="LightGrid-Accent4"&gt;
          &lt;w:name w:val="Light Grid Accent 4" /&gt;
          &lt;w:basedOn w:val="TableNormal" /&gt;
          &lt;w:uiPriority w:val="62"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w:sz="18" w:space="0" w:color="8064A2" w:themeColor="accent4" /&gt;
                &lt;w:right w:val="single" w:sz="8" w:space="0" w:color="8064A2" w:themeColor="accent4" /&gt;
                &lt;w:insideH w:val="nil" /&gt;
                &lt;w:insideV w:val="single" w:sz="8" w:space="0" w:color="8064A2" w:themeColor="accent4"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&lt;w:insideH w:val="nil" /&gt;
                &lt;w:insideV w:val="single" w:sz="8" w:space="0" w:color="8064A2" w:themeColor="accent4"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&lt;w:shd w:val="clear" w:color="auto" w:fill="DFD8E8" w:themeFill="accent4" w:themeFillTint="3F" /&gt;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&lt;w:shd w:val="clear" w:color="auto" w:fill="DFD8E8" w:themeFill="accent4" w:themeFillTint="3F" /&gt;
            &lt;/w:tcPr&gt;
          &lt;/w:tblStylePr&gt;
          &lt;w:tblStylePr w:type="band2Horz"&gt;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&lt;w:insideV w:val="single" w:sz="8" w:space="0" w:color="8064A2" w:themeColor="accent4" /&gt;
              &lt;/w:tcBorders&gt;
            &lt;/w:tcPr&gt;
          &lt;/w:tblStylePr&gt;
        &lt;/w:style&gt;
        &lt;w:style w:type="table" w:styleId="LightGrid-Accent5"&gt;
          &lt;w:name w:val="Light Grid Accent 5" /&gt;
          &lt;w:basedOn w:val="TableNormal" /&gt;
          &lt;w:uiPriority w:val="62"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w:sz="18" w:space="0" w:color="4BACC6" w:themeColor="accent5" /&gt;
                &lt;w:right w:val="single" w:sz="8" w:space="0" w:color="4BACC6" w:themeColor="accent5" /&gt;
                &lt;w:insideH w:val="nil" /&gt;
                &lt;w:insideV w:val="single" w:sz="8" w:space="0" w:color="4BACC6" w:themeColor="accent5"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&lt;w:insideH w:val="nil" /&gt;
                &lt;w:insideV w:val="single" w:sz="8" w:space="0" w:color="4BACC6" w:themeColor="accent5"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&lt;w:shd w:val="clear" w:color="auto" w:fill="D2EAF1" w:themeFill="accent5" w:themeFillTint="3F" /&gt;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&lt;w:shd w:val="clear" w:color="auto" w:fill="D2EAF1" w:themeFill="accent5" w:themeFillTint="3F" /&gt;
            &lt;/w:tcPr&gt;
          &lt;/w:tblStylePr&gt;
          &lt;w:tblStylePr w:type="band2Horz"&gt;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&lt;w:insideV w:val="single" w:sz="8" w:space="0" w:color="4BACC6" w:themeColor="accent5" /&gt;
              &lt;/w:tcBorders&gt;
            &lt;/w:tcPr&gt;
          &lt;/w:tblStylePr&gt;
        &lt;/w:style&gt;
        &lt;w:style w:type="table" w:styleId="LightGrid-Accent6"&gt;
          &lt;w:name w:val="Light Grid Accent 6" /&gt;
          &lt;w:basedOn w:val="TableNormal" /&gt;
          &lt;w:uiPriority w:val="62"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&lt;w:tblStylePr w:type="firstRow"&gt;
            &lt;w:pPr&gt;
              &lt;w:spacing w:before="0" w:after="0" w:line="240" w:lineRule="auto" /&gt;
            &lt;/w:pPr&gt;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w:sz="18" w:space="0" w:color="F79646" w:themeColor="accent6" /&gt;
                &lt;w:right w:val="single" w:sz="8" w:space="0" w:color="F79646" w:themeColor="accent6" /&gt;
                &lt;w:insideH w:val="nil" /&gt;
                &lt;w:insideV w:val="single" w:sz="8" w:space="0" w:color="F79646" w:themeColor="accent6" /&gt;
              &lt;/w:tcBorders&gt;
            &lt;/w:tcPr&gt;
          &lt;/w:tblStylePr&gt;
          &lt;w:tblStylePr w:type="lastRow"&gt;
            &lt;w:pPr&gt;
              &lt;w:spacing w:before="0" w:after="0" w:line="240" w:lineRule="auto" /&gt;
            &lt;/w:pPr&gt;
            &lt;w:rPr&gt;
              &lt;w:rFonts w:asciiTheme="majorHAnsi" w:eastAsiaTheme="majorEastAsia" w:hAnsiTheme="majorHAnsi" w:cstheme="majorBidi" /&gt;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&lt;w:insideH w:val="nil" /&gt;
                &lt;w:insideV w:val="single" w:sz="8" w:space="0" w:color="F79646" w:themeColor="accent6" /&gt;
              &lt;/w:tcBorders&gt;
            &lt;/w:tcPr&gt;
          &lt;/w:tblStylePr&gt;
          &lt;w:tblStylePr w:type="firstCol"&gt;
            &lt;w:rPr&gt;
              &lt;w:rFonts w:asciiTheme="majorHAnsi" w:eastAsiaTheme="majorEastAsia" w:hAnsiTheme="majorHAnsi" w:cstheme="majorBidi" /&gt;
              &lt;w:b /&gt;
              &lt;w:bCs /&gt;
            &lt;/w:rPr&gt;
          &lt;/w:tblStylePr&gt;
          &lt;w:tblStylePr w:type="lastCol"&gt;
            &lt;w:rPr&gt;
              &lt;w:rFonts w:asciiTheme="majorHAnsi" w:eastAsiaTheme="majorEastAsia" w:hAnsiTheme="majorHAnsi" w:cstheme="majorBidi" /&gt;
              &lt;w:b /&gt;
              &lt;w:bCs /&gt;
            &lt;/w:rPr&gt;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&lt;w:shd w:val="clear" w:color="auto" w:fill="FDE4D0" w:themeFill="accent6" w:themeFillTint="3F" /&gt;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&lt;w:shd w:val="clear" w:color="auto" w:fill="FDE4D0" w:themeFill="accent6" w:themeFillTint="3F" /&gt;
            &lt;/w:tcPr&gt;
          &lt;/w:tblStylePr&gt;
          &lt;w:tblStylePr w:type="band2Horz"&gt;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&lt;w:insideV w:val="single" w:sz="8" w:space="0" w:color="F79646" w:themeColor="accent6" /&gt;
              &lt;/w:tcBorders&gt;
            &lt;/w:tcPr&gt;
          &lt;/w:tblStylePr&gt;
        &lt;/w:style&gt;
        &lt;w:style w:type="table" w:styleId="LightList"&gt;
          &lt;w:name w:val="Light List" /&gt;
          &lt;w:basedOn w:val="TableNormal" /&gt;
          &lt;w:uiPriority w:val="61" /&gt;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&lt;w:pPr&gt;
              &lt;w:spacing w:before="0" w:after="0" w:line="240" w:lineRule="auto" /&gt;
            &lt;/w:pPr&gt;
            &lt;w:rPr&gt;
              &lt;w:b /&gt;
              &lt;w:bCs /&gt;
              &lt;w:color w:val="FFFFFF" w:themeColor="background1" /&gt;
            &lt;/w:rPr&gt;
            &lt;w:tblPr /&gt;
            &lt;w:tcPr&gt;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&lt;w:tblStylePr w:type="band1Horz"&gt;
            &lt;w:tblPr /&gt;
            &lt;w:tcPr&gt;
              &lt;w:tcBorders&gt;
                &lt;w:top w:val="single" w:sz="8" w:space="0" w:color="000000" w:themeColor="text1" /&gt;
                &lt;w:left w:val="single" w:sz="8" w:space="0" w:color="000000" w:themeColor="text1" /&gt;
                &lt;w:bottom w:val="single" w:sz="8" w:space="0" w:color="000000" w:themeColor="text1" /&gt;
                &lt;w:right w:val="single" w:sz="8" w:space="0" w:color="000000" w:themeColor="text1" /&gt;
              &lt;/w:tcBorders&gt;
            &lt;/w:tcPr&gt;
          &lt;/w:tblStylePr&gt;
        &lt;/w:style&gt;
        &lt;w:style w:type="table" w:styleId="LightList-Accent1"&gt;
          &lt;w:name w:val="Light List Accent 1" /&gt;
          &lt;w:basedOn w:val="TableNormal" /&gt;
          &lt;w:uiPriority w:val="61" /&gt;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&lt;w:pPr&gt;
              &lt;w:spacing w:before="0" w:after="0" w:line="240" w:lineRule="auto" /&gt;
            &lt;/w:pPr&gt;
            &lt;w:rPr&gt;
              &lt;w:b /&gt;
              &lt;w:bCs /&gt;
              &lt;w:color w:val="FFFFFF" w:themeColor="background1" /&gt;
            &lt;/w:rPr&gt;
            &lt;w:tblPr /&gt;
            &lt;w:tcPr&gt;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&lt;w:tblStylePr w:type="band1Horz"&gt;
            &lt;w:tblPr /&gt;
            &lt;w:tcPr&gt;
              &lt;w:tcBorders&gt;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&lt;/w:tcBorders&gt;
            &lt;/w:tcPr&gt;
          &lt;/w:tblStylePr&gt;
        &lt;/w:style&gt;
        &lt;w:style w:type="table" w:styleId="LightList-Accent2"&gt;
          &lt;w:name w:val="Light List Accent 2" /&gt;
          &lt;w:basedOn w:val="TableNormal" /&gt;
          &lt;w:uiPriority w:val="61" /&gt;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&lt;w:pPr&gt;
              &lt;w:spacing w:before="0" w:after="0" w:line="240" w:lineRule="auto" /&gt;
            &lt;/w:pPr&gt;
            &lt;w:rPr&gt;
              &lt;w:b /&gt;
              &lt;w:bCs /&gt;
              &lt;w:color w:val="FFFFFF" w:themeColor="background1" /&gt;
            &lt;/w:rPr&gt;
            &lt;w:tblPr /&gt;
            &lt;w:tcPr&gt;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&lt;w:tblStylePr w:type="band1Horz"&gt;
            &lt;w:tblPr /&gt;
            &lt;w:tcPr&gt;
              &lt;w:tcBorders&gt;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&lt;/w:tcBorders&gt;
            &lt;/w:tcPr&gt;
          &lt;/w:tblStylePr&gt;
        &lt;/w:style&gt;
        &lt;w:style w:type="table" w:styleId="LightList-Accent3"&gt;
          &lt;w:name w:val="Light List Accent 3" /&gt;
          &lt;w:basedOn w:val="TableNormal" /&gt;
          &lt;w:uiPriority w:val="61" /&gt;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&lt;w:pPr&gt;
              &lt;w:spacing w:before="0" w:after="0" w:line="240" w:lineRule="auto" /&gt;
            &lt;/w:pPr&gt;
            &lt;w:rPr&gt;
              &lt;w:b /&gt;
              &lt;w:bCs /&gt;
              &lt;w:color w:val="FFFFFF" w:themeColor="background1" /&gt;
            &lt;/w:rPr&gt;
            &lt;w:tblPr /&gt;
            &lt;w:tcPr&gt;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&lt;w:tblStylePr w:type="band1Horz"&gt;
            &lt;w:tblPr /&gt;
            &lt;w:tcPr&gt;
              &lt;w:tcBorders&gt;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&lt;/w:tcBorders&gt;
            &lt;/w:tcPr&gt;
          &lt;/w:tblStylePr&gt;
        &lt;/w:style&gt;
        &lt;w:style w:type="table" w:styleId="LightList-Accent4"&gt;
          &lt;w:name w:val="Light List Accent 4" /&gt;
          &lt;w:basedOn w:val="TableNormal" /&gt;
          &lt;w:uiPriority w:val="61" /&gt;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&lt;w:pPr&gt;
              &lt;w:spacing w:before="0" w:after="0" w:line="240" w:lineRule="auto" /&gt;
            &lt;/w:pPr&gt;
            &lt;w:rPr&gt;
              &lt;w:b /&gt;
              &lt;w:bCs /&gt;
              &lt;w:color w:val="FFFFFF" w:themeColor="background1" /&gt;
            &lt;/w:rPr&gt;
            &lt;w:tblPr /&gt;
            &lt;w:tcPr&gt;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&lt;w:tblStylePr w:type="band1Horz"&gt;
            &lt;w:tblPr /&gt;
            &lt;w:tcPr&gt;
              &lt;w:tcBorders&gt;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&lt;/w:tcBorders&gt;
            &lt;/w:tcPr&gt;
          &lt;/w:tblStylePr&gt;
        &lt;/w:style&gt;
        &lt;w:style w:type="table" w:styleId="LightList-Accent5"&gt;
          &lt;w:name w:val="Light List Accent 5" /&gt;
          &lt;w:basedOn w:val="TableNormal" /&gt;
          &lt;w:uiPriority w:val="61" /&gt;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&lt;w:pPr&gt;
              &lt;w:spacing w:before="0" w:after="0" w:line="240" w:lineRule="auto" /&gt;
            &lt;/w:pPr&gt;
            &lt;w:rPr&gt;
              &lt;w:b /&gt;
              &lt;w:bCs /&gt;
              &lt;w:color w:val="FFFFFF" w:themeColor="background1" /&gt;
            &lt;/w:rPr&gt;
            &lt;w:tblPr /&gt;
            &lt;w:tcPr&gt;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&lt;w:tblStylePr w:type="band1Horz"&gt;
            &lt;w:tblPr /&gt;
            &lt;w:tcPr&gt;
              &lt;w:tcBorders&gt;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&lt;/w:tcBorders&gt;
            &lt;/w:tcPr&gt;
          &lt;/w:tblStylePr&gt;
        &lt;/w:style&gt;
        &lt;w:style w:type="table" w:styleId="LightList-Accent6"&gt;
          &lt;w:name w:val="Light List Accent 6" /&gt;
          &lt;w:basedOn w:val="TableNormal" /&gt;
          &lt;w:uiPriority w:val="61" /&gt;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&lt;w:pPr&gt;
              &lt;w:spacing w:before="0" w:after="0" w:line="240" w:lineRule="auto" /&gt;
            &lt;/w:pPr&gt;
            &lt;w:rPr&gt;
              &lt;w:b /&gt;
              &lt;w:bCs /&gt;
              &lt;w:color w:val="FFFFFF" w:themeColor="background1" /&gt;
            &lt;/w:rPr&gt;
            &lt;w:tblPr /&gt;
            &lt;w:tcPr&gt;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w:type="firstCol"&gt;
            &lt;w:rPr&gt;
              &lt;w:b /&gt;
              &lt;w:bCs /&gt;
            &lt;/w:rPr&gt;
          &lt;/w:tblStylePr&gt;
          &lt;w:tblStylePr w:type="lastCol"&gt;
            &lt;w:rPr&gt;
              &lt;w:b /&gt;
              &lt;w:bCs /&gt;
            &lt;/w:rPr&gt;
          &lt;/w:tblStylePr&gt;
          &lt;w:tblStylePr w:type="band1Vert"&gt;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&lt;w:tblStylePr w:type="band1Horz"&gt;
            &lt;w:tblPr /&gt;
            &lt;w:tcPr&gt;
              &lt;w:tcBorders&gt;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&lt;/w:tcBorders&gt;
            &lt;/w:tcPr&gt;
          &lt;/w:tblStylePr&gt;
        &lt;/w:style&gt;
        &lt;w:style w:type="table" w:styleId="LightShading"&gt;
          &lt;w:name w:val="Light Shading" /&gt;
          &lt;w:basedOn w:val="TableNormal" /&gt;
          &lt;w:uiPriority w:val="60" /&gt;
          &lt;w:rPr&gt;
            &lt;w:color w:val="000000" w:themeColor="text1" w:themeShade="BF"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w:color="000000" w:themeColor="text1" /&gt;
                &lt;w:left w:val="nil" /&gt;
                &lt;w:bottom w:val="single" w:sz="8" w:space="0" w:color="000000" w:themeColor="text1"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&lt;w:left w:val="nil" /&gt;
                &lt;w:right w:val="nil" /&gt;
                &lt;w:insideH w:val="nil" /&gt;
                &lt;w:insideV w:val="nil" /&gt;
              &lt;/w:tcBorders&gt;
              &lt;w:shd w:val="clear" w:color="auto" w:fill="C0C0C0" w:themeFill="text1" w:themeFillTint="3F" /&gt;
            &lt;/w:tcPr&gt;
          &lt;/w:tblStylePr&gt;
        &lt;/w:style&gt;
        &lt;w:style w:type="table" w:styleId="LightShading-Accent1"&gt;
          &lt;w:name w:val="Light Shading Accent 1" /&gt;
          &lt;w:basedOn w:val="TableNormal" /&gt;
          &lt;w:uiPriority w:val="60" /&gt;
          &lt;w:rPr&gt;
            &lt;w:color w:val="365F91" w:themeColor="accent1" w:themeShade="BF"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w:color="4F81BD" w:themeColor="accent1" /&gt;
                &lt;w:left w:val="nil" /&gt;
                &lt;w:bottom w:val="single" w:sz="8" w:space="0" w:color="4F81BD" w:themeColor="accent1"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&lt;w:left w:val="nil" /&gt;
                &lt;w:right w:val="nil" /&gt;
                &lt;w:insideH w:val="nil" /&gt;
                &lt;w:insideV w:val="nil" /&gt;
              &lt;/w:tcBorders&gt;
              &lt;w:shd w:val="clear" w:color="auto" w:fill="D3DFEE" w:themeFill="accent1" w:themeFillTint="3F" /&gt;
            &lt;/w:tcPr&gt;
          &lt;/w:tblStylePr&gt;
        &lt;/w:style&gt;
        &lt;w:style w:type="table" w:styleId="LightShading-Accent2"&gt;
          &lt;w:name w:val="Light Shading Accent 2" /&gt;
          &lt;w:basedOn w:val="TableNormal" /&gt;
          &lt;w:uiPriority w:val="60" /&gt;
          &lt;w:rPr&gt;
            &lt;w:color w:val="943634" w:themeColor="accent2" w:themeShade="BF"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w:color="C0504D" w:themeColor="accent2" /&gt;
                &lt;w:left w:val="nil" /&gt;
                &lt;w:bottom w:val="single" w:sz="8" w:space="0" w:color="C0504D" w:themeColor="accent2"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&lt;w:left w:val="nil" /&gt;
                &lt;w:right w:val="nil" /&gt;
                &lt;w:insideH w:val="nil" /&gt;
                &lt;w:insideV w:val="nil" /&gt;
              &lt;/w:tcBorders&gt;
              &lt;w:shd w:val="clear" w:color="auto" w:fill="EFD3D2" w:themeFill="accent2" w:themeFillTint="3F" /&gt;
            &lt;/w:tcPr&gt;
          &lt;/w:tblStylePr&gt;
        &lt;/w:style&gt;
        &lt;w:style w:type="table" w:styleId="LightShading-Accent3"&gt;
          &lt;w:name w:val="Light Shading Accent 3" /&gt;
          &lt;w:basedOn w:val="TableNormal" /&gt;
          &lt;w:uiPriority w:val="60" /&gt;
          &lt;w:rPr&gt;
            &lt;w:color w:val="76923C" w:themeColor="accent3" w:themeShade="BF"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w:color="9BBB59" w:themeColor="accent3" /&gt;
                &lt;w:left w:val="nil" /&gt;
                &lt;w:bottom w:val="single" w:sz="8" w:space="0" w:color="9BBB59" w:themeColor="accent3"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&lt;w:left w:val="nil" /&gt;
                &lt;w:right w:val="nil" /&gt;
                &lt;w:insideH w:val="nil" /&gt;
                &lt;w:insideV w:val="nil" /&gt;
              &lt;/w:tcBorders&gt;
              &lt;w:shd w:val="clear" w:color="auto" w:fill="E6EED5" w:themeFill="accent3" w:themeFillTint="3F" /&gt;
            &lt;/w:tcPr&gt;
          &lt;/w:tblStylePr&gt;
        &lt;/w:style&gt;
        &lt;w:style w:type="table" w:styleId="LightShading-Accent4"&gt;
          &lt;w:name w:val="Light Shading Accent 4" /&gt;
          &lt;w:basedOn w:val="TableNormal" /&gt;
          &lt;w:uiPriority w:val="60" /&gt;
          &lt;w:rPr&gt;
            &lt;w:color w:val="5F497A" w:themeColor="accent4" w:themeShade="BF"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w:color="8064A2" w:themeColor="accent4" /&gt;
                &lt;w:left w:val="nil" /&gt;
                &lt;w:bottom w:val="single" w:sz="8" w:space="0" w:color="8064A2" w:themeColor="accent4"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&lt;w:left w:val="nil" /&gt;
                &lt;w:right w:val="nil" /&gt;
                &lt;w:insideH w:val="nil" /&gt;
                &lt;w:insideV w:val="nil" /&gt;
              &lt;/w:tcBorders&gt;
              &lt;w:shd w:val="clear" w:color="auto" w:fill="DFD8E8" w:themeFill="accent4" w:themeFillTint="3F" /&gt;
            &lt;/w:tcPr&gt;
          &lt;/w:tblStylePr&gt;
        &lt;/w:style&gt;
        &lt;w:style w:type="table" w:styleId="LightShading-Accent5"&gt;
          &lt;w:name w:val="Light Shading Accent 5" /&gt;
          &lt;w:basedOn w:val="TableNormal" /&gt;
          &lt;w:uiPriority w:val="60" /&gt;
          &lt;w:rPr&gt;
            &lt;w:color w:val="31849B" w:themeColor="accent5" w:themeShade="BF"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w:color="4BACC6" w:themeColor="accent5" /&gt;
                &lt;w:left w:val="nil" /&gt;
                &lt;w:bottom w:val="single" w:sz="8" w:space="0" w:color="4BACC6" w:themeColor="accent5"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&lt;w:left w:val="nil" /&gt;
                &lt;w:right w:val="nil" /&gt;
                &lt;w:insideH w:val="nil" /&gt;
                &lt;w:insideV w:val="nil" /&gt;
              &lt;/w:tcBorders&gt;
              &lt;w:shd w:val="clear" w:color="auto" w:fill="D2EAF1" w:themeFill="accent5" w:themeFillTint="3F" /&gt;
            &lt;/w:tcPr&gt;
          &lt;/w:tblStylePr&gt;
        &lt;/w:style&gt;
        &lt;w:style w:type="table" w:styleId="LightShading-Accent6"&gt;
          &lt;w:name w:val="Light Shading Accent 6" /&gt;
          &lt;w:basedOn w:val="TableNormal" /&gt;
          &lt;w:uiPriority w:val="60" /&gt;
          &lt;w:rPr&gt;
            &lt;w:color w:val="E36C0A" w:themeColor="accent6" w:themeShade="BF"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w:type="lastRow"&gt;
            &lt;w:pPr&gt;
              &lt;w:spacing w:before="0" w:after="0" w:line="240" w:lineRule="auto" /&gt;
            &lt;/w:pPr&gt;
            &lt;w:rPr&gt;
              &lt;w:b /&gt;
              &lt;w:bCs /&gt;
            &lt;/w:rPr&gt;
            &lt;w:tblPr /&gt;
            &lt;w:tcPr&gt;
              &lt;w:tcBorders&gt;
                &lt;w:top w:val="single" w:sz="8" w:space="0" w:color="F79646" w:themeColor="accent6" /&gt;
                &lt;w:left w:val="nil" /&gt;
                &lt;w:bottom w:val="single" w:sz="8" w:space="0" w:color="F79646" w:themeColor="accent6" /&gt;
                &lt;w:right w:val="nil"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&lt;w:left w:val="nil" /&gt;
                &lt;w:right w:val="nil" /&gt;
                &lt;w:insideH w:val="nil" /&gt;
                &lt;w:insideV w:val="nil" /&gt;
              &lt;/w:tcBorders&gt;
              &lt;w:shd w:val="clear" w:color="auto" w:fill="FDE4D0" w:themeFill="accent6" w:themeFillTint="3F" /&gt;
            &lt;/w:tcPr&gt;
          &lt;/w:tblStylePr&gt;
        &lt;/w:style&gt;
        &lt;w:style w:type="character" w:styleId="LineNumber"&gt;
          &lt;w:name w:val="line number" /&gt;
          &lt;w:basedOn w:val="DefaultParagraphFont" /&gt;
          &lt;w:semiHidden /&gt;
          &lt;w:unhideWhenUsed /&gt;
        &lt;/w:style&gt;
        &lt;w:style w:type="paragraph" w:styleId="List"&gt;
          &lt;w:name w:val="List" /&gt;
          &lt;w:basedOn w:val="Normal" /&gt;
          &lt;w:semiHidden /&gt;
          &lt;w:unhideWhenUsed /&gt;
          &lt;w:pPr&gt;
            &lt;w:ind w:left="360" w:hanging="360" /&gt;
            &lt;w:contextualSpacing /&gt;
          &lt;/w:pPr&gt;
        &lt;/w:style&gt;
        &lt;w:style w:type="paragraph" w:styleId="List2"&gt;
          &lt;w:name w:val="List 2" /&gt;
          &lt;w:basedOn w:val="Normal" /&gt;
          &lt;w:semiHidden /&gt;
          &lt;w:unhideWhenUsed /&gt;
          &lt;w:pPr&gt;
            &lt;w:ind w:left="720" w:hanging="360" /&gt;
            &lt;w:contextualSpacing /&gt;
          &lt;/w:pPr&gt;
        &lt;/w:style&gt;
        &lt;w:style w:type="paragraph" w:styleId="List3"&gt;
          &lt;w:name w:val="List 3" /&gt;
          &lt;w:basedOn w:val="Normal" /&gt;
          &lt;w:semiHidden /&gt;
          &lt;w:unhideWhenUsed /&gt;
          &lt;w:pPr&gt;
            &lt;w:ind w:left="1080" w:hanging="360" /&gt;
            &lt;w:contextualSpacing /&gt;
          &lt;/w:pPr&gt;
        &lt;/w:style&gt;
        &lt;w:style w:type="paragraph" w:styleId="ListBullet2"&gt;
          &lt;w:name w:val="List Bullet 2" /&gt;
          &lt;w:basedOn w:val="Normal" /&gt;
          &lt;w:semiHidden /&gt;
          &lt;w:unhideWhenUsed /&gt;
          &lt;w:pPr&gt;
            &lt;w:numPr&gt;
              &lt;w:numId w:val="73" /&gt;
            &lt;/w:numPr&gt;
            &lt;w:contextualSpacing /&gt;
          &lt;/w:pPr&gt;
        &lt;/w:style&gt;
        &lt;w:style w:type="paragraph" w:styleId="ListBullet3"&gt;
          &lt;w:name w:val="List Bullet 3" /&gt;
          &lt;w:basedOn w:val="Normal" /&gt;
          &lt;w:semiHidden /&gt;
          &lt;w:unhideWhenUsed /&gt;
          &lt;w:pPr&gt;
            &lt;w:numPr&gt;
              &lt;w:numId w:val="74" /&gt;
            &lt;/w:numPr&gt;
            &lt;w:contextualSpacing /&gt;
          &lt;/w:pPr&gt;
        &lt;/w:style&gt;
        &lt;w:style w:type="paragraph" w:styleId="ListBullet4"&gt;
          &lt;w:name w:val="List Bullet 4" /&gt;
          &lt;w:basedOn w:val="Normal" /&gt;
          &lt;w:semiHidden /&gt;
          &lt;w:unhideWhenUsed /&gt;
          &lt;w:pPr&gt;
            &lt;w:numPr&gt;
              &lt;w:numId w:val="75" /&gt;
            &lt;/w:numPr&gt;
            &lt;w:contextualSpacing /&gt;
          &lt;/w:pPr&gt;
        &lt;/w:style&gt;
        &lt;w:style w:type="paragraph" w:styleId="ListBullet5"&gt;
          &lt;w:name w:val="List Bullet 5" /&gt;
          &lt;w:basedOn w:val="Normal" /&gt;
          &lt;w:semiHidden /&gt;
          &lt;w:unhideWhenUsed /&gt;
          &lt;w:pPr&gt;
            &lt;w:numPr&gt;
              &lt;w:numId w:val="76" /&gt;
            &lt;/w:numPr&gt;
            &lt;w:contextualSpacing /&gt;
          &lt;/w:pPr&gt;
        &lt;/w:style&gt;
        &lt;w:style w:type="paragraph" w:styleId="ListContinue"&gt;
          &lt;w:name w:val="List Continue" /&gt;
          &lt;w:basedOn w:val="Normal" /&gt;
          &lt;w:semiHidden /&gt;
          &lt;w:unhideWhenUsed /&gt;
          &lt;w:pPr&gt;
            &lt;w:ind w:left="360" /&gt;
            &lt;w:contextualSpacing /&gt;
          &lt;/w:pPr&gt;
        &lt;/w:style&gt;
        &lt;w:style w:type="paragraph" w:styleId="ListContinue2"&gt;
          &lt;w:name w:val="List Continue 2" /&gt;
          &lt;w:basedOn w:val="Normal" /&gt;
          &lt;w:semiHidden /&gt;
          &lt;w:unhideWhenUsed /&gt;
          &lt;w:pPr&gt;
            &lt;w:ind w:left="720" /&gt;
            &lt;w:contextualSpacing /&gt;
          &lt;/w:pPr&gt;
        &lt;/w:style&gt;
        &lt;w:style w:type="paragraph" w:styleId="ListContinue3"&gt;
          &lt;w:name w:val="List Continue 3" /&gt;
          &lt;w:basedOn w:val="Normal" /&gt;
          &lt;w:semiHidden /&gt;
          &lt;w:unhideWhenUsed /&gt;
          &lt;w:pPr&gt;
            &lt;w:ind w:left="1080" /&gt;
            &lt;w:contextualSpacing /&gt;
          &lt;/w:pPr&gt;
        &lt;/w:style&gt;
        &lt;w:style w:type="paragraph" w:styleId="ListContinue4"&gt;
          &lt;w:name w:val="List Continue 4" /&gt;
          &lt;w:basedOn w:val="Normal" /&gt;
          &lt;w:semiHidden /&gt;
          &lt;w:unhideWhenUsed /&gt;
          &lt;w:pPr&gt;
            &lt;w:ind w:left="1440" /&gt;
            &lt;w:contextualSpacing /&gt;
          &lt;/w:pPr&gt;
        &lt;/w:style&gt;
        &lt;w:style w:type="paragraph" w:styleId="ListContinue5"&gt;
          &lt;w:name w:val="List Continue 5" /&gt;
          &lt;w:basedOn w:val="Normal" /&gt;
          &lt;w:semiHidden /&gt;
          &lt;w:unhideWhenUsed /&gt;
          &lt;w:pPr&gt;
            &lt;w:ind w:left="1800" /&gt;
            &lt;w:contextualSpacing /&gt;
          &lt;/w:pPr&gt;
        &lt;/w:style&gt;
        &lt;w:style w:type="paragraph" w:styleId="ListNumber2"&gt;
          &lt;w:name w:val="List Number 2" /&gt;
          &lt;w:basedOn w:val="Normal" /&gt;
          &lt;w:semiHidden /&gt;
          &lt;w:unhideWhenUsed /&gt;
          &lt;w:pPr&gt;
            &lt;w:numPr&gt;
              &lt;w:numId w:val="78" /&gt;
            &lt;/w:numPr&gt;
            &lt;w:contextualSpacing /&gt;
          &lt;/w:pPr&gt;
        &lt;/w:style&gt;
        &lt;w:style w:type="paragraph" w:styleId="ListNumber3"&gt;
          &lt;w:name w:val="List Number 3" /&gt;
          &lt;w:basedOn w:val="Normal" /&gt;
          &lt;w:semiHidden /&gt;
          &lt;w:unhideWhenUsed /&gt;
          &lt;w:pPr&gt;
            &lt;w:numPr&gt;
              &lt;w:numId w:val="79" /&gt;
            &lt;/w:numPr&gt;
            &lt;w:contextualSpacing /&gt;
          &lt;/w:pPr&gt;
        &lt;/w:style&gt;
        &lt;w:style w:type="paragraph" w:styleId="ListNumber4"&gt;
          &lt;w:name w:val="List Number 4" /&gt;
          &lt;w:basedOn w:val="Normal" /&gt;
          &lt;w:semiHidden /&gt;
          &lt;w:unhideWhenUsed /&gt;
          &lt;w:pPr&gt;
            &lt;w:numPr&gt;
              &lt;w:numId w:val="80" /&gt;
            &lt;/w:numPr&gt;
            &lt;w:contextualSpacing /&gt;
          &lt;/w:pPr&gt;
        &lt;/w:style&gt;
        &lt;w:style w:type="paragraph" w:styleId="ListNumber5"&gt;
          &lt;w:name w:val="List Number 5" /&gt;
          &lt;w:basedOn w:val="Normal" /&gt;
          &lt;w:semiHidden /&gt;
          &lt;w:unhideWhenUsed /&gt;
          &lt;w:pPr&gt;
            &lt;w:numPr&gt;
              &lt;w:numId w:val="81" /&gt;
            &lt;/w:numPr&gt;
            &lt;w:contextualSpacing /&gt;
          &lt;/w:pPr&gt;
        &lt;/w:style&gt;
        &lt;w:style w:type="paragraph" w:styleId="MacroText"&gt;
          &lt;w:name w:val="macro" /&gt;
          &lt;w:link w:val="MacroTextChar" /&gt;
          &lt;w:semiHidden /&gt;
          &lt;w:unhideWhenUsed /&gt;
          &lt;w:pPr&gt;
            &lt;w:tabs&gt;
              &lt;w:tab w:val="left" w:pos="480" /&gt;
              &lt;w:tab w:val="left" w:pos="960" /&gt;
              &lt;w:tab w:val="left" w:pos="1440" /&gt;
              &lt;w:tab w:val="left" w:pos="1920" /&gt;
              &lt;w:tab w:val="left" w:pos="2400" /&gt;
              &lt;w:tab w:val="left" w:pos="2880" /&gt;
              &lt;w:tab w:val="left" w:pos="3360" /&gt;
              &lt;w:tab w:val="left" w:pos="3840" /&gt;
              &lt;w:tab w:val="left" w:pos="4320" /&gt;
            &lt;/w:tabs&gt;
            &lt;w:spacing w:before="120" w:line="280" w:lineRule="atLeast" /&gt;
          &lt;/w:pPr&gt;
          &lt;w:rPr&gt;
            &lt;w:rFonts w:ascii="Consolas" w:eastAsia="Calibri" w:hAnsi="Consolas" w:cs="Consolas" /&gt;
          &lt;/w:rPr&gt;
        &lt;/w:style&gt;
        &lt;w:style w:type="character" w:customStyle="1" w:styleId="MacroTextChar"&gt;
          &lt;w:name w:val="Macro Text Char" /&gt;
          &lt;w:basedOn w:val="DefaultParagraphFont" /&gt;
          &lt;w:link w:val="MacroText" /&gt;
          &lt;w:semiHidden /&gt;
          &lt;w:rPr&gt;
            &lt;w:rFonts w:ascii="Consolas" w:eastAsia="Calibri" w:hAnsi="Consolas" w:cs="Consolas" /&gt;
          &lt;/w:rPr&gt;
        &lt;/w:style&gt;
        &lt;w:style w:type="table" w:styleId="MediumGrid1"&gt;
          &lt;w:name w:val="Medium Grid 1" /&gt;
          &lt;w:basedOn w:val="TableNormal" /&gt;
          &lt;w:uiPriority w:val="67"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&lt;w:insideV w:val="single" w:sz="8" w:space="0" w:color="404040" w:themeColor="text1" w:themeTint="BF" /&gt;
            &lt;/w:tblBorders&gt;
          &lt;/w:tblPr&gt;
          &lt;w:tcPr&gt;
            &lt;w:shd w:val="clear" w:color="auto" w:fill="C0C0C0" w:themeFill="text1" w:themeFillTint="3F" /&gt;
          &lt;/w:tcPr&gt;
          &lt;w:tblStylePr w:type="firstRow"&gt;
            &lt;w:rPr&gt;
              &lt;w:b /&gt;
              &lt;w:bCs /&gt;
            &lt;/w:rPr&gt;
          &lt;/w:tblStylePr&gt;
          &lt;w:tblStylePr w:type="lastRow"&gt;
            &lt;w:rPr&gt;
              &lt;w:b /&gt;
              &lt;w:bCs /&gt;
            &lt;/w:rPr&gt;
            &lt;w:tblPr /&gt;
            &lt;w:tcPr&gt;
              &lt;w:tcBorders&gt;
                &lt;w:top w:val="single" w:sz="18" w:space="0" w:color="404040" w:themeColor="text1"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w:fill="808080" w:themeFill="text1" w:themeFillTint="7F" /&gt;
            &lt;/w:tcPr&gt;
          &lt;/w:tblStylePr&gt;
          &lt;w:tblStylePr w:type="band1Horz"&gt;
            &lt;w:tblPr /&gt;
            &lt;w:tcPr&gt;
              &lt;w:shd w:val="clear" w:color="auto" w:fill="808080" w:themeFill="text1" w:themeFillTint="7F" /&gt;
            &lt;/w:tcPr&gt;
          &lt;/w:tblStylePr&gt;
        &lt;/w:style&gt;
        &lt;w:style w:type="table" w:styleId="MediumGrid1-Accent1"&gt;
          &lt;w:name w:val="Medium Grid 1 Accent 1" /&gt;
          &lt;w:basedOn w:val="TableNormal" /&gt;
          &lt;w:uiPriority w:val="67"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&lt;w:insideV w:val="single" w:sz="8" w:space="0" w:color="7BA0CD" w:themeColor="accent1" w:themeTint="BF" /&gt;
            &lt;/w:tblBorders&gt;
          &lt;/w:tblPr&gt;
          &lt;w:tcPr&gt;
            &lt;w:shd w:val="clear" w:color="auto" w:fill="D3DFEE" w:themeFill="accent1" w:themeFillTint="3F" /&gt;
          &lt;/w:tcPr&gt;
          &lt;w:tblStylePr w:type="firstRow"&gt;
            &lt;w:rPr&gt;
              &lt;w:b /&gt;
              &lt;w:bCs /&gt;
            &lt;/w:rPr&gt;
          &lt;/w:tblStylePr&gt;
          &lt;w:tblStylePr w:type="lastRow"&gt;
            &lt;w:rPr&gt;
              &lt;w:b /&gt;
              &lt;w:bCs /&gt;
            &lt;/w:rPr&gt;
            &lt;w:tblPr /&gt;
            &lt;w:tcPr&gt;
              &lt;w:tcBorders&gt;
                &lt;w:top w:val="single" w:sz="18" w:space="0" w:color="7BA0CD" w:themeColor="accent1"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w:fill="A7BFDE" w:themeFill="accent1" w:themeFillTint="7F" /&gt;
            &lt;/w:tcPr&gt;
          &lt;/w:tblStylePr&gt;
          &lt;w:tblStylePr w:type="band1Horz"&gt;
            &lt;w:tblPr /&gt;
            &lt;w:tcPr&gt;
              &lt;w:shd w:val="clear" w:color="auto" w:fill="A7BFDE" w:themeFill="accent1" w:themeFillTint="7F" /&gt;
            &lt;/w:tcPr&gt;
          &lt;/w:tblStylePr&gt;
        &lt;/w:style&gt;
        &lt;w:style w:type="table" w:styleId="MediumGrid1-Accent2"&gt;
          &lt;w:name w:val="Medium Grid 1 Accent 2" /&gt;
          &lt;w:basedOn w:val="TableNormal" /&gt;
          &lt;w:uiPriority w:val="67"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&lt;w:insideV w:val="single" w:sz="8" w:space="0" w:color="CF7B79" w:themeColor="accent2" w:themeTint="BF" /&gt;
            &lt;/w:tblBorders&gt;
          &lt;/w:tblPr&gt;
          &lt;w:tcPr&gt;
            &lt;w:shd w:val="clear" w:color="auto" w:fill="EFD3D2" w:themeFill="accent2" w:themeFillTint="3F" /&gt;
          &lt;/w:tcPr&gt;
          &lt;w:tblStylePr w:type="firstRow"&gt;
            &lt;w:rPr&gt;
              &lt;w:b /&gt;
              &lt;w:bCs /&gt;
            &lt;/w:rPr&gt;
          &lt;/w:tblStylePr&gt;
          &lt;w:tblStylePr w:type="lastRow"&gt;
            &lt;w:rPr&gt;
              &lt;w:b /&gt;
              &lt;w:bCs /&gt;
            &lt;/w:rPr&gt;
            &lt;w:tblPr /&gt;
            &lt;w:tcPr&gt;
              &lt;w:tcBorders&gt;
                &lt;w:top w:val="single" w:sz="18" w:space="0" w:color="CF7B79" w:themeColor="accent2"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w:fill="DFA7A6" w:themeFill="accent2" w:themeFillTint="7F" /&gt;
            &lt;/w:tcPr&gt;
          &lt;/w:tblStylePr&gt;
          &lt;w:tblStylePr w:type="band1Horz"&gt;
            &lt;w:tblPr /&gt;
            &lt;w:tcPr&gt;
              &lt;w:shd w:val="clear" w:color="auto" w:fill="DFA7A6" w:themeFill="accent2" w:themeFillTint="7F" /&gt;
            &lt;/w:tcPr&gt;
          &lt;/w:tblStylePr&gt;
        &lt;/w:style&gt;
        &lt;w:style w:type="table" w:styleId="MediumGrid1-Accent3"&gt;
          &lt;w:name w:val="Medium Grid 1 Accent 3" /&gt;
          &lt;w:basedOn w:val="TableNormal" /&gt;
          &lt;w:uiPriority w:val="67"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&lt;w:insideV w:val="single" w:sz="8" w:space="0" w:color="B3CC82" w:themeColor="accent3" w:themeTint="BF" /&gt;
            &lt;/w:tblBorders&gt;
          &lt;/w:tblPr&gt;
          &lt;w:tcPr&gt;
            &lt;w:shd w:val="clear" w:color="auto" w:fill="E6EED5" w:themeFill="accent3" w:themeFillTint="3F" /&gt;
          &lt;/w:tcPr&gt;
          &lt;w:tblStylePr w:type="firstRow"&gt;
            &lt;w:rPr&gt;
              &lt;w:b /&gt;
              &lt;w:bCs /&gt;
            &lt;/w:rPr&gt;
          &lt;/w:tblStylePr&gt;
          &lt;w:tblStylePr w:type="lastRow"&gt;
            &lt;w:rPr&gt;
              &lt;w:b /&gt;
              &lt;w:bCs /&gt;
            &lt;/w:rPr&gt;
            &lt;w:tblPr /&gt;
            &lt;w:tcPr&gt;
              &lt;w:tcBorders&gt;
                &lt;w:top w:val="single" w:sz="18" w:space="0" w:color="B3CC82" w:themeColor="accent3"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w:fill="CDDDAC" w:themeFill="accent3" w:themeFillTint="7F" /&gt;
            &lt;/w:tcPr&gt;
          &lt;/w:tblStylePr&gt;
          &lt;w:tblStylePr w:type="band1Horz"&gt;
            &lt;w:tblPr /&gt;
            &lt;w:tcPr&gt;
              &lt;w:shd w:val="clear" w:color="auto" w:fill="CDDDAC" w:themeFill="accent3" w:themeFillTint="7F" /&gt;
            &lt;/w:tcPr&gt;
          &lt;/w:tblStylePr&gt;
        &lt;/w:style&gt;
        &lt;w:style w:type="table" w:styleId="MediumGrid1-Accent4"&gt;
          &lt;w:name w:val="Medium Grid 1 Accent 4" /&gt;
          &lt;w:basedOn w:val="TableNormal" /&gt;
          &lt;w:uiPriority w:val="67"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&lt;w:insideV w:val="single" w:sz="8" w:space="0" w:color="9F8AB9" w:themeColor="accent4" w:themeTint="BF" /&gt;
            &lt;/w:tblBorders&gt;
          &lt;/w:tblPr&gt;
          &lt;w:tcPr&gt;
            &lt;w:shd w:val="clear" w:color="auto" w:fill="DFD8E8" w:themeFill="accent4" w:themeFillTint="3F" /&gt;
          &lt;/w:tcPr&gt;
          &lt;w:tblStylePr w:type="firstRow"&gt;
            &lt;w:rPr&gt;
              &lt;w:b /&gt;
              &lt;w:bCs /&gt;
            &lt;/w:rPr&gt;
          &lt;/w:tblStylePr&gt;
          &lt;w:tblStylePr w:type="lastRow"&gt;
            &lt;w:rPr&gt;
              &lt;w:b /&gt;
              &lt;w:bCs /&gt;
            &lt;/w:rPr&gt;
            &lt;w:tblPr /&gt;
            &lt;w:tcPr&gt;
              &lt;w:tcBorders&gt;
                &lt;w:top w:val="single" w:sz="18" w:space="0" w:color="9F8AB9" w:themeColor="accent4"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w:fill="BFB1D0" w:themeFill="accent4" w:themeFillTint="7F" /&gt;
            &lt;/w:tcPr&gt;
          &lt;/w:tblStylePr&gt;
          &lt;w:tblStylePr w:type="band1Horz"&gt;
            &lt;w:tblPr /&gt;
            &lt;w:tcPr&gt;
              &lt;w:shd w:val="clear" w:color="auto" w:fill="BFB1D0" w:themeFill="accent4" w:themeFillTint="7F" /&gt;
            &lt;/w:tcPr&gt;
          &lt;/w:tblStylePr&gt;
        &lt;/w:style&gt;
        &lt;w:style w:type="table" w:styleId="MediumGrid1-Accent5"&gt;
          &lt;w:name w:val="Medium Grid 1 Accent 5" /&gt;
          &lt;w:basedOn w:val="TableNormal" /&gt;
          &lt;w:uiPriority w:val="67"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&lt;w:insideV w:val="single" w:sz="8" w:space="0" w:color="78C0D4" w:themeColor="accent5" w:themeTint="BF" /&gt;
            &lt;/w:tblBorders&gt;
          &lt;/w:tblPr&gt;
          &lt;w:tcPr&gt;
            &lt;w:shd w:val="clear" w:color="auto" w:fill="D2EAF1" w:themeFill="accent5" w:themeFillTint="3F" /&gt;
          &lt;/w:tcPr&gt;
          &lt;w:tblStylePr w:type="firstRow"&gt;
            &lt;w:rPr&gt;
              &lt;w:b /&gt;
              &lt;w:bCs /&gt;
            &lt;/w:rPr&gt;
          &lt;/w:tblStylePr&gt;
          &lt;w:tblStylePr w:type="lastRow"&gt;
            &lt;w:rPr&gt;
              &lt;w:b /&gt;
              &lt;w:bCs /&gt;
            &lt;/w:rPr&gt;
            &lt;w:tblPr /&gt;
            &lt;w:tcPr&gt;
              &lt;w:tcBorders&gt;
                &lt;w:top w:val="single" w:sz="18" w:space="0" w:color="78C0D4" w:themeColor="accent5"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w:fill="A5D5E2" w:themeFill="accent5" w:themeFillTint="7F" /&gt;
            &lt;/w:tcPr&gt;
          &lt;/w:tblStylePr&gt;
          &lt;w:tblStylePr w:type="band1Horz"&gt;
            &lt;w:tblPr /&gt;
            &lt;w:tcPr&gt;
              &lt;w:shd w:val="clear" w:color="auto" w:fill="A5D5E2" w:themeFill="accent5" w:themeFillTint="7F" /&gt;
            &lt;/w:tcPr&gt;
          &lt;/w:tblStylePr&gt;
        &lt;/w:style&gt;
        &lt;w:style w:type="table" w:styleId="MediumGrid1-Accent6"&gt;
          &lt;w:name w:val="Medium Grid 1 Accent 6" /&gt;
          &lt;w:basedOn w:val="TableNormal" /&gt;
          &lt;w:uiPriority w:val="67"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&lt;w:insideV w:val="single" w:sz="8" w:space="0" w:color="F9B074" w:themeColor="accent6" w:themeTint="BF" /&gt;
            &lt;/w:tblBorders&gt;
          &lt;/w:tblPr&gt;
          &lt;w:tcPr&gt;
            &lt;w:shd w:val="clear" w:color="auto" w:fill="FDE4D0" w:themeFill="accent6" w:themeFillTint="3F" /&gt;
          &lt;/w:tcPr&gt;
          &lt;w:tblStylePr w:type="firstRow"&gt;
            &lt;w:rPr&gt;
              &lt;w:b /&gt;
              &lt;w:bCs /&gt;
            &lt;/w:rPr&gt;
          &lt;/w:tblStylePr&gt;
          &lt;w:tblStylePr w:type="lastRow"&gt;
            &lt;w:rPr&gt;
              &lt;w:b /&gt;
              &lt;w:bCs /&gt;
            &lt;/w:rPr&gt;
            &lt;w:tblPr /&gt;
            &lt;w:tcPr&gt;
              &lt;w:tcBorders&gt;
                &lt;w:top w:val="single" w:sz="18" w:space="0" w:color="F9B074" w:themeColor="accent6" w:themeTint="BF"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w:fill="FBCAA2" w:themeFill="accent6" w:themeFillTint="7F" /&gt;
            &lt;/w:tcPr&gt;
          &lt;/w:tblStylePr&gt;
          &lt;w:tblStylePr w:type="band1Horz"&gt;
            &lt;w:tblPr /&gt;
            &lt;w:tcPr&gt;
              &lt;w:shd w:val="clear" w:color="auto" w:fill="FBCAA2" w:themeFill="accent6" w:themeFillTint="7F" /&gt;
            &lt;/w:tcPr&gt;
          &lt;/w:tblStylePr&gt;
        &lt;/w:style&gt;
        &lt;w:style w:type="table" w:styleId="MediumGrid2"&gt;
          &lt;w:name w:val="Medium Grid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&lt;w:insideH w:val="single" w:sz="8" w:space="0" w:color="000000" w:themeColor="text1" /&gt;
              &lt;w:insideV w:val="single" w:sz="8" w:space="0" w:color="000000" w:themeColor="text1" /&gt;
            &lt;/w:tblBorders&gt;
          &lt;/w:tblPr&gt;
          &lt;w:tcPr&gt;
            &lt;w:shd w:val="clear" w:color="auto" w:fill="C0C0C0" w:themeFill="text1" w:themeFillTint="3F" /&gt;
          &lt;/w:tcPr&gt;
          &lt;w:tblStylePr w:type="firstRow"&gt;
            &lt;w:rPr&gt;
              &lt;w:b /&gt;
              &lt;w:bCs /&gt;
              &lt;w:color w:val="000000" w:themeColor="text1" /&gt;
            &lt;/w:rPr&gt;
            &lt;w:tblPr /&gt;
            &lt;w:tcPr&gt;
              &lt;w:shd w:val="clear" w:color="auto" w:fill="E6E6E6" w:themeFill="text1"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w:fill="CCCCCC" w:themeFill="text1" w:themeFillTint="33" /&gt;
            &lt;/w:tcPr&gt;
          &lt;/w:tblStylePr&gt;
          &lt;w:tblStylePr w:type="band1Vert"&gt;
            &lt;w:tblPr /&gt;
            &lt;w:tcPr&gt;
              &lt;w:shd w:val="clear" w:color="auto" w:fill="808080" w:themeFill="text1" w:themeFillTint="7F" /&gt;
            &lt;/w:tcPr&gt;
          &lt;/w:tblStylePr&gt;
          &lt;w:tblStylePr w:type="band1Horz"&gt;
            &lt;w:tblPr /&gt;
            &lt;w:tcPr&gt;
              &lt;w:tcBorders&gt;
                &lt;w:insideH w:val="single" w:sz="6" w:space="0" w:color="000000" w:themeColor="text1" /&gt;
                &lt;w:insideV w:val="single" w:sz="6" w:space="0" w:color="000000" w:themeColor="text1" /&gt;
              &lt;/w:tcBorders&gt;
              &lt;w:shd w:val="clear" w:color="auto" w:fill="808080" w:themeFill="text1" w:themeFillTint="7F" /&gt;
            &lt;/w:tcPr&gt;
          &lt;/w:tblStylePr&gt;
          &lt;w:tblStylePr w:type="nwCell"&gt;
            &lt;w:tblPr /&gt;
            &lt;w:tcPr&gt;
              &lt;w:shd w:val="clear" w:color="auto" w:fill="FFFFFF" w:themeFill="background1" /&gt;
            &lt;/w:tcPr&gt;
          &lt;/w:tblStylePr&gt;
        &lt;/w:style&gt;
        &lt;w:style w:type="table" w:styleId="MediumGrid2-Accent1"&gt;
          &lt;w:name w:val="Medium Grid 2 Accent 1"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&lt;w:insideH w:val="single" w:sz="8" w:space="0" w:color="4F81BD" w:themeColor="accent1" /&gt;
              &lt;w:insideV w:val="single" w:sz="8" w:space="0" w:color="4F81BD" w:themeColor="accent1" /&gt;
            &lt;/w:tblBorders&gt;
          &lt;/w:tblPr&gt;
          &lt;w:tcPr&gt;
            &lt;w:shd w:val="clear" w:color="auto" w:fill="D3DFEE" w:themeFill="accent1" w:themeFillTint="3F" /&gt;
          &lt;/w:tcPr&gt;
          &lt;w:tblStylePr w:type="firstRow"&gt;
            &lt;w:rPr&gt;
              &lt;w:b /&gt;
              &lt;w:bCs /&gt;
              &lt;w:color w:val="000000" w:themeColor="text1" /&gt;
            &lt;/w:rPr&gt;
            &lt;w:tblPr /&gt;
            &lt;w:tcPr&gt;
              &lt;w:shd w:val="clear" w:color="auto" w:fill="EDF2F8" w:themeFill="accent1"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w:fill="DBE5F1" w:themeFill="accent1" w:themeFillTint="33" /&gt;
            &lt;/w:tcPr&gt;
          &lt;/w:tblStylePr&gt;
          &lt;w:tblStylePr w:type="band1Vert"&gt;
            &lt;w:tblPr /&gt;
            &lt;w:tcPr&gt;
              &lt;w:shd w:val="clear" w:color="auto" w:fill="A7BFDE" w:themeFill="accent1" w:themeFillTint="7F" /&gt;
            &lt;/w:tcPr&gt;
          &lt;/w:tblStylePr&gt;
          &lt;w:tblStylePr w:type="band1Horz"&gt;
            &lt;w:tblPr /&gt;
            &lt;w:tcPr&gt;
              &lt;w:tcBorders&gt;
                &lt;w:insideH w:val="single" w:sz="6" w:space="0" w:color="4F81BD" w:themeColor="accent1" /&gt;
                &lt;w:insideV w:val="single" w:sz="6" w:space="0" w:color="4F81BD" w:themeColor="accent1" /&gt;
              &lt;/w:tcBorders&gt;
              &lt;w:shd w:val="clear" w:color="auto" w:fill="A7BFDE" w:themeFill="accent1" w:themeFillTint="7F" /&gt;
            &lt;/w:tcPr&gt;
          &lt;/w:tblStylePr&gt;
          &lt;w:tblStylePr w:type="nwCell"&gt;
            &lt;w:tblPr /&gt;
            &lt;w:tcPr&gt;
              &lt;w:shd w:val="clear" w:color="auto" w:fill="FFFFFF" w:themeFill="background1" /&gt;
            &lt;/w:tcPr&gt;
          &lt;/w:tblStylePr&gt;
        &lt;/w:style&gt;
        &lt;w:style w:type="table" w:styleId="MediumGrid2-Accent2"&gt;
          &lt;w:name w:val="Medium Grid 2 Accent 2"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&lt;w:insideH w:val="single" w:sz="8" w:space="0" w:color="C0504D" w:themeColor="accent2" /&gt;
              &lt;w:insideV w:val="single" w:sz="8" w:space="0" w:color="C0504D" w:themeColor="accent2" /&gt;
            &lt;/w:tblBorders&gt;
          &lt;/w:tblPr&gt;
          &lt;w:tcPr&gt;
            &lt;w:shd w:val="clear" w:color="auto" w:fill="EFD3D2" w:themeFill="accent2" w:themeFillTint="3F" /&gt;
          &lt;/w:tcPr&gt;
          &lt;w:tblStylePr w:type="firstRow"&gt;
            &lt;w:rPr&gt;
              &lt;w:b /&gt;
              &lt;w:bCs /&gt;
              &lt;w:color w:val="000000" w:themeColor="text1" /&gt;
            &lt;/w:rPr&gt;
            &lt;w:tblPr /&gt;
            &lt;w:tcPr&gt;
              &lt;w:shd w:val="clear" w:color="auto" w:fill="F8EDED" w:themeFill="accent2"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w:fill="F2DBDB" w:themeFill="accent2" w:themeFillTint="33" /&gt;
            &lt;/w:tcPr&gt;
          &lt;/w:tblStylePr&gt;
          &lt;w:tblStylePr w:type="band1Vert"&gt;
            &lt;w:tblPr /&gt;
            &lt;w:tcPr&gt;
              &lt;w:shd w:val="clear" w:color="auto" w:fill="DFA7A6" w:themeFill="accent2" w:themeFillTint="7F" /&gt;
            &lt;/w:tcPr&gt;
          &lt;/w:tblStylePr&gt;
          &lt;w:tblStylePr w:type="band1Horz"&gt;
            &lt;w:tblPr /&gt;
            &lt;w:tcPr&gt;
              &lt;w:tcBorders&gt;
                &lt;w:insideH w:val="single" w:sz="6" w:space="0" w:color="C0504D" w:themeColor="accent2" /&gt;
                &lt;w:insideV w:val="single" w:sz="6" w:space="0" w:color="C0504D" w:themeColor="accent2" /&gt;
              &lt;/w:tcBorders&gt;
              &lt;w:shd w:val="clear" w:color="auto" w:fill="DFA7A6" w:themeFill="accent2" w:themeFillTint="7F" /&gt;
            &lt;/w:tcPr&gt;
          &lt;/w:tblStylePr&gt;
          &lt;w:tblStylePr w:type="nwCell"&gt;
            &lt;w:tblPr /&gt;
            &lt;w:tcPr&gt;
              &lt;w:shd w:val="clear" w:color="auto" w:fill="FFFFFF" w:themeFill="background1" /&gt;
            &lt;/w:tcPr&gt;
          &lt;/w:tblStylePr&gt;
        &lt;/w:style&gt;
        &lt;w:style w:type="table" w:styleId="MediumGrid2-Accent3"&gt;
          &lt;w:name w:val="Medium Grid 2 Accent 3"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&lt;w:insideH w:val="single" w:sz="8" w:space="0" w:color="9BBB59" w:themeColor="accent3" /&gt;
              &lt;w:insideV w:val="single" w:sz="8" w:space="0" w:color="9BBB59" w:themeColor="accent3" /&gt;
            &lt;/w:tblBorders&gt;
          &lt;/w:tblPr&gt;
          &lt;w:tcPr&gt;
            &lt;w:shd w:val="clear" w:color="auto" w:fill="E6EED5" w:themeFill="accent3" w:themeFillTint="3F" /&gt;
          &lt;/w:tcPr&gt;
          &lt;w:tblStylePr w:type="firstRow"&gt;
            &lt;w:rPr&gt;
              &lt;w:b /&gt;
              &lt;w:bCs /&gt;
              &lt;w:color w:val="000000" w:themeColor="text1" /&gt;
            &lt;/w:rPr&gt;
            &lt;w:tblPr /&gt;
            &lt;w:tcPr&gt;
              &lt;w:shd w:val="clear" w:color="auto" w:fill="F5F8EE" w:themeFill="accent3"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w:fill="EAF1DD" w:themeFill="accent3" w:themeFillTint="33" /&gt;
            &lt;/w:tcPr&gt;
          &lt;/w:tblStylePr&gt;
          &lt;w:tblStylePr w:type="band1Vert"&gt;
            &lt;w:tblPr /&gt;
            &lt;w:tcPr&gt;
              &lt;w:shd w:val="clear" w:color="auto" w:fill="CDDDAC" w:themeFill="accent3" w:themeFillTint="7F" /&gt;
            &lt;/w:tcPr&gt;
          &lt;/w:tblStylePr&gt;
          &lt;w:tblStylePr w:type="band1Horz"&gt;
            &lt;w:tblPr /&gt;
            &lt;w:tcPr&gt;
              &lt;w:tcBorders&gt;
                &lt;w:insideH w:val="single" w:sz="6" w:space="0" w:color="9BBB59" w:themeColor="accent3" /&gt;
                &lt;w:insideV w:val="single" w:sz="6" w:space="0" w:color="9BBB59" w:themeColor="accent3" /&gt;
              &lt;/w:tcBorders&gt;
              &lt;w:shd w:val="clear" w:color="auto" w:fill="CDDDAC" w:themeFill="accent3" w:themeFillTint="7F" /&gt;
            &lt;/w:tcPr&gt;
          &lt;/w:tblStylePr&gt;
          &lt;w:tblStylePr w:type="nwCell"&gt;
            &lt;w:tblPr /&gt;
            &lt;w:tcPr&gt;
              &lt;w:shd w:val="clear" w:color="auto" w:fill="FFFFFF" w:themeFill="background1" /&gt;
            &lt;/w:tcPr&gt;
          &lt;/w:tblStylePr&gt;
        &lt;/w:style&gt;
        &lt;w:style w:type="table" w:styleId="MediumGrid2-Accent4"&gt;
          &lt;w:name w:val="Medium Grid 2 Accent 4"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&lt;w:insideH w:val="single" w:sz="8" w:space="0" w:color="8064A2" w:themeColor="accent4" /&gt;
              &lt;w:insideV w:val="single" w:sz="8" w:space="0" w:color="8064A2" w:themeColor="accent4" /&gt;
            &lt;/w:tblBorders&gt;
          &lt;/w:tblPr&gt;
          &lt;w:tcPr&gt;
            &lt;w:shd w:val="clear" w:color="auto" w:fill="DFD8E8" w:themeFill="accent4" w:themeFillTint="3F" /&gt;
          &lt;/w:tcPr&gt;
          &lt;w:tblStylePr w:type="firstRow"&gt;
            &lt;w:rPr&gt;
              &lt;w:b /&gt;
              &lt;w:bCs /&gt;
              &lt;w:color w:val="000000" w:themeColor="text1" /&gt;
            &lt;/w:rPr&gt;
            &lt;w:tblPr /&gt;
            &lt;w:tcPr&gt;
              &lt;w:shd w:val="clear" w:color="auto" w:fill="F2EFF6" w:themeFill="accent4"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w:fill="E5DFEC" w:themeFill="accent4" w:themeFillTint="33" /&gt;
            &lt;/w:tcPr&gt;
          &lt;/w:tblStylePr&gt;
          &lt;w:tblStylePr w:type="band1Vert"&gt;
            &lt;w:tblPr /&gt;
            &lt;w:tcPr&gt;
              &lt;w:shd w:val="clear" w:color="auto" w:fill="BFB1D0" w:themeFill="accent4" w:themeFillTint="7F" /&gt;
            &lt;/w:tcPr&gt;
          &lt;/w:tblStylePr&gt;
          &lt;w:tblStylePr w:type="band1Horz"&gt;
            &lt;w:tblPr /&gt;
            &lt;w:tcPr&gt;
              &lt;w:tcBorders&gt;
                &lt;w:insideH w:val="single" w:sz="6" w:space="0" w:color="8064A2" w:themeColor="accent4" /&gt;
                &lt;w:insideV w:val="single" w:sz="6" w:space="0" w:color="8064A2" w:themeColor="accent4" /&gt;
              &lt;/w:tcBorders&gt;
              &lt;w:shd w:val="clear" w:color="auto" w:fill="BFB1D0" w:themeFill="accent4" w:themeFillTint="7F" /&gt;
            &lt;/w:tcPr&gt;
          &lt;/w:tblStylePr&gt;
          &lt;w:tblStylePr w:type="nwCell"&gt;
            &lt;w:tblPr /&gt;
            &lt;w:tcPr&gt;
              &lt;w:shd w:val="clear" w:color="auto" w:fill="FFFFFF" w:themeFill="background1" /&gt;
            &lt;/w:tcPr&gt;
          &lt;/w:tblStylePr&gt;
        &lt;/w:style&gt;
        &lt;w:style w:type="table" w:styleId="MediumGrid2-Accent5"&gt;
          &lt;w:name w:val="Medium Grid 2 Accent 5"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&lt;w:insideH w:val="single" w:sz="8" w:space="0" w:color="4BACC6" w:themeColor="accent5" /&gt;
              &lt;w:insideV w:val="single" w:sz="8" w:space="0" w:color="4BACC6" w:themeColor="accent5" /&gt;
            &lt;/w:tblBorders&gt;
          &lt;/w:tblPr&gt;
          &lt;w:tcPr&gt;
            &lt;w:shd w:val="clear" w:color="auto" w:fill="D2EAF1" w:themeFill="accent5" w:themeFillTint="3F" /&gt;
          &lt;/w:tcPr&gt;
          &lt;w:tblStylePr w:type="firstRow"&gt;
            &lt;w:rPr&gt;
              &lt;w:b /&gt;
              &lt;w:bCs /&gt;
              &lt;w:color w:val="000000" w:themeColor="text1" /&gt;
            &lt;/w:rPr&gt;
            &lt;w:tblPr /&gt;
            &lt;w:tcPr&gt;
              &lt;w:shd w:val="clear" w:color="auto" w:fill="EDF6F9" w:themeFill="accent5"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w:fill="DAEEF3" w:themeFill="accent5" w:themeFillTint="33" /&gt;
            &lt;/w:tcPr&gt;
          &lt;/w:tblStylePr&gt;
          &lt;w:tblStylePr w:type="band1Vert"&gt;
            &lt;w:tblPr /&gt;
            &lt;w:tcPr&gt;
              &lt;w:shd w:val="clear" w:color="auto" w:fill="A5D5E2" w:themeFill="accent5" w:themeFillTint="7F" /&gt;
            &lt;/w:tcPr&gt;
          &lt;/w:tblStylePr&gt;
          &lt;w:tblStylePr w:type="band1Horz"&gt;
            &lt;w:tblPr /&gt;
            &lt;w:tcPr&gt;
              &lt;w:tcBorders&gt;
                &lt;w:insideH w:val="single" w:sz="6" w:space="0" w:color="4BACC6" w:themeColor="accent5" /&gt;
                &lt;w:insideV w:val="single" w:sz="6" w:space="0" w:color="4BACC6" w:themeColor="accent5" /&gt;
              &lt;/w:tcBorders&gt;
              &lt;w:shd w:val="clear" w:color="auto" w:fill="A5D5E2" w:themeFill="accent5" w:themeFillTint="7F" /&gt;
            &lt;/w:tcPr&gt;
          &lt;/w:tblStylePr&gt;
          &lt;w:tblStylePr w:type="nwCell"&gt;
            &lt;w:tblPr /&gt;
            &lt;w:tcPr&gt;
              &lt;w:shd w:val="clear" w:color="auto" w:fill="FFFFFF" w:themeFill="background1" /&gt;
            &lt;/w:tcPr&gt;
          &lt;/w:tblStylePr&gt;
        &lt;/w:style&gt;
        &lt;w:style w:type="table" w:styleId="MediumGrid2-Accent6"&gt;
          &lt;w:name w:val="Medium Grid 2 Accent 6" /&gt;
          &lt;w:basedOn w:val="TableNormal" /&gt;
          &lt;w:uiPriority w:val="68"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&lt;w:insideH w:val="single" w:sz="8" w:space="0" w:color="F79646" w:themeColor="accent6" /&gt;
              &lt;w:insideV w:val="single" w:sz="8" w:space="0" w:color="F79646" w:themeColor="accent6" /&gt;
            &lt;/w:tblBorders&gt;
          &lt;/w:tblPr&gt;
          &lt;w:tcPr&gt;
            &lt;w:shd w:val="clear" w:color="auto" w:fill="FDE4D0" w:themeFill="accent6" w:themeFillTint="3F" /&gt;
          &lt;/w:tcPr&gt;
          &lt;w:tblStylePr w:type="firstRow"&gt;
            &lt;w:rPr&gt;
              &lt;w:b /&gt;
              &lt;w:bCs /&gt;
              &lt;w:color w:val="000000" w:themeColor="text1" /&gt;
            &lt;/w:rPr&gt;
            &lt;w:tblPr /&gt;
            &lt;w:tcPr&gt;
              &lt;w:shd w:val="clear" w:color="auto" w:fill="FEF4EC" w:themeFill="accent6" w:themeFillTint="19" /&gt;
            &lt;/w:tcPr&gt;
          &lt;/w:tblStylePr&gt;
          &lt;w:tblStylePr w:type="lastRow"&gt;
            &lt;w:rPr&gt;
              &lt;w:b /&gt;
              &lt;w:bCs /&gt;
              &lt;w:color w:val="000000" w:themeColor="text1" /&gt;
            &lt;/w:rPr&gt;
            &lt;w:tblPr /&gt;
            &lt;w:tcPr&gt;
              &lt;w:tcBorders&gt;
                &lt;w:top w:val="single" w:sz="12"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&lt;w:rPr&gt;
              &lt;w:b /&gt;
              &lt;w:bCs /&gt;
              &lt;w:color w:val="000000" w:themeColor="text1" /&gt;
            &lt;/w:rPr&gt;
            &lt;w:tblPr /&gt;
            &lt;w:tcPr&gt;
              &lt;w:tcBorders&gt;
                &lt;w:top w:val="nil" /&gt;
                &lt;w:left w:val="nil" /&gt;
                &lt;w:bottom w:val="nil" /&gt;
                &lt;w:right w:val="nil" /&gt;
                &lt;w:insideH w:val="nil" /&gt;
                &lt;w:insideV w:val="nil" /&gt;
              &lt;/w:tcBorders&gt;
              &lt;w:shd w:val="clear" w:color="auto" w:fill="FFFFFF" w:themeFill="background1" /&gt;
            &lt;/w:tcPr&gt;
          &lt;/w:tblStylePr&gt;
          &lt;w:tblStylePr w:type="lastCol"&gt;
            &lt;w:rPr&gt;
              &lt;w:b w:val="0" /&gt;
              &lt;w:bCs w:val="0" /&gt;
              &lt;w:color w:val="000000" w:themeColor="text1" /&gt;
            &lt;/w:rPr&gt;
            &lt;w:tblPr /&gt;
            &lt;w:tcPr&gt;
              &lt;w:tcBorders&gt;
                &lt;w:top w:val="nil" /&gt;
                &lt;w:left w:val="nil" /&gt;
                &lt;w:bottom w:val="nil" /&gt;
                &lt;w:right w:val="nil" /&gt;
                &lt;w:insideH w:val="nil" /&gt;
                &lt;w:insideV w:val="nil" /&gt;
              &lt;/w:tcBorders&gt;
              &lt;w:shd w:val="clear" w:color="auto" w:fill="FDE9D9" w:themeFill="accent6" w:themeFillTint="33" /&gt;
            &lt;/w:tcPr&gt;
          &lt;/w:tblStylePr&gt;
          &lt;w:tblStylePr w:type="band1Vert"&gt;
            &lt;w:tblPr /&gt;
            &lt;w:tcPr&gt;
              &lt;w:shd w:val="clear" w:color="auto" w:fill="FBCAA2" w:themeFill="accent6" w:themeFillTint="7F" /&gt;
            &lt;/w:tcPr&gt;
          &lt;/w:tblStylePr&gt;
          &lt;w:tblStylePr w:type="band1Horz"&gt;
            &lt;w:tblPr /&gt;
            &lt;w:tcPr&gt;
              &lt;w:tcBorders&gt;
                &lt;w:insideH w:val="single" w:sz="6" w:space="0" w:color="F79646" w:themeColor="accent6" /&gt;
                &lt;w:insideV w:val="single" w:sz="6" w:space="0" w:color="F79646" w:themeColor="accent6" /&gt;
              &lt;/w:tcBorders&gt;
              &lt;w:shd w:val="clear" w:color="auto" w:fill="FBCAA2" w:themeFill="accent6" w:themeFillTint="7F" /&gt;
            &lt;/w:tcPr&gt;
          &lt;/w:tblStylePr&gt;
          &lt;w:tblStylePr w:type="nwCell"&gt;
            &lt;w:tblPr /&gt;
            &lt;w:tcPr&gt;
              &lt;w:shd w:val="clear" w:color="auto" w:fill="FFFFFF" w:themeFill="background1" /&gt;
            &lt;/w:tcPr&gt;
          &lt;/w:tblStylePr&gt;
        &lt;/w:style&gt;
        &lt;w:style w:type="table" w:styleId="MediumGrid3"&gt;
          &lt;w:name w:val="Medium Grid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w:fill="C0C0C0" w:themeFill="text1"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w:fill="000000" w:themeFill="text1"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w:fill="000000" w:themeFill="text1"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w:fill="000000" w:themeFill="text1"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w:fill="808080" w:themeFill="text1"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w:fill="808080" w:themeFill="text1" w:themeFillTint="7F" /&gt;
            &lt;/w:tcPr&gt;
          &lt;/w:tblStylePr&gt;
        &lt;/w:style&gt;
        &lt;w:style w:type="table" w:styleId="MediumGrid3-Accent1"&gt;
          &lt;w:name w:val="Medium Grid 3 Accent 1"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w:fill="D3DFEE" w:themeFill="accent1"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w:fill="4F81BD" w:themeFill="accent1"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w:fill="4F81BD" w:themeFill="accent1"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w:fill="4F81BD" w:themeFill="accent1"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w:fill="A7BFDE" w:themeFill="accent1"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w:fill="A7BFDE" w:themeFill="accent1" w:themeFillTint="7F" /&gt;
            &lt;/w:tcPr&gt;
          &lt;/w:tblStylePr&gt;
        &lt;/w:style&gt;
        &lt;w:style w:type="table" w:styleId="MediumGrid3-Accent2"&gt;
          &lt;w:name w:val="Medium Grid 3 Accent 2"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w:fill="EFD3D2" w:themeFill="accent2"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w:fill="C0504D" w:themeFill="accent2"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w:fill="C0504D" w:themeFill="accent2"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w:fill="C0504D" w:themeFill="accent2"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w:fill="DFA7A6" w:themeFill="accent2"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w:fill="DFA7A6" w:themeFill="accent2" w:themeFillTint="7F" /&gt;
            &lt;/w:tcPr&gt;
          &lt;/w:tblStylePr&gt;
        &lt;/w:style&gt;
        &lt;w:style w:type="table" w:styleId="MediumGrid3-Accent3"&gt;
          &lt;w:name w:val="Medium Grid 3 Accent 3"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w:fill="E6EED5" w:themeFill="accent3"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w:fill="9BBB59" w:themeFill="accent3"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w:fill="9BBB59" w:themeFill="accent3"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w:fill="9BBB59" w:themeFill="accent3"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w:fill="CDDDAC" w:themeFill="accent3"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w:fill="CDDDAC" w:themeFill="accent3" w:themeFillTint="7F" /&gt;
            &lt;/w:tcPr&gt;
          &lt;/w:tblStylePr&gt;
        &lt;/w:style&gt;
        &lt;w:style w:type="table" w:styleId="MediumGrid3-Accent4"&gt;
          &lt;w:name w:val="Medium Grid 3 Accent 4"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w:fill="DFD8E8" w:themeFill="accent4"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w:fill="8064A2" w:themeFill="accent4"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w:fill="8064A2" w:themeFill="accent4"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w:fill="8064A2" w:themeFill="accent4"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w:fill="BFB1D0" w:themeFill="accent4"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w:fill="BFB1D0" w:themeFill="accent4" w:themeFillTint="7F" /&gt;
            &lt;/w:tcPr&gt;
          &lt;/w:tblStylePr&gt;
        &lt;/w:style&gt;
        &lt;w:style w:type="table" w:styleId="MediumGrid3-Accent5"&gt;
          &lt;w:name w:val="Medium Grid 3 Accent 5"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w:fill="D2EAF1" w:themeFill="accent5"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w:fill="4BACC6" w:themeFill="accent5"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w:fill="4BACC6" w:themeFill="accent5"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w:fill="4BACC6" w:themeFill="accent5"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w:fill="A5D5E2" w:themeFill="accent5"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w:fill="A5D5E2" w:themeFill="accent5" w:themeFillTint="7F" /&gt;
            &lt;/w:tcPr&gt;
          &lt;/w:tblStylePr&gt;
        &lt;/w:style&gt;
        &lt;w:style w:type="table" w:styleId="MediumGrid3-Accent6"&gt;
          &lt;w:name w:val="Medium Grid 3 Accent 6" /&gt;
          &lt;w:basedOn w:val="TableNormal" /&gt;
          &lt;w:uiPriority w:val="69" /&gt;
          &lt;w:tblPr&gt;
            &lt;w:tblStyleRowBandSize w:val="1" /&gt;
            &lt;w:tblStyleColBandSize w:val="1" /&gt;
            &lt;w:tblBorders&gt;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w:sz="6" w:space="0" w:color="FFFFFF" w:themeColor="background1" /&gt;
              &lt;w:insideV w:val="single" w:sz="6" w:space="0" w:color="FFFFFF" w:themeColor="background1" /&gt;
            &lt;/w:tblBorders&gt;
          &lt;/w:tblPr&gt;
          &lt;w:tcPr&gt;
            &lt;w:shd w:val="clear" w:color="auto" w:fill="FDE4D0" w:themeFill="accent6" w:themeFillTint="3F" /&gt;
          &lt;/w:tcPr&gt;
          &lt;w:tblStylePr w:type="firstRow"&gt;
            &lt;w:rPr&gt;
              &lt;w:b /&gt;
              &lt;w:bCs /&gt;
              &lt;w:i w:val="0" /&gt;
              &lt;w:iCs w:val="0" /&gt;
              &lt;w:color w:val="FFFFFF" w:themeColor="background1" /&gt;
            &lt;/w:rPr&gt;
            &lt;w:tblPr /&gt;
            &lt;w:tcPr&gt;
              &lt;w:tcBorders&gt;
                &lt;w:top w:val="single" w:sz="8" w:space="0" w:color="FFFFFF" w:themeColor="background1" /&gt;
                &lt;w:left w:val="single" w:sz="8" w:space="0" w:color="FFFFFF" w:themeColor="background1" /&gt;
                &lt;w:bottom w:val="single" w:sz="24"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w:type="lastRow"&gt;
            &lt;w:rPr&gt;
              &lt;w:b /&gt;
              &lt;w:bCs /&gt;
              &lt;w:i w:val="0" /&gt;
              &lt;w:iCs w:val="0" /&gt;
              &lt;w:color w:val="FFFFFF" w:themeColor="background1" /&gt;
            &lt;/w:rPr&gt;
            &lt;w:tblPr /&gt;
            &lt;w:tcPr&gt;
              &lt;w:tcBorders&gt;
                &lt;w:top w:val="single" w:sz="24"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w:val="single" w:sz="8" w:space="0" w:color="FFFFFF" w:themeColor="background1" /&gt;
              &lt;/w:tcBorders&gt;
              &lt;w:shd w:val="clear" w:color="auto" w:fill="F79646" w:themeFill="accent6" /&gt;
            &lt;/w:tcPr&gt;
          &lt;/w:tblStylePr&gt;
          &lt;w:tblStylePr w:type="firstCol"&gt;
            &lt;w:rPr&gt;
              &lt;w:b /&gt;
              &lt;w:bCs /&gt;
              &lt;w:i w:val="0" /&gt;
              &lt;w:iCs w:val="0" /&gt;
              &lt;w:color w:val="FFFFFF" w:themeColor="background1" /&gt;
            &lt;/w:rPr&gt;
            &lt;w:tblPr /&gt;
            &lt;w:tcPr&gt;
              &lt;w:tcBorders&gt;
                &lt;w:left w:val="single" w:sz="8" w:space="0" w:color="FFFFFF" w:themeColor="background1" /&gt;
                &lt;w:right w:val="single" w:sz="24" w:space="0" w:color="FFFFFF" w:themeColor="background1" /&gt;
                &lt;w:insideH w:val="nil" /&gt;
                &lt;w:insideV w:val="nil" /&gt;
              &lt;/w:tcBorders&gt;
              &lt;w:shd w:val="clear" w:color="auto" w:fill="F79646" w:themeFill="accent6" /&gt;
            &lt;/w:tcPr&gt;
          &lt;/w:tblStylePr&gt;
          &lt;w:tblStylePr w:type="lastCol"&gt;
            &lt;w:rPr&gt;
              &lt;w:b /&gt;
              &lt;w:bCs /&gt;
              &lt;w:i w:val="0" /&gt;
              &lt;w:iCs w:val="0" /&gt;
              &lt;w:color w:val="FFFFFF" w:themeColor="background1" /&gt;
            &lt;/w:rPr&gt;
            &lt;w:tblPr /&gt;
            &lt;w:tcPr&gt;
              &lt;w:tcBorders&gt;
                &lt;w:top w:val="nil" /&gt;
                &lt;w:left w:val="single" w:sz="24" w:space="0" w:color="FFFFFF" w:themeColor="background1" /&gt;
                &lt;w:bottom w:val="nil" /&gt;
                &lt;w:right w:val="nil" /&gt;
                &lt;w:insideH w:val="nil" /&gt;
                &lt;w:insideV w:val="nil" /&gt;
              &lt;/w:tcBorders&gt;
              &lt;w:shd w:val="clear" w:color="auto" w:fill="F79646" w:themeFill="accent6" /&gt;
            &lt;/w:tcPr&gt;
          &lt;/w:tblStylePr&gt;
          &lt;w:tblStylePr w:type="band1Vert"&gt;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w:val="nil" /&gt;
                &lt;w:insideV w:val="nil" /&gt;
              &lt;/w:tcBorders&gt;
              &lt;w:shd w:val="clear" w:color="auto" w:fill="FBCAA2" w:themeFill="accent6" w:themeFillTint="7F" /&gt;
            &lt;/w:tcPr&gt;
          &lt;/w:tblStylePr&gt;
          &lt;w:tblStylePr w:type="band1Horz"&gt;
            &lt;w:tblPr /&gt;
            &lt;w:tcPr&gt;
              &lt;w:tcBorders&gt;
                &lt;w:top w:val="single" w:sz="8" w:space="0" w:color="FFFFFF" w:themeColor="background1" /&gt;
                &lt;w:left w:val="single" w:sz="8" w:space="0" w:color="FFFFFF" w:themeColor="background1" /&gt;
                &lt;w:bottom w:val="single" w:sz="8" w:space="0" w:color="FFFFFF" w:themeColor="background1" /&gt;
                &lt;w:right w:val="single" w:sz="8" w:space="0" w:color="FFFFFF" w:themeColor="background1" /&gt;
                &lt;w:insideH w:val="single" w:sz="8" w:space="0" w:color="FFFFFF" w:themeColor="background1" /&gt;
                &lt;w:insideV w:val="single" w:sz="8" w:space="0" w:color="FFFFFF" w:themeColor="background1" /&gt;
              &lt;/w:tcBorders&gt;
              &lt;w:shd w:val="clear" w:color="auto" w:fill="FBCAA2" w:themeFill="accent6" w:themeFillTint="7F" /&gt;
            &lt;/w:tcPr&gt;
          &lt;/w:tblStylePr&gt;
        &lt;/w:style&gt;
        &lt;w:style w:type="table" w:styleId="MediumList1"&gt;
          &lt;w:name w:val="Medium List 1" /&gt;
          &lt;w:basedOn w:val="TableNormal" /&gt;
          &lt;w:uiPriority w:val="65" /&gt;
          &lt;w:rPr&gt;
            &lt;w:color w:val="000000" w:themeColor="text1" /&gt;
          &lt;/w:rPr&gt;
          &lt;w:tblPr&gt;
            &lt;w:tblStyleRowBandSize w:val="1" /&gt;
            &lt;w:tblStyleColBandSize w:val="1" /&gt;
            &lt;w:tblBorders&gt;
              &lt;w:top w:val="single" w:sz="8" w:space="0" w:color="000000" w:themeColor="text1" /&gt;
              &lt;w:bottom w:val="single" w:sz="8" w:space="0" w:color="000000" w:themeColor="text1" /&gt;
            &lt;/w:tblBorders&gt;
          &lt;/w:tblPr&gt;
          &lt;w:tblStylePr w:type="firstRow"&gt;
            &lt;w:rPr&gt;
              &lt;w:rFonts w:asciiTheme="majorHAnsi" w:eastAsiaTheme="majorEastAsia" w:hAnsiTheme="majorHAnsi" w:cstheme="majorBidi" /&gt;
            &lt;/w:rPr&gt;
            &lt;w:tblPr /&gt;
            &lt;w:tcPr&gt;
              &lt;w:tcBorders&gt;
                &lt;w:top w:val="nil" /&gt;
                &lt;w:bottom w:val="single" w:sz="8" w:space="0" w:color="000000" w:themeColor="text1" /&gt;
              &lt;/w:tcBorders&gt;
            &lt;/w:tcPr&gt;
          &lt;/w:tblStylePr&gt;
          &lt;w:tblStylePr w:type="lastRow"&gt;
            &lt;w:rPr&gt;
              &lt;w:b /&gt;
              &lt;w:bCs /&gt;
              &lt;w:color w:val="1F497D" w:themeColor="text2" /&gt;
            &lt;/w:rPr&gt;
            &lt;w:tblPr /&gt;
            &lt;w:tcPr&gt;
              &lt;w:tcBorders&gt;
                &lt;w:top w:val="single" w:sz="8" w:space="0" w:color="000000" w:themeColor="text1" /&gt;
                &lt;w:bottom w:val="single" w:sz="8" w:space="0" w:color="000000" w:themeColor="text1" /&gt;
              &lt;/w:tcBorders&gt;
            &lt;/w:tcPr&gt;
          &lt;/w:tblStylePr&gt;
          &lt;w:tblStylePr w:type="firstCol"&gt;
            &lt;w:rPr&gt;
              &lt;w:b /&gt;
              &lt;w:bCs /&gt;
            &lt;/w:rPr&gt;
          &lt;/w:tblStylePr&gt;
          &lt;w:tblStylePr w:type="lastCol"&gt;
            &lt;w:rPr&gt;
              &lt;w:b /&gt;
              &lt;w:bCs /&gt;
            &lt;/w:rPr&gt;
            &lt;w:tblPr /&gt;
            &lt;w:tcPr&gt;
              &lt;w:tcBorders&gt;
                &lt;w:top w:val="single" w:sz="8" w:space="0" w:color="000000" w:themeColor="text1" /&gt;
                &lt;w:bottom w:val="single" w:sz="8" w:space="0" w:color="000000" w:themeColor="text1" /&gt;
              &lt;/w:tcBorders&gt;
            &lt;/w:tcPr&gt;
          &lt;/w:tblStylePr&gt;
          &lt;w:tblStylePr w:type="band1Vert"&gt;
            &lt;w:tblPr /&gt;
            &lt;w:tcPr&gt;
              &lt;w:shd w:val="clear" w:color="auto" w:fill="C0C0C0" w:themeFill="text1" w:themeFillTint="3F" /&gt;
            &lt;/w:tcPr&gt;
          &lt;/w:tblStylePr&gt;
          &lt;w:tblStylePr w:type="band1Horz"&gt;
            &lt;w:tblPr /&gt;
            &lt;w:tcPr&gt;
              &lt;w:shd w:val="clear" w:color="auto" w:fill="C0C0C0" w:themeFill="text1" w:themeFillTint="3F" /&gt;
            &lt;/w:tcPr&gt;
          &lt;/w:tblStylePr&gt;
        &lt;/w:style&gt;
        &lt;w:style w:type="table" w:styleId="MediumList1-Accent1"&gt;
          &lt;w:name w:val="Medium List 1 Accent 1" /&gt;
          &lt;w:basedOn w:val="TableNormal" /&gt;
          &lt;w:uiPriority w:val="65" /&gt;
          &lt;w:rPr&gt;
            &lt;w:color w:val="000000" w:themeColor="text1" /&gt;
          &lt;/w:rPr&gt;
          &lt;w:tblPr&gt;
            &lt;w:tblStyleRowBandSize w:val="1" /&gt;
            &lt;w:tblStyleColBandSize w:val="1" /&gt;
            &lt;w:tblBorders&gt;
              &lt;w:top w:val="single" w:sz="8" w:space="0" w:color="4F81BD" w:themeColor="accent1" /&gt;
              &lt;w:bottom w:val="single" w:sz="8" w:space="0" w:color="4F81BD" w:themeColor="accent1" /&gt;
            &lt;/w:tblBorders&gt;
          &lt;/w:tblPr&gt;
          &lt;w:tblStylePr w:type="firstRow"&gt;
            &lt;w:rPr&gt;
              &lt;w:rFonts w:asciiTheme="majorHAnsi" w:eastAsiaTheme="majorEastAsia" w:hAnsiTheme="majorHAnsi" w:cstheme="majorBidi" /&gt;
            &lt;/w:rPr&gt;
            &lt;w:tblPr /&gt;
            &lt;w:tcPr&gt;
              &lt;w:tcBorders&gt;
                &lt;w:top w:val="nil" /&gt;
                &lt;w:bottom w:val="single" w:sz="8" w:space="0" w:color="4F81BD" w:themeColor="accent1" /&gt;
              &lt;/w:tcBorders&gt;
            &lt;/w:tcPr&gt;
          &lt;/w:tblStylePr&gt;
          &lt;w:tblStylePr w:type="lastRow"&gt;
            &lt;w:rPr&gt;
              &lt;w:b /&gt;
              &lt;w:bCs /&gt;
              &lt;w:color w:val="1F497D" w:themeColor="text2" /&gt;
            &lt;/w:rPr&gt;
            &lt;w:tblPr /&gt;
            &lt;w:tcPr&gt;
              &lt;w:tcBorders&gt;
                &lt;w:top w:val="single" w:sz="8" w:space="0" w:color="4F81BD" w:themeColor="accent1" /&gt;
                &lt;w:bottom w:val="single" w:sz="8" w:space="0" w:color="4F81BD" w:themeColor="accent1" /&gt;
              &lt;/w:tcBorders&gt;
            &lt;/w:tcPr&gt;
          &lt;/w:tblStylePr&gt;
          &lt;w:tblStylePr w:type="firstCol"&gt;
            &lt;w:rPr&gt;
              &lt;w:b /&gt;
              &lt;w:bCs /&gt;
            &lt;/w:rPr&gt;
          &lt;/w:tblStylePr&gt;
          &lt;w:tblStylePr w:type="lastCol"&gt;
            &lt;w:rPr&gt;
              &lt;w:b /&gt;
              &lt;w:bCs /&gt;
            &lt;/w:rPr&gt;
            &lt;w:tblPr /&gt;
            &lt;w:tcPr&gt;
              &lt;w:tcBorders&gt;
                &lt;w:top w:val="single" w:sz="8" w:space="0" w:color="4F81BD" w:themeColor="accent1" /&gt;
                &lt;w:bottom w:val="single" w:sz="8" w:space="0" w:color="4F81BD" w:themeColor="accent1" /&gt;
              &lt;/w:tcBorders&gt;
            &lt;/w:tcPr&gt;
          &lt;/w:tblStylePr&gt;
          &lt;w:tblStylePr w:type="band1Vert"&gt;
            &lt;w:tblPr /&gt;
            &lt;w:tcPr&gt;
              &lt;w:shd w:val="clear" w:color="auto" w:fill="D3DFEE" w:themeFill="accent1" w:themeFillTint="3F" /&gt;
            &lt;/w:tcPr&gt;
          &lt;/w:tblStylePr&gt;
          &lt;w:tblStylePr w:type="band1Horz"&gt;
            &lt;w:tblPr /&gt;
            &lt;w:tcPr&gt;
              &lt;w:shd w:val="clear" w:color="auto" w:fill="D3DFEE" w:themeFill="accent1" w:themeFillTint="3F" /&gt;
            &lt;/w:tcPr&gt;
          &lt;/w:tblStylePr&gt;
        &lt;/w:style&gt;
        &lt;w:style w:type="table" w:styleId="MediumList1-Accent2"&gt;
          &lt;w:name w:val="Medium List 1 Accent 2" /&gt;
          &lt;w:basedOn w:val="TableNormal" /&gt;
          &lt;w:uiPriority w:val="65" /&gt;
          &lt;w:rPr&gt;
            &lt;w:color w:val="000000" w:themeColor="text1" /&gt;
          &lt;/w:rPr&gt;
          &lt;w:tblPr&gt;
            &lt;w:tblStyleRowBandSize w:val="1" /&gt;
            &lt;w:tblStyleColBandSize w:val="1" /&gt;
            &lt;w:tblBorders&gt;
              &lt;w:top w:val="single" w:sz="8" w:space="0" w:color="C0504D" w:themeColor="accent2" /&gt;
              &lt;w:bottom w:val="single" w:sz="8" w:space="0" w:color="C0504D" w:themeColor="accent2" /&gt;
            &lt;/w:tblBorders&gt;
          &lt;/w:tblPr&gt;
          &lt;w:tblStylePr w:type="firstRow"&gt;
            &lt;w:rPr&gt;
              &lt;w:rFonts w:asciiTheme="majorHAnsi" w:eastAsiaTheme="majorEastAsia" w:hAnsiTheme="majorHAnsi" w:cstheme="majorBidi" /&gt;
            &lt;/w:rPr&gt;
            &lt;w:tblPr /&gt;
            &lt;w:tcPr&gt;
              &lt;w:tcBorders&gt;
                &lt;w:top w:val="nil" /&gt;
                &lt;w:bottom w:val="single" w:sz="8" w:space="0" w:color="C0504D" w:themeColor="accent2" /&gt;
              &lt;/w:tcBorders&gt;
            &lt;/w:tcPr&gt;
          &lt;/w:tblStylePr&gt;
          &lt;w:tblStylePr w:type="lastRow"&gt;
            &lt;w:rPr&gt;
              &lt;w:b /&gt;
              &lt;w:bCs /&gt;
              &lt;w:color w:val="1F497D" w:themeColor="text2" /&gt;
            &lt;/w:rPr&gt;
            &lt;w:tblPr /&gt;
            &lt;w:tcPr&gt;
              &lt;w:tcBorders&gt;
                &lt;w:top w:val="single" w:sz="8" w:space="0" w:color="C0504D" w:themeColor="accent2" /&gt;
                &lt;w:bottom w:val="single" w:sz="8" w:space="0" w:color="C0504D" w:themeColor="accent2" /&gt;
              &lt;/w:tcBorders&gt;
            &lt;/w:tcPr&gt;
          &lt;/w:tblStylePr&gt;
          &lt;w:tblStylePr w:type="firstCol"&gt;
            &lt;w:rPr&gt;
              &lt;w:b /&gt;
              &lt;w:bCs /&gt;
            &lt;/w:rPr&gt;
          &lt;/w:tblStylePr&gt;
          &lt;w:tblStylePr w:type="lastCol"&gt;
            &lt;w:rPr&gt;
              &lt;w:b /&gt;
              &lt;w:bCs /&gt;
            &lt;/w:rPr&gt;
            &lt;w:tblPr /&gt;
            &lt;w:tcPr&gt;
              &lt;w:tcBorders&gt;
                &lt;w:top w:val="single" w:sz="8" w:space="0" w:color="C0504D" w:themeColor="accent2" /&gt;
                &lt;w:bottom w:val="single" w:sz="8" w:space="0" w:color="C0504D" w:themeColor="accent2" /&gt;
              &lt;/w:tcBorders&gt;
            &lt;/w:tcPr&gt;
          &lt;/w:tblStylePr&gt;
          &lt;w:tblStylePr w:type="band1Vert"&gt;
            &lt;w:tblPr /&gt;
            &lt;w:tcPr&gt;
              &lt;w:shd w:val="clear" w:color="auto" w:fill="EFD3D2" w:themeFill="accent2" w:themeFillTint="3F" /&gt;
            &lt;/w:tcPr&gt;
          &lt;/w:tblStylePr&gt;
          &lt;w:tblStylePr w:type="band1Horz"&gt;
            &lt;w:tblPr /&gt;
            &lt;w:tcPr&gt;
              &lt;w:shd w:val="clear" w:color="auto" w:fill="EFD3D2" w:themeFill="accent2" w:themeFillTint="3F" /&gt;
            &lt;/w:tcPr&gt;
          &lt;/w:tblStylePr&gt;
        &lt;/w:style&gt;
        &lt;w:style w:type="table" w:styleId="MediumList1-Accent3"&gt;
          &lt;w:name w:val="Medium List 1 Accent 3" /&gt;
          &lt;w:basedOn w:val="TableNormal" /&gt;
          &lt;w:uiPriority w:val="65" /&gt;
          &lt;w:rPr&gt;
            &lt;w:color w:val="000000" w:themeColor="text1" /&gt;
          &lt;/w:rPr&gt;
          &lt;w:tblPr&gt;
            &lt;w:tblStyleRowBandSize w:val="1" /&gt;
            &lt;w:tblStyleColBandSize w:val="1" /&gt;
            &lt;w:tblBorders&gt;
              &lt;w:top w:val="single" w:sz="8" w:space="0" w:color="9BBB59" w:themeColor="accent3" /&gt;
              &lt;w:bottom w:val="single" w:sz="8" w:space="0" w:color="9BBB59" w:themeColor="accent3" /&gt;
            &lt;/w:tblBorders&gt;
          &lt;/w:tblPr&gt;
          &lt;w:tblStylePr w:type="firstRow"&gt;
            &lt;w:rPr&gt;
              &lt;w:rFonts w:asciiTheme="majorHAnsi" w:eastAsiaTheme="majorEastAsia" w:hAnsiTheme="majorHAnsi" w:cstheme="majorBidi" /&gt;
            &lt;/w:rPr&gt;
            &lt;w:tblPr /&gt;
            &lt;w:tcPr&gt;
              &lt;w:tcBorders&gt;
                &lt;w:top w:val="nil" /&gt;
                &lt;w:bottom w:val="single" w:sz="8" w:space="0" w:color="9BBB59" w:themeColor="accent3" /&gt;
              &lt;/w:tcBorders&gt;
            &lt;/w:tcPr&gt;
          &lt;/w:tblStylePr&gt;
          &lt;w:tblStylePr w:type="lastRow"&gt;
            &lt;w:rPr&gt;
              &lt;w:b /&gt;
              &lt;w:bCs /&gt;
              &lt;w:color w:val="1F497D" w:themeColor="text2" /&gt;
            &lt;/w:rPr&gt;
            &lt;w:tblPr /&gt;
            &lt;w:tcPr&gt;
              &lt;w:tcBorders&gt;
                &lt;w:top w:val="single" w:sz="8" w:space="0" w:color="9BBB59" w:themeColor="accent3" /&gt;
                &lt;w:bottom w:val="single" w:sz="8" w:space="0" w:color="9BBB59" w:themeColor="accent3" /&gt;
              &lt;/w:tcBorders&gt;
            &lt;/w:tcPr&gt;
          &lt;/w:tblStylePr&gt;
          &lt;w:tblStylePr w:type="firstCol"&gt;
            &lt;w:rPr&gt;
              &lt;w:b /&gt;
              &lt;w:bCs /&gt;
            &lt;/w:rPr&gt;
          &lt;/w:tblStylePr&gt;
          &lt;w:tblStylePr w:type="lastCol"&gt;
            &lt;w:rPr&gt;
              &lt;w:b /&gt;
              &lt;w:bCs /&gt;
            &lt;/w:rPr&gt;
            &lt;w:tblPr /&gt;
            &lt;w:tcPr&gt;
              &lt;w:tcBorders&gt;
                &lt;w:top w:val="single" w:sz="8" w:space="0" w:color="9BBB59" w:themeColor="accent3" /&gt;
                &lt;w:bottom w:val="single" w:sz="8" w:space="0" w:color="9BBB59" w:themeColor="accent3" /&gt;
              &lt;/w:tcBorders&gt;
            &lt;/w:tcPr&gt;
          &lt;/w:tblStylePr&gt;
          &lt;w:tblStylePr w:type="band1Vert"&gt;
            &lt;w:tblPr /&gt;
            &lt;w:tcPr&gt;
              &lt;w:shd w:val="clear" w:color="auto" w:fill="E6EED5" w:themeFill="accent3" w:themeFillTint="3F" /&gt;
            &lt;/w:tcPr&gt;
          &lt;/w:tblStylePr&gt;
          &lt;w:tblStylePr w:type="band1Horz"&gt;
            &lt;w:tblPr /&gt;
            &lt;w:tcPr&gt;
              &lt;w:shd w:val="clear" w:color="auto" w:fill="E6EED5" w:themeFill="accent3" w:themeFillTint="3F" /&gt;
            &lt;/w:tcPr&gt;
          &lt;/w:tblStylePr&gt;
        &lt;/w:style&gt;
        &lt;w:style w:type="table" w:styleId="MediumList1-Accent4"&gt;
          &lt;w:name w:val="Medium List 1 Accent 4" /&gt;
          &lt;w:basedOn w:val="TableNormal" /&gt;
          &lt;w:uiPriority w:val="65" /&gt;
          &lt;w:rPr&gt;
            &lt;w:color w:val="000000" w:themeColor="text1" /&gt;
          &lt;/w:rPr&gt;
          &lt;w:tblPr&gt;
            &lt;w:tblStyleRowBandSize w:val="1" /&gt;
            &lt;w:tblStyleColBandSize w:val="1" /&gt;
            &lt;w:tblBorders&gt;
              &lt;w:top w:val="single" w:sz="8" w:space="0" w:color="8064A2" w:themeColor="accent4" /&gt;
              &lt;w:bottom w:val="single" w:sz="8" w:space="0" w:color="8064A2" w:themeColor="accent4" /&gt;
            &lt;/w:tblBorders&gt;
          &lt;/w:tblPr&gt;
          &lt;w:tblStylePr w:type="firstRow"&gt;
            &lt;w:rPr&gt;
              &lt;w:rFonts w:asciiTheme="majorHAnsi" w:eastAsiaTheme="majorEastAsia" w:hAnsiTheme="majorHAnsi" w:cstheme="majorBidi" /&gt;
            &lt;/w:rPr&gt;
            &lt;w:tblPr /&gt;
            &lt;w:tcPr&gt;
              &lt;w:tcBorders&gt;
                &lt;w:top w:val="nil" /&gt;
                &lt;w:bottom w:val="single" w:sz="8" w:space="0" w:color="8064A2" w:themeColor="accent4" /&gt;
              &lt;/w:tcBorders&gt;
            &lt;/w:tcPr&gt;
          &lt;/w:tblStylePr&gt;
          &lt;w:tblStylePr w:type="lastRow"&gt;
            &lt;w:rPr&gt;
              &lt;w:b /&gt;
              &lt;w:bCs /&gt;
              &lt;w:color w:val="1F497D" w:themeColor="text2" /&gt;
            &lt;/w:rPr&gt;
            &lt;w:tblPr /&gt;
            &lt;w:tcPr&gt;
              &lt;w:tcBorders&gt;
                &lt;w:top w:val="single" w:sz="8" w:space="0" w:color="8064A2" w:themeColor="accent4" /&gt;
                &lt;w:bottom w:val="single" w:sz="8" w:space="0" w:color="8064A2" w:themeColor="accent4" /&gt;
              &lt;/w:tcBorders&gt;
            &lt;/w:tcPr&gt;
          &lt;/w:tblStylePr&gt;
          &lt;w:tblStylePr w:type="firstCol"&gt;
            &lt;w:rPr&gt;
              &lt;w:b /&gt;
              &lt;w:bCs /&gt;
            &lt;/w:rPr&gt;
          &lt;/w:tblStylePr&gt;
          &lt;w:tblStylePr w:type="lastCol"&gt;
            &lt;w:rPr&gt;
              &lt;w:b /&gt;
              &lt;w:bCs /&gt;
            &lt;/w:rPr&gt;
            &lt;w:tblPr /&gt;
            &lt;w:tcPr&gt;
              &lt;w:tcBorders&gt;
                &lt;w:top w:val="single" w:sz="8" w:space="0" w:color="8064A2" w:themeColor="accent4" /&gt;
                &lt;w:bottom w:val="single" w:sz="8" w:space="0" w:color="8064A2" w:themeColor="accent4" /&gt;
              &lt;/w:tcBorders&gt;
            &lt;/w:tcPr&gt;
          &lt;/w:tblStylePr&gt;
          &lt;w:tblStylePr w:type="band1Vert"&gt;
            &lt;w:tblPr /&gt;
            &lt;w:tcPr&gt;
              &lt;w:shd w:val="clear" w:color="auto" w:fill="DFD8E8" w:themeFill="accent4" w:themeFillTint="3F" /&gt;
            &lt;/w:tcPr&gt;
          &lt;/w:tblStylePr&gt;
          &lt;w:tblStylePr w:type="band1Horz"&gt;
            &lt;w:tblPr /&gt;
            &lt;w:tcPr&gt;
              &lt;w:shd w:val="clear" w:color="auto" w:fill="DFD8E8" w:themeFill="accent4" w:themeFillTint="3F" /&gt;
            &lt;/w:tcPr&gt;
          &lt;/w:tblStylePr&gt;
        &lt;/w:style&gt;
        &lt;w:style w:type="table" w:styleId="MediumList1-Accent5"&gt;
          &lt;w:name w:val="Medium List 1 Accent 5" /&gt;
          &lt;w:basedOn w:val="TableNormal" /&gt;
          &lt;w:uiPriority w:val="65" /&gt;
          &lt;w:rPr&gt;
            &lt;w:color w:val="000000" w:themeColor="text1" /&gt;
          &lt;/w:rPr&gt;
          &lt;w:tblPr&gt;
            &lt;w:tblStyleRowBandSize w:val="1" /&gt;
            &lt;w:tblStyleColBandSize w:val="1" /&gt;
            &lt;w:tblBorders&gt;
              &lt;w:top w:val="single" w:sz="8" w:space="0" w:color="4BACC6" w:themeColor="accent5" /&gt;
              &lt;w:bottom w:val="single" w:sz="8" w:space="0" w:color="4BACC6" w:themeColor="accent5" /&gt;
            &lt;/w:tblBorders&gt;
          &lt;/w:tblPr&gt;
          &lt;w:tblStylePr w:type="firstRow"&gt;
            &lt;w:rPr&gt;
              &lt;w:rFonts w:asciiTheme="majorHAnsi" w:eastAsiaTheme="majorEastAsia" w:hAnsiTheme="majorHAnsi" w:cstheme="majorBidi" /&gt;
            &lt;/w:rPr&gt;
            &lt;w:tblPr /&gt;
            &lt;w:tcPr&gt;
              &lt;w:tcBorders&gt;
                &lt;w:top w:val="nil" /&gt;
                &lt;w:bottom w:val="single" w:sz="8" w:space="0" w:color="4BACC6" w:themeColor="accent5" /&gt;
              &lt;/w:tcBorders&gt;
            &lt;/w:tcPr&gt;
          &lt;/w:tblStylePr&gt;
          &lt;w:tblStylePr w:type="lastRow"&gt;
            &lt;w:rPr&gt;
              &lt;w:b /&gt;
              &lt;w:bCs /&gt;
              &lt;w:color w:val="1F497D" w:themeColor="text2" /&gt;
            &lt;/w:rPr&gt;
            &lt;w:tblPr /&gt;
            &lt;w:tcPr&gt;
              &lt;w:tcBorders&gt;
                &lt;w:top w:val="single" w:sz="8" w:space="0" w:color="4BACC6" w:themeColor="accent5" /&gt;
                &lt;w:bottom w:val="single" w:sz="8" w:space="0" w:color="4BACC6" w:themeColor="accent5" /&gt;
              &lt;/w:tcBorders&gt;
            &lt;/w:tcPr&gt;
          &lt;/w:tblStylePr&gt;
          &lt;w:tblStylePr w:type="firstCol"&gt;
            &lt;w:rPr&gt;
              &lt;w:b /&gt;
              &lt;w:bCs /&gt;
            &lt;/w:rPr&gt;
          &lt;/w:tblStylePr&gt;
          &lt;w:tblStylePr w:type="lastCol"&gt;
            &lt;w:rPr&gt;
              &lt;w:b /&gt;
              &lt;w:bCs /&gt;
            &lt;/w:rPr&gt;
            &lt;w:tblPr /&gt;
            &lt;w:tcPr&gt;
              &lt;w:tcBorders&gt;
                &lt;w:top w:val="single" w:sz="8" w:space="0" w:color="4BACC6" w:themeColor="accent5" /&gt;
                &lt;w:bottom w:val="single" w:sz="8" w:space="0" w:color="4BACC6" w:themeColor="accent5" /&gt;
              &lt;/w:tcBorders&gt;
            &lt;/w:tcPr&gt;
          &lt;/w:tblStylePr&gt;
          &lt;w:tblStylePr w:type="band1Vert"&gt;
            &lt;w:tblPr /&gt;
            &lt;w:tcPr&gt;
              &lt;w:shd w:val="clear" w:color="auto" w:fill="D2EAF1" w:themeFill="accent5" w:themeFillTint="3F" /&gt;
            &lt;/w:tcPr&gt;
          &lt;/w:tblStylePr&gt;
          &lt;w:tblStylePr w:type="band1Horz"&gt;
            &lt;w:tblPr /&gt;
            &lt;w:tcPr&gt;
              &lt;w:shd w:val="clear" w:color="auto" w:fill="D2EAF1" w:themeFill="accent5" w:themeFillTint="3F" /&gt;
            &lt;/w:tcPr&gt;
          &lt;/w:tblStylePr&gt;
        &lt;/w:style&gt;
        &lt;w:style w:type="table" w:styleId="MediumList1-Accent6"&gt;
          &lt;w:name w:val="Medium List 1 Accent 6" /&gt;
          &lt;w:basedOn w:val="TableNormal" /&gt;
          &lt;w:uiPriority w:val="65" /&gt;
          &lt;w:rPr&gt;
            &lt;w:color w:val="000000" w:themeColor="text1" /&gt;
          &lt;/w:rPr&gt;
          &lt;w:tblPr&gt;
            &lt;w:tblStyleRowBandSize w:val="1" /&gt;
            &lt;w:tblStyleColBandSize w:val="1" /&gt;
            &lt;w:tblBorders&gt;
              &lt;w:top w:val="single" w:sz="8" w:space="0" w:color="F79646" w:themeColor="accent6" /&gt;
              &lt;w:bottom w:val="single" w:sz="8" w:space="0" w:color="F79646" w:themeColor="accent6" /&gt;
            &lt;/w:tblBorders&gt;
          &lt;/w:tblPr&gt;
          &lt;w:tblStylePr w:type="firstRow"&gt;
            &lt;w:rPr&gt;
              &lt;w:rFonts w:asciiTheme="majorHAnsi" w:eastAsiaTheme="majorEastAsia" w:hAnsiTheme="majorHAnsi" w:cstheme="majorBidi" /&gt;
            &lt;/w:rPr&gt;
            &lt;w:tblPr /&gt;
            &lt;w:tcPr&gt;
              &lt;w:tcBorders&gt;
                &lt;w:top w:val="nil" /&gt;
                &lt;w:bottom w:val="single" w:sz="8" w:space="0" w:color="F79646" w:themeColor="accent6" /&gt;
              &lt;/w:tcBorders&gt;
            &lt;/w:tcPr&gt;
          &lt;/w:tblStylePr&gt;
          &lt;w:tblStylePr w:type="lastRow"&gt;
            &lt;w:rPr&gt;
              &lt;w:b /&gt;
              &lt;w:bCs /&gt;
              &lt;w:color w:val="1F497D" w:themeColor="text2" /&gt;
            &lt;/w:rPr&gt;
            &lt;w:tblPr /&gt;
            &lt;w:tcPr&gt;
              &lt;w:tcBorders&gt;
                &lt;w:top w:val="single" w:sz="8" w:space="0" w:color="F79646" w:themeColor="accent6" /&gt;
                &lt;w:bottom w:val="single" w:sz="8" w:space="0" w:color="F79646" w:themeColor="accent6" /&gt;
              &lt;/w:tcBorders&gt;
            &lt;/w:tcPr&gt;
          &lt;/w:tblStylePr&gt;
          &lt;w:tblStylePr w:type="firstCol"&gt;
            &lt;w:rPr&gt;
              &lt;w:b /&gt;
              &lt;w:bCs /&gt;
            &lt;/w:rPr&gt;
          &lt;/w:tblStylePr&gt;
          &lt;w:tblStylePr w:type="lastCol"&gt;
            &lt;w:rPr&gt;
              &lt;w:b /&gt;
              &lt;w:bCs /&gt;
            &lt;/w:rPr&gt;
            &lt;w:tblPr /&gt;
            &lt;w:tcPr&gt;
              &lt;w:tcBorders&gt;
                &lt;w:top w:val="single" w:sz="8" w:space="0" w:color="F79646" w:themeColor="accent6" /&gt;
                &lt;w:bottom w:val="single" w:sz="8" w:space="0" w:color="F79646" w:themeColor="accent6" /&gt;
              &lt;/w:tcBorders&gt;
            &lt;/w:tcPr&gt;
          &lt;/w:tblStylePr&gt;
          &lt;w:tblStylePr w:type="band1Vert"&gt;
            &lt;w:tblPr /&gt;
            &lt;w:tcPr&gt;
              &lt;w:shd w:val="clear" w:color="auto" w:fill="FDE4D0" w:themeFill="accent6" w:themeFillTint="3F" /&gt;
            &lt;/w:tcPr&gt;
          &lt;/w:tblStylePr&gt;
          &lt;w:tblStylePr w:type="band1Horz"&gt;
            &lt;w:tblPr /&gt;
            &lt;w:tcPr&gt;
              &lt;w:shd w:val="clear" w:color="auto" w:fill="FDE4D0" w:themeFill="accent6" w:themeFillTint="3F" /&gt;
            &lt;/w:tcPr&gt;
          &lt;/w:tblStylePr&gt;
        &lt;/w:style&gt;
        &lt;w:style w:type="table" w:styleId="MediumList2"&gt;
          &lt;w:name w:val="Medium List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w:color="000000" w:themeColor="text1" /&gt;
              &lt;w:left w:val="single" w:sz="8" w:space="0" w:color="000000" w:themeColor="text1" /&gt;
              &lt;w:bottom w:val="single" w:sz="8" w:space="0" w:color="000000" w:themeColor="text1" /&gt;
              &lt;w:right w:val="single" w:sz="8" w:space="0" w:color="000000" w:themeColor="text1" /&gt;
            &lt;/w:tblBorders&gt;
          &lt;/w:tblPr&gt;
          &lt;w:tblStylePr w:type="firstRow"&gt;
            &lt;w:rPr&gt;
              &lt;w:sz w:val="24" /&gt;
              &lt;w:szCs w:val="24" /&gt;
            &lt;/w:rPr&gt;
            &lt;w:tblPr /&gt;
            &lt;w:tcPr&gt;
              &lt;w:tcBorders&gt;
                &lt;w:top w:val="nil" /&gt;
                &lt;w:left w:val="nil" /&gt;
                &lt;w:bottom w:val="single" w:sz="24" w:space="0" w:color="000000" w:themeColor="text1" /&gt;
                &lt;w:right w:val="nil" /&gt;
                &lt;w:insideH w:val="nil" /&gt;
                &lt;w:insideV w:val="nil" /&gt;
              &lt;/w:tcBorders&gt;
              &lt;w:shd w:val="clear" w:color="auto" w:fill="FFFFFF" w:themeFill="background1" /&gt;
            &lt;/w:tcPr&gt;
          &lt;/w:tblStylePr&gt;
          &lt;w:tblStylePr w:type="lastRow"&gt;
            &lt;w:tblPr /&gt;
            &lt;w:tcPr&gt;
              &lt;w:tcBorders&gt;
                &lt;w:top w:val="single" w:sz="8" w:space="0" w:color="000000" w:themeColor="text1"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w:color="000000" w:themeColor="text1" /&gt;
                &lt;w:insideH w:val="nil" /&gt;
                &lt;w:insideV w:val="nil" /&gt;
              &lt;/w:tcBorders&gt;
              &lt;w:shd w:val="clear" w:color="auto" w:fill="FFFFFF" w:themeFill="background1" /&gt;
            &lt;/w:tcPr&gt;
          &lt;/w:tblStylePr&gt;
          &lt;w:tblStylePr w:type="lastCol"&gt;
            &lt;w:tblPr /&gt;
            &lt;w:tcPr&gt;
              &lt;w:tcBorders&gt;
                &lt;w:top w:val="nil" /&gt;
                &lt;w:left w:val="single" w:sz="8" w:space="0" w:color="000000" w:themeColor="text1"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w:fill="C0C0C0" w:themeFill="text1" w:themeFillTint="3F" /&gt;
            &lt;/w:tcPr&gt;
          &lt;/w:tblStylePr&gt;
          &lt;w:tblStylePr w:type="band1Horz"&gt;
            &lt;w:tblPr /&gt;
            &lt;w:tcPr&gt;
              &lt;w:tcBorders&gt;
                &lt;w:top w:val="nil" /&gt;
                &lt;w:bottom w:val="nil" /&gt;
                &lt;w:insideH w:val="nil" /&gt;
                &lt;w:insideV w:val="nil" /&gt;
              &lt;/w:tcBorders&gt;
              &lt;w:shd w:val="clear" w:color="auto" w:fill="C0C0C0" w:themeFill="text1"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w:styleId="MediumList2-Accent1"&gt;
          &lt;w:name w:val="Medium List 2 Accent 1"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w:color="4F81BD" w:themeColor="accent1" /&gt;
              &lt;w:left w:val="single" w:sz="8" w:space="0" w:color="4F81BD" w:themeColor="accent1" /&gt;
              &lt;w:bottom w:val="single" w:sz="8" w:space="0" w:color="4F81BD" w:themeColor="accent1" /&gt;
              &lt;w:right w:val="single" w:sz="8" w:space="0" w:color="4F81BD" w:themeColor="accent1" /&gt;
            &lt;/w:tblBorders&gt;
          &lt;/w:tblPr&gt;
          &lt;w:tblStylePr w:type="firstRow"&gt;
            &lt;w:rPr&gt;
              &lt;w:sz w:val="24" /&gt;
              &lt;w:szCs w:val="24" /&gt;
            &lt;/w:rPr&gt;
            &lt;w:tblPr /&gt;
            &lt;w:tcPr&gt;
              &lt;w:tcBorders&gt;
                &lt;w:top w:val="nil" /&gt;
                &lt;w:left w:val="nil" /&gt;
                &lt;w:bottom w:val="single" w:sz="24" w:space="0" w:color="4F81BD" w:themeColor="accent1" /&gt;
                &lt;w:right w:val="nil" /&gt;
                &lt;w:insideH w:val="nil" /&gt;
                &lt;w:insideV w:val="nil" /&gt;
              &lt;/w:tcBorders&gt;
              &lt;w:shd w:val="clear" w:color="auto" w:fill="FFFFFF" w:themeFill="background1" /&gt;
            &lt;/w:tcPr&gt;
          &lt;/w:tblStylePr&gt;
          &lt;w:tblStylePr w:type="lastRow"&gt;
            &lt;w:tblPr /&gt;
            &lt;w:tcPr&gt;
              &lt;w:tcBorders&gt;
                &lt;w:top w:val="single" w:sz="8" w:space="0" w:color="4F81BD" w:themeColor="accent1"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w:color="4F81BD" w:themeColor="accent1" /&gt;
                &lt;w:insideH w:val="nil" /&gt;
                &lt;w:insideV w:val="nil" /&gt;
              &lt;/w:tcBorders&gt;
              &lt;w:shd w:val="clear" w:color="auto" w:fill="FFFFFF" w:themeFill="background1" /&gt;
            &lt;/w:tcPr&gt;
          &lt;/w:tblStylePr&gt;
          &lt;w:tblStylePr w:type="lastCol"&gt;
            &lt;w:tblPr /&gt;
            &lt;w:tcPr&gt;
              &lt;w:tcBorders&gt;
                &lt;w:top w:val="nil" /&gt;
                &lt;w:left w:val="single" w:sz="8" w:space="0" w:color="4F81BD" w:themeColor="accent1"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w:fill="D3DFEE" w:themeFill="accent1" w:themeFillTint="3F" /&gt;
            &lt;/w:tcPr&gt;
          &lt;/w:tblStylePr&gt;
          &lt;w:tblStylePr w:type="band1Horz"&gt;
            &lt;w:tblPr /&gt;
            &lt;w:tcPr&gt;
              &lt;w:tcBorders&gt;
                &lt;w:top w:val="nil" /&gt;
                &lt;w:bottom w:val="nil" /&gt;
                &lt;w:insideH w:val="nil" /&gt;
                &lt;w:insideV w:val="nil" /&gt;
              &lt;/w:tcBorders&gt;
              &lt;w:shd w:val="clear" w:color="auto" w:fill="D3DFEE" w:themeFill="accent1"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w:styleId="MediumList2-Accent2"&gt;
          &lt;w:name w:val="Medium List 2 Accent 2"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w:color="C0504D" w:themeColor="accent2" /&gt;
              &lt;w:left w:val="single" w:sz="8" w:space="0" w:color="C0504D" w:themeColor="accent2" /&gt;
              &lt;w:bottom w:val="single" w:sz="8" w:space="0" w:color="C0504D" w:themeColor="accent2" /&gt;
              &lt;w:right w:val="single" w:sz="8" w:space="0" w:color="C0504D" w:themeColor="accent2" /&gt;
            &lt;/w:tblBorders&gt;
          &lt;/w:tblPr&gt;
          &lt;w:tblStylePr w:type="firstRow"&gt;
            &lt;w:rPr&gt;
              &lt;w:sz w:val="24" /&gt;
              &lt;w:szCs w:val="24" /&gt;
            &lt;/w:rPr&gt;
            &lt;w:tblPr /&gt;
            &lt;w:tcPr&gt;
              &lt;w:tcBorders&gt;
                &lt;w:top w:val="nil" /&gt;
                &lt;w:left w:val="nil" /&gt;
                &lt;w:bottom w:val="single" w:sz="24" w:space="0" w:color="C0504D" w:themeColor="accent2" /&gt;
                &lt;w:right w:val="nil" /&gt;
                &lt;w:insideH w:val="nil" /&gt;
                &lt;w:insideV w:val="nil" /&gt;
              &lt;/w:tcBorders&gt;
              &lt;w:shd w:val="clear" w:color="auto" w:fill="FFFFFF" w:themeFill="background1" /&gt;
            &lt;/w:tcPr&gt;
          &lt;/w:tblStylePr&gt;
          &lt;w:tblStylePr w:type="lastRow"&gt;
            &lt;w:tblPr /&gt;
            &lt;w:tcPr&gt;
              &lt;w:tcBorders&gt;
                &lt;w:top w:val="single" w:sz="8" w:space="0" w:color="C0504D" w:themeColor="accent2"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w:color="C0504D" w:themeColor="accent2" /&gt;
                &lt;w:insideH w:val="nil" /&gt;
                &lt;w:insideV w:val="nil" /&gt;
              &lt;/w:tcBorders&gt;
              &lt;w:shd w:val="clear" w:color="auto" w:fill="FFFFFF" w:themeFill="background1" /&gt;
            &lt;/w:tcPr&gt;
          &lt;/w:tblStylePr&gt;
          &lt;w:tblStylePr w:type="lastCol"&gt;
            &lt;w:tblPr /&gt;
            &lt;w:tcPr&gt;
              &lt;w:tcBorders&gt;
                &lt;w:top w:val="nil" /&gt;
                &lt;w:left w:val="single" w:sz="8" w:space="0" w:color="C0504D" w:themeColor="accent2"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w:fill="EFD3D2" w:themeFill="accent2" w:themeFillTint="3F" /&gt;
            &lt;/w:tcPr&gt;
          &lt;/w:tblStylePr&gt;
          &lt;w:tblStylePr w:type="band1Horz"&gt;
            &lt;w:tblPr /&gt;
            &lt;w:tcPr&gt;
              &lt;w:tcBorders&gt;
                &lt;w:top w:val="nil" /&gt;
                &lt;w:bottom w:val="nil" /&gt;
                &lt;w:insideH w:val="nil" /&gt;
                &lt;w:insideV w:val="nil" /&gt;
              &lt;/w:tcBorders&gt;
              &lt;w:shd w:val="clear" w:color="auto" w:fill="EFD3D2" w:themeFill="accent2"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w:styleId="MediumList2-Accent3"&gt;
          &lt;w:name w:val="Medium List 2 Accent 3"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w:color="9BBB59" w:themeColor="accent3" /&gt;
              &lt;w:left w:val="single" w:sz="8" w:space="0" w:color="9BBB59" w:themeColor="accent3" /&gt;
              &lt;w:bottom w:val="single" w:sz="8" w:space="0" w:color="9BBB59" w:themeColor="accent3" /&gt;
              &lt;w:right w:val="single" w:sz="8" w:space="0" w:color="9BBB59" w:themeColor="accent3" /&gt;
            &lt;/w:tblBorders&gt;
          &lt;/w:tblPr&gt;
          &lt;w:tblStylePr w:type="firstRow"&gt;
            &lt;w:rPr&gt;
              &lt;w:sz w:val="24" /&gt;
              &lt;w:szCs w:val="24" /&gt;
            &lt;/w:rPr&gt;
            &lt;w:tblPr /&gt;
            &lt;w:tcPr&gt;
              &lt;w:tcBorders&gt;
                &lt;w:top w:val="nil" /&gt;
                &lt;w:left w:val="nil" /&gt;
                &lt;w:bottom w:val="single" w:sz="24" w:space="0" w:color="9BBB59" w:themeColor="accent3" /&gt;
                &lt;w:right w:val="nil" /&gt;
                &lt;w:insideH w:val="nil" /&gt;
                &lt;w:insideV w:val="nil" /&gt;
              &lt;/w:tcBorders&gt;
              &lt;w:shd w:val="clear" w:color="auto" w:fill="FFFFFF" w:themeFill="background1" /&gt;
            &lt;/w:tcPr&gt;
          &lt;/w:tblStylePr&gt;
          &lt;w:tblStylePr w:type="lastRow"&gt;
            &lt;w:tblPr /&gt;
            &lt;w:tcPr&gt;
              &lt;w:tcBorders&gt;
                &lt;w:top w:val="single" w:sz="8" w:space="0" w:color="9BBB59" w:themeColor="accent3"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w:color="9BBB59" w:themeColor="accent3" /&gt;
                &lt;w:insideH w:val="nil" /&gt;
                &lt;w:insideV w:val="nil" /&gt;
              &lt;/w:tcBorders&gt;
              &lt;w:shd w:val="clear" w:color="auto" w:fill="FFFFFF" w:themeFill="background1" /&gt;
            &lt;/w:tcPr&gt;
          &lt;/w:tblStylePr&gt;
          &lt;w:tblStylePr w:type="lastCol"&gt;
            &lt;w:tblPr /&gt;
            &lt;w:tcPr&gt;
              &lt;w:tcBorders&gt;
                &lt;w:top w:val="nil" /&gt;
                &lt;w:left w:val="single" w:sz="8" w:space="0" w:color="9BBB59" w:themeColor="accent3"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w:fill="E6EED5" w:themeFill="accent3" w:themeFillTint="3F" /&gt;
            &lt;/w:tcPr&gt;
          &lt;/w:tblStylePr&gt;
          &lt;w:tblStylePr w:type="band1Horz"&gt;
            &lt;w:tblPr /&gt;
            &lt;w:tcPr&gt;
              &lt;w:tcBorders&gt;
                &lt;w:top w:val="nil" /&gt;
                &lt;w:bottom w:val="nil" /&gt;
                &lt;w:insideH w:val="nil" /&gt;
                &lt;w:insideV w:val="nil" /&gt;
              &lt;/w:tcBorders&gt;
              &lt;w:shd w:val="clear" w:color="auto" w:fill="E6EED5" w:themeFill="accent3"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w:styleId="MediumList2-Accent4"&gt;
          &lt;w:name w:val="Medium List 2 Accent 4"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w:color="8064A2" w:themeColor="accent4" /&gt;
              &lt;w:left w:val="single" w:sz="8" w:space="0" w:color="8064A2" w:themeColor="accent4" /&gt;
              &lt;w:bottom w:val="single" w:sz="8" w:space="0" w:color="8064A2" w:themeColor="accent4" /&gt;
              &lt;w:right w:val="single" w:sz="8" w:space="0" w:color="8064A2" w:themeColor="accent4" /&gt;
            &lt;/w:tblBorders&gt;
          &lt;/w:tblPr&gt;
          &lt;w:tblStylePr w:type="firstRow"&gt;
            &lt;w:rPr&gt;
              &lt;w:sz w:val="24" /&gt;
              &lt;w:szCs w:val="24" /&gt;
            &lt;/w:rPr&gt;
            &lt;w:tblPr /&gt;
            &lt;w:tcPr&gt;
              &lt;w:tcBorders&gt;
                &lt;w:top w:val="nil" /&gt;
                &lt;w:left w:val="nil" /&gt;
                &lt;w:bottom w:val="single" w:sz="24" w:space="0" w:color="8064A2" w:themeColor="accent4" /&gt;
                &lt;w:right w:val="nil" /&gt;
                &lt;w:insideH w:val="nil" /&gt;
                &lt;w:insideV w:val="nil" /&gt;
              &lt;/w:tcBorders&gt;
              &lt;w:shd w:val="clear" w:color="auto" w:fill="FFFFFF" w:themeFill="background1" /&gt;
            &lt;/w:tcPr&gt;
          &lt;/w:tblStylePr&gt;
          &lt;w:tblStylePr w:type="lastRow"&gt;
            &lt;w:tblPr /&gt;
            &lt;w:tcPr&gt;
              &lt;w:tcBorders&gt;
                &lt;w:top w:val="single" w:sz="8" w:space="0" w:color="8064A2" w:themeColor="accent4"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w:color="8064A2" w:themeColor="accent4" /&gt;
                &lt;w:insideH w:val="nil" /&gt;
                &lt;w:insideV w:val="nil" /&gt;
              &lt;/w:tcBorders&gt;
              &lt;w:shd w:val="clear" w:color="auto" w:fill="FFFFFF" w:themeFill="background1" /&gt;
            &lt;/w:tcPr&gt;
          &lt;/w:tblStylePr&gt;
          &lt;w:tblStylePr w:type="lastCol"&gt;
            &lt;w:tblPr /&gt;
            &lt;w:tcPr&gt;
              &lt;w:tcBorders&gt;
                &lt;w:top w:val="nil" /&gt;
                &lt;w:left w:val="single" w:sz="8" w:space="0" w:color="8064A2" w:themeColor="accent4"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w:fill="DFD8E8" w:themeFill="accent4" w:themeFillTint="3F" /&gt;
            &lt;/w:tcPr&gt;
          &lt;/w:tblStylePr&gt;
          &lt;w:tblStylePr w:type="band1Horz"&gt;
            &lt;w:tblPr /&gt;
            &lt;w:tcPr&gt;
              &lt;w:tcBorders&gt;
                &lt;w:top w:val="nil" /&gt;
                &lt;w:bottom w:val="nil" /&gt;
                &lt;w:insideH w:val="nil" /&gt;
                &lt;w:insideV w:val="nil" /&gt;
              &lt;/w:tcBorders&gt;
              &lt;w:shd w:val="clear" w:color="auto" w:fill="DFD8E8" w:themeFill="accent4"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w:styleId="MediumList2-Accent5"&gt;
          &lt;w:name w:val="Medium List 2 Accent 5"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w:color="4BACC6" w:themeColor="accent5" /&gt;
              &lt;w:left w:val="single" w:sz="8" w:space="0" w:color="4BACC6" w:themeColor="accent5" /&gt;
              &lt;w:bottom w:val="single" w:sz="8" w:space="0" w:color="4BACC6" w:themeColor="accent5" /&gt;
              &lt;w:right w:val="single" w:sz="8" w:space="0" w:color="4BACC6" w:themeColor="accent5" /&gt;
            &lt;/w:tblBorders&gt;
          &lt;/w:tblPr&gt;
          &lt;w:tblStylePr w:type="firstRow"&gt;
            &lt;w:rPr&gt;
              &lt;w:sz w:val="24" /&gt;
              &lt;w:szCs w:val="24" /&gt;
            &lt;/w:rPr&gt;
            &lt;w:tblPr /&gt;
            &lt;w:tcPr&gt;
              &lt;w:tcBorders&gt;
                &lt;w:top w:val="nil" /&gt;
                &lt;w:left w:val="nil" /&gt;
                &lt;w:bottom w:val="single" w:sz="24" w:space="0" w:color="4BACC6" w:themeColor="accent5" /&gt;
                &lt;w:right w:val="nil" /&gt;
                &lt;w:insideH w:val="nil" /&gt;
                &lt;w:insideV w:val="nil" /&gt;
              &lt;/w:tcBorders&gt;
              &lt;w:shd w:val="clear" w:color="auto" w:fill="FFFFFF" w:themeFill="background1" /&gt;
            &lt;/w:tcPr&gt;
          &lt;/w:tblStylePr&gt;
          &lt;w:tblStylePr w:type="lastRow"&gt;
            &lt;w:tblPr /&gt;
            &lt;w:tcPr&gt;
              &lt;w:tcBorders&gt;
                &lt;w:top w:val="single" w:sz="8" w:space="0" w:color="4BACC6" w:themeColor="accent5"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w:color="4BACC6" w:themeColor="accent5" /&gt;
                &lt;w:insideH w:val="nil" /&gt;
                &lt;w:insideV w:val="nil" /&gt;
              &lt;/w:tcBorders&gt;
              &lt;w:shd w:val="clear" w:color="auto" w:fill="FFFFFF" w:themeFill="background1" /&gt;
            &lt;/w:tcPr&gt;
          &lt;/w:tblStylePr&gt;
          &lt;w:tblStylePr w:type="lastCol"&gt;
            &lt;w:tblPr /&gt;
            &lt;w:tcPr&gt;
              &lt;w:tcBorders&gt;
                &lt;w:top w:val="nil" /&gt;
                &lt;w:left w:val="single" w:sz="8" w:space="0" w:color="4BACC6" w:themeColor="accent5"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w:fill="D2EAF1" w:themeFill="accent5" w:themeFillTint="3F" /&gt;
            &lt;/w:tcPr&gt;
          &lt;/w:tblStylePr&gt;
          &lt;w:tblStylePr w:type="band1Horz"&gt;
            &lt;w:tblPr /&gt;
            &lt;w:tcPr&gt;
              &lt;w:tcBorders&gt;
                &lt;w:top w:val="nil" /&gt;
                &lt;w:bottom w:val="nil" /&gt;
                &lt;w:insideH w:val="nil" /&gt;
                &lt;w:insideV w:val="nil" /&gt;
              &lt;/w:tcBorders&gt;
              &lt;w:shd w:val="clear" w:color="auto" w:fill="D2EAF1" w:themeFill="accent5"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w:styleId="MediumList2-Accent6"&gt;
          &lt;w:name w:val="Medium List 2 Accent 6" /&gt;
          &lt;w:basedOn w:val="TableNormal" /&gt;
          &lt;w:uiPriority w:val="66" /&gt;
          &lt;w:rPr&gt;
            &lt;w:rFonts w:asciiTheme="majorHAnsi" w:eastAsiaTheme="majorEastAsia" w:hAnsiTheme="majorHAnsi" w:cstheme="majorBidi" /&gt;
            &lt;w:color w:val="000000" w:themeColor="text1" /&gt;
          &lt;/w:rPr&gt;
          &lt;w:tblPr&gt;
            &lt;w:tblStyleRowBandSize w:val="1" /&gt;
            &lt;w:tblStyleColBandSize w:val="1" /&gt;
            &lt;w:tblBorders&gt;
              &lt;w:top w:val="single" w:sz="8" w:space="0" w:color="F79646" w:themeColor="accent6" /&gt;
              &lt;w:left w:val="single" w:sz="8" w:space="0" w:color="F79646" w:themeColor="accent6" /&gt;
              &lt;w:bottom w:val="single" w:sz="8" w:space="0" w:color="F79646" w:themeColor="accent6" /&gt;
              &lt;w:right w:val="single" w:sz="8" w:space="0" w:color="F79646" w:themeColor="accent6" /&gt;
            &lt;/w:tblBorders&gt;
          &lt;/w:tblPr&gt;
          &lt;w:tblStylePr w:type="firstRow"&gt;
            &lt;w:rPr&gt;
              &lt;w:sz w:val="24" /&gt;
              &lt;w:szCs w:val="24" /&gt;
            &lt;/w:rPr&gt;
            &lt;w:tblPr /&gt;
            &lt;w:tcPr&gt;
              &lt;w:tcBorders&gt;
                &lt;w:top w:val="nil" /&gt;
                &lt;w:left w:val="nil" /&gt;
                &lt;w:bottom w:val="single" w:sz="24" w:space="0" w:color="F79646" w:themeColor="accent6" /&gt;
                &lt;w:right w:val="nil" /&gt;
                &lt;w:insideH w:val="nil" /&gt;
                &lt;w:insideV w:val="nil" /&gt;
              &lt;/w:tcBorders&gt;
              &lt;w:shd w:val="clear" w:color="auto" w:fill="FFFFFF" w:themeFill="background1" /&gt;
            &lt;/w:tcPr&gt;
          &lt;/w:tblStylePr&gt;
          &lt;w:tblStylePr w:type="lastRow"&gt;
            &lt;w:tblPr /&gt;
            &lt;w:tcPr&gt;
              &lt;w:tcBorders&gt;
                &lt;w:top w:val="single" w:sz="8" w:space="0" w:color="F79646" w:themeColor="accent6" /&gt;
                &lt;w:left w:val="nil" /&gt;
                &lt;w:bottom w:val="nil" /&gt;
                &lt;w:right w:val="nil" /&gt;
                &lt;w:insideH w:val="nil" /&gt;
                &lt;w:insideV w:val="nil" /&gt;
              &lt;/w:tcBorders&gt;
              &lt;w:shd w:val="clear" w:color="auto" w:fill="FFFFFF" w:themeFill="background1" /&gt;
            &lt;/w:tcPr&gt;
          &lt;/w:tblStylePr&gt;
          &lt;w:tblStylePr w:type="firstCol"&gt;
            &lt;w:tblPr /&gt;
            &lt;w:tcPr&gt;
              &lt;w:tcBorders&gt;
                &lt;w:top w:val="nil" /&gt;
                &lt;w:left w:val="nil" /&gt;
                &lt;w:bottom w:val="nil" /&gt;
                &lt;w:right w:val="single" w:sz="8" w:space="0" w:color="F79646" w:themeColor="accent6" /&gt;
                &lt;w:insideH w:val="nil" /&gt;
                &lt;w:insideV w:val="nil" /&gt;
              &lt;/w:tcBorders&gt;
              &lt;w:shd w:val="clear" w:color="auto" w:fill="FFFFFF" w:themeFill="background1" /&gt;
            &lt;/w:tcPr&gt;
          &lt;/w:tblStylePr&gt;
          &lt;w:tblStylePr w:type="lastCol"&gt;
            &lt;w:tblPr /&gt;
            &lt;w:tcPr&gt;
              &lt;w:tcBorders&gt;
                &lt;w:top w:val="nil" /&gt;
                &lt;w:left w:val="single" w:sz="8" w:space="0" w:color="F79646" w:themeColor="accent6" /&gt;
                &lt;w:bottom w:val="nil" /&gt;
                &lt;w:right w:val="nil" /&gt;
                &lt;w:insideH w:val="nil" /&gt;
                &lt;w:insideV w:val="nil" /&gt;
              &lt;/w:tcBorders&gt;
              &lt;w:shd w:val="clear" w:color="auto" w:fill="FFFFFF" w:themeFill="background1" /&gt;
            &lt;/w:tcPr&gt;
          &lt;/w:tblStylePr&gt;
          &lt;w:tblStylePr w:type="band1Vert"&gt;
            &lt;w:tblPr /&gt;
            &lt;w:tcPr&gt;
              &lt;w:tcBorders&gt;
                &lt;w:left w:val="nil" /&gt;
                &lt;w:right w:val="nil" /&gt;
                &lt;w:insideH w:val="nil" /&gt;
                &lt;w:insideV w:val="nil" /&gt;
              &lt;/w:tcBorders&gt;
              &lt;w:shd w:val="clear" w:color="auto" w:fill="FDE4D0" w:themeFill="accent6" w:themeFillTint="3F" /&gt;
            &lt;/w:tcPr&gt;
          &lt;/w:tblStylePr&gt;
          &lt;w:tblStylePr w:type="band1Horz"&gt;
            &lt;w:tblPr /&gt;
            &lt;w:tcPr&gt;
              &lt;w:tcBorders&gt;
                &lt;w:top w:val="nil" /&gt;
                &lt;w:bottom w:val="nil" /&gt;
                &lt;w:insideH w:val="nil" /&gt;
                &lt;w:insideV w:val="nil" /&gt;
              &lt;/w:tcBorders&gt;
              &lt;w:shd w:val="clear" w:color="auto" w:fill="FDE4D0" w:themeFill="accent6" w:themeFillTint="3F" /&gt;
            &lt;/w:tcPr&gt;
          &lt;/w:tblStylePr&gt;
          &lt;w:tblStylePr w:type="nwCell"&gt;
            &lt;w:tblPr /&gt;
            &lt;w:tcPr&gt;
              &lt;w:shd w:val="clear" w:color="auto" w:fill="FFFFFF" w:themeFill="background1" /&gt;
            &lt;/w:tcPr&gt;
          &lt;/w:tblStylePr&gt;
          &lt;w:tblStylePr w:type="swCell"&gt;
            &lt;w:tblPr /&gt;
            &lt;w:tcPr&gt;
              &lt;w:tcBorders&gt;
                &lt;w:top w:val="nil" /&gt;
              &lt;/w:tcBorders&gt;
            &lt;/w:tcPr&gt;
          &lt;/w:tblStylePr&gt;
        &lt;/w:style&gt;
        &lt;w:style w:type="table" w:styleId="MediumShading1"&gt;
          &lt;w:name w:val="Medium Shading 1" /&gt;
          &lt;w:basedOn w:val="TableNormal" /&gt;
          &lt;w:uiPriority w:val="63" /&gt;
          &lt;w:tblPr&gt;
            &lt;w:tblStyleRowBandSize w:val="1" /&gt;
            &lt;w:tblStyleColBandSize w:val="1" /&gt;
            &lt;w:tblBorders&gt;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w:val="single" w:sz="8" w:space="0" w:color="404040" w:themeColor="text1"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&lt;w:shd w:val="clear" w:color="auto" w:fill="000000" w:themeFill="text1" /&gt;
            &lt;/w:tcPr&gt;
          &lt;/w:tblStylePr&gt;
          &lt;w:tblStylePr w:type="lastRow"&gt;
            &lt;w:pPr&gt;
              &lt;w:spacing w:before="0" w:after="0" w:line="240" w:lineRule="auto" /&gt;
            &lt;/w:pPr&gt;
            &lt;w:rPr&gt;
              &lt;w:b /&gt;
              &lt;w:bCs /&gt;
            &lt;/w:rPr&gt;
            &lt;w:tblPr /&gt;
            &lt;w:tcPr&gt;
              &lt;w:tcBorders&gt;
                &lt;w:top w:val="double" w:sz="6" w:space="0" w:color="404040" w:themeColor="text1" w:themeTint="BF" /&gt;
                &lt;w:left w:val="single" w:sz="8" w:space="0" w:color="404040" w:themeColor="text1" w:themeTint="BF" /&gt;
                &lt;w:bottom w:val="single" w:sz="8" w:space="0" w:color="404040" w:themeColor="text1" w:themeTint="BF" /&gt;
                &lt;w:right w:val="single" w:sz="8" w:space="0" w:color="404040" w:themeColor="text1"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w:fill="C0C0C0" w:themeFill="text1" w:themeFillTint="3F" /&gt;
            &lt;/w:tcPr&gt;
          &lt;/w:tblStylePr&gt;
          &lt;w:tblStylePr w:type="band1Horz"&gt;
            &lt;w:tblPr /&gt;
            &lt;w:tcPr&gt;
              &lt;w:tcBorders&gt;
                &lt;w:insideH w:val="nil" /&gt;
                &lt;w:insideV w:val="nil" /&gt;
              &lt;/w:tcBorders&gt;
              &lt;w:shd w:val="clear" w:color="auto" w:fill="C0C0C0" w:themeFill="text1" w:themeFillTint="3F" /&gt;
            &lt;/w:tcPr&gt;
          &lt;/w:tblStylePr&gt;
          &lt;w:tblStylePr w:type="band2Horz"&gt;
            &lt;w:tblPr /&gt;
            &lt;w:tcPr&gt;
              &lt;w:tcBorders&gt;
                &lt;w:insideH w:val="nil" /&gt;
                &lt;w:insideV w:val="nil" /&gt;
              &lt;/w:tcBorders&gt;
            &lt;/w:tcPr&gt;
          &lt;/w:tblStylePr&gt;
        &lt;/w:style&gt;
        &lt;w:style w:type="table" w:styleId="MediumShading1-Accent1"&gt;
          &lt;w:name w:val="Medium Shading 1 Accent 1" /&gt;
          &lt;w:basedOn w:val="TableNormal" /&gt;
          &lt;w:uiPriority w:val="63" /&gt;
          &lt;w:tblPr&gt;
            &lt;w:tblStyleRowBandSize w:val="1" /&gt;
            &lt;w:tblStyleColBandSize w:val="1" /&gt;
            &lt;w:tblBorders&gt;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w:val="single" w:sz="8" w:space="0" w:color="7BA0CD" w:themeColor="accent1"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&lt;w:shd w:val="clear" w:color="auto" w:fill="4F81BD" w:themeFill="accent1" /&gt;
            &lt;/w:tcPr&gt;
          &lt;/w:tblStylePr&gt;
          &lt;w:tblStylePr w:type="lastRow"&gt;
            &lt;w:pPr&gt;
              &lt;w:spacing w:before="0" w:after="0" w:line="240" w:lineRule="auto" /&gt;
            &lt;/w:pPr&gt;
            &lt;w:rPr&gt;
              &lt;w:b /&gt;
              &lt;w:bCs /&gt;
            &lt;/w:rPr&gt;
            &lt;w:tblPr /&gt;
            &lt;w:tcPr&gt;
              &lt;w:tcBorders&gt;
                &lt;w:top w:val="double" w:sz="6" w:space="0" w:color="7BA0CD" w:themeColor="accent1" w:themeTint="BF" /&gt;
                &lt;w:left w:val="single" w:sz="8" w:space="0" w:color="7BA0CD" w:themeColor="accent1" w:themeTint="BF" /&gt;
                &lt;w:bottom w:val="single" w:sz="8" w:space="0" w:color="7BA0CD" w:themeColor="accent1" w:themeTint="BF" /&gt;
                &lt;w:right w:val="single" w:sz="8" w:space="0" w:color="7BA0CD" w:themeColor="accent1"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w:fill="D3DFEE" w:themeFill="accent1" w:themeFillTint="3F" /&gt;
            &lt;/w:tcPr&gt;
          &lt;/w:tblStylePr&gt;
          &lt;w:tblStylePr w:type="band1Horz"&gt;
            &lt;w:tblPr /&gt;
            &lt;w:tcPr&gt;
              &lt;w:tcBorders&gt;
                &lt;w:insideH w:val="nil" /&gt;
                &lt;w:insideV w:val="nil" /&gt;
              &lt;/w:tcBorders&gt;
              &lt;w:shd w:val="clear" w:color="auto" w:fill="D3DFEE" w:themeFill="accent1" w:themeFillTint="3F" /&gt;
            &lt;/w:tcPr&gt;
          &lt;/w:tblStylePr&gt;
          &lt;w:tblStylePr w:type="band2Horz"&gt;
            &lt;w:tblPr /&gt;
            &lt;w:tcPr&gt;
              &lt;w:tcBorders&gt;
                &lt;w:insideH w:val="nil" /&gt;
                &lt;w:insideV w:val="nil" /&gt;
              &lt;/w:tcBorders&gt;
            &lt;/w:tcPr&gt;
          &lt;/w:tblStylePr&gt;
        &lt;/w:style&gt;
        &lt;w:style w:type="table" w:styleId="MediumShading1-Accent2"&gt;
          &lt;w:name w:val="Medium Shading 1 Accent 2" /&gt;
          &lt;w:basedOn w:val="TableNormal" /&gt;
          &lt;w:uiPriority w:val="63" /&gt;
          &lt;w:tblPr&gt;
            &lt;w:tblStyleRowBandSize w:val="1" /&gt;
            &lt;w:tblStyleColBandSize w:val="1" /&gt;
            &lt;w:tblBorders&gt;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w:val="single" w:sz="8" w:space="0" w:color="CF7B79" w:themeColor="accent2"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&lt;w:shd w:val="clear" w:color="auto" w:fill="C0504D" w:themeFill="accent2" /&gt;
            &lt;/w:tcPr&gt;
          &lt;/w:tblStylePr&gt;
          &lt;w:tblStylePr w:type="lastRow"&gt;
            &lt;w:pPr&gt;
              &lt;w:spacing w:before="0" w:after="0" w:line="240" w:lineRule="auto" /&gt;
            &lt;/w:pPr&gt;
            &lt;w:rPr&gt;
              &lt;w:b /&gt;
              &lt;w:bCs /&gt;
            &lt;/w:rPr&gt;
            &lt;w:tblPr /&gt;
            &lt;w:tcPr&gt;
              &lt;w:tcBorders&gt;
                &lt;w:top w:val="double" w:sz="6" w:space="0" w:color="CF7B79" w:themeColor="accent2" w:themeTint="BF" /&gt;
                &lt;w:left w:val="single" w:sz="8" w:space="0" w:color="CF7B79" w:themeColor="accent2" w:themeTint="BF" /&gt;
                &lt;w:bottom w:val="single" w:sz="8" w:space="0" w:color="CF7B79" w:themeColor="accent2" w:themeTint="BF" /&gt;
                &lt;w:right w:val="single" w:sz="8" w:space="0" w:color="CF7B79" w:themeColor="accent2"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w:fill="EFD3D2" w:themeFill="accent2" w:themeFillTint="3F" /&gt;
            &lt;/w:tcPr&gt;
          &lt;/w:tblStylePr&gt;
          &lt;w:tblStylePr w:type="band1Horz"&gt;
            &lt;w:tblPr /&gt;
            &lt;w:tcPr&gt;
              &lt;w:tcBorders&gt;
                &lt;w:insideH w:val="nil" /&gt;
                &lt;w:insideV w:val="nil" /&gt;
              &lt;/w:tcBorders&gt;
              &lt;w:shd w:val="clear" w:color="auto" w:fill="EFD3D2" w:themeFill="accent2" w:themeFillTint="3F" /&gt;
            &lt;/w:tcPr&gt;
          &lt;/w:tblStylePr&gt;
          &lt;w:tblStylePr w:type="band2Horz"&gt;
            &lt;w:tblPr /&gt;
            &lt;w:tcPr&gt;
              &lt;w:tcBorders&gt;
                &lt;w:insideH w:val="nil" /&gt;
                &lt;w:insideV w:val="nil" /&gt;
              &lt;/w:tcBorders&gt;
            &lt;/w:tcPr&gt;
          &lt;/w:tblStylePr&gt;
        &lt;/w:style&gt;
        &lt;w:style w:type="table" w:styleId="MediumShading1-Accent3"&gt;
          &lt;w:name w:val="Medium Shading 1 Accent 3" /&gt;
          &lt;w:basedOn w:val="TableNormal" /&gt;
          &lt;w:uiPriority w:val="63" /&gt;
          &lt;w:tblPr&gt;
            &lt;w:tblStyleRowBandSize w:val="1" /&gt;
            &lt;w:tblStyleColBandSize w:val="1" /&gt;
            &lt;w:tblBorders&gt;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w:val="single" w:sz="8" w:space="0" w:color="B3CC82" w:themeColor="accent3"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&lt;w:shd w:val="clear" w:color="auto" w:fill="9BBB59" w:themeFill="accent3" /&gt;
            &lt;/w:tcPr&gt;
          &lt;/w:tblStylePr&gt;
          &lt;w:tblStylePr w:type="lastRow"&gt;
            &lt;w:pPr&gt;
              &lt;w:spacing w:before="0" w:after="0" w:line="240" w:lineRule="auto" /&gt;
            &lt;/w:pPr&gt;
            &lt;w:rPr&gt;
              &lt;w:b /&gt;
              &lt;w:bCs /&gt;
            &lt;/w:rPr&gt;
            &lt;w:tblPr /&gt;
            &lt;w:tcPr&gt;
              &lt;w:tcBorders&gt;
                &lt;w:top w:val="double" w:sz="6" w:space="0" w:color="B3CC82" w:themeColor="accent3" w:themeTint="BF" /&gt;
                &lt;w:left w:val="single" w:sz="8" w:space="0" w:color="B3CC82" w:themeColor="accent3" w:themeTint="BF" /&gt;
                &lt;w:bottom w:val="single" w:sz="8" w:space="0" w:color="B3CC82" w:themeColor="accent3" w:themeTint="BF" /&gt;
                &lt;w:right w:val="single" w:sz="8" w:space="0" w:color="B3CC82" w:themeColor="accent3"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w:fill="E6EED5" w:themeFill="accent3" w:themeFillTint="3F" /&gt;
            &lt;/w:tcPr&gt;
          &lt;/w:tblStylePr&gt;
          &lt;w:tblStylePr w:type="band1Horz"&gt;
            &lt;w:tblPr /&gt;
            &lt;w:tcPr&gt;
              &lt;w:tcBorders&gt;
                &lt;w:insideH w:val="nil" /&gt;
                &lt;w:insideV w:val="nil" /&gt;
              &lt;/w:tcBorders&gt;
              &lt;w:shd w:val="clear" w:color="auto" w:fill="E6EED5" w:themeFill="accent3" w:themeFillTint="3F" /&gt;
            &lt;/w:tcPr&gt;
          &lt;/w:tblStylePr&gt;
          &lt;w:tblStylePr w:type="band2Horz"&gt;
            &lt;w:tblPr /&gt;
            &lt;w:tcPr&gt;
              &lt;w:tcBorders&gt;
                &lt;w:insideH w:val="nil" /&gt;
                &lt;w:insideV w:val="nil" /&gt;
              &lt;/w:tcBorders&gt;
            &lt;/w:tcPr&gt;
          &lt;/w:tblStylePr&gt;
        &lt;/w:style&gt;
        &lt;w:style w:type="table" w:styleId="MediumShading1-Accent4"&gt;
          &lt;w:name w:val="Medium Shading 1 Accent 4" /&gt;
          &lt;w:basedOn w:val="TableNormal" /&gt;
          &lt;w:uiPriority w:val="63" /&gt;
          &lt;w:tblPr&gt;
            &lt;w:tblStyleRowBandSize w:val="1" /&gt;
            &lt;w:tblStyleColBandSize w:val="1" /&gt;
            &lt;w:tblBorders&gt;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w:val="single" w:sz="8" w:space="0" w:color="9F8AB9" w:themeColor="accent4"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&lt;w:shd w:val="clear" w:color="auto" w:fill="8064A2" w:themeFill="accent4" /&gt;
            &lt;/w:tcPr&gt;
          &lt;/w:tblStylePr&gt;
          &lt;w:tblStylePr w:type="lastRow"&gt;
            &lt;w:pPr&gt;
              &lt;w:spacing w:before="0" w:after="0" w:line="240" w:lineRule="auto" /&gt;
            &lt;/w:pPr&gt;
            &lt;w:rPr&gt;
              &lt;w:b /&gt;
              &lt;w:bCs /&gt;
            &lt;/w:rPr&gt;
            &lt;w:tblPr /&gt;
            &lt;w:tcPr&gt;
              &lt;w:tcBorders&gt;
                &lt;w:top w:val="double" w:sz="6" w:space="0" w:color="9F8AB9" w:themeColor="accent4" w:themeTint="BF" /&gt;
                &lt;w:left w:val="single" w:sz="8" w:space="0" w:color="9F8AB9" w:themeColor="accent4" w:themeTint="BF" /&gt;
                &lt;w:bottom w:val="single" w:sz="8" w:space="0" w:color="9F8AB9" w:themeColor="accent4" w:themeTint="BF" /&gt;
                &lt;w:right w:val="single" w:sz="8" w:space="0" w:color="9F8AB9" w:themeColor="accent4"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w:fill="DFD8E8" w:themeFill="accent4" w:themeFillTint="3F" /&gt;
            &lt;/w:tcPr&gt;
          &lt;/w:tblStylePr&gt;
          &lt;w:tblStylePr w:type="band1Horz"&gt;
            &lt;w:tblPr /&gt;
            &lt;w:tcPr&gt;
              &lt;w:tcBorders&gt;
                &lt;w:insideH w:val="nil" /&gt;
                &lt;w:insideV w:val="nil" /&gt;
              &lt;/w:tcBorders&gt;
              &lt;w:shd w:val="clear" w:color="auto" w:fill="DFD8E8" w:themeFill="accent4" w:themeFillTint="3F" /&gt;
            &lt;/w:tcPr&gt;
          &lt;/w:tblStylePr&gt;
          &lt;w:tblStylePr w:type="band2Horz"&gt;
            &lt;w:tblPr /&gt;
            &lt;w:tcPr&gt;
              &lt;w:tcBorders&gt;
                &lt;w:insideH w:val="nil" /&gt;
                &lt;w:insideV w:val="nil" /&gt;
              &lt;/w:tcBorders&gt;
            &lt;/w:tcPr&gt;
          &lt;/w:tblStylePr&gt;
        &lt;/w:style&gt;
        &lt;w:style w:type="table" w:styleId="MediumShading1-Accent5"&gt;
          &lt;w:name w:val="Medium Shading 1 Accent 5" /&gt;
          &lt;w:basedOn w:val="TableNormal" /&gt;
          &lt;w:uiPriority w:val="63" /&gt;
          &lt;w:tblPr&gt;
            &lt;w:tblStyleRowBandSize w:val="1" /&gt;
            &lt;w:tblStyleColBandSize w:val="1" /&gt;
            &lt;w:tblBorders&gt;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w:val="single" w:sz="8" w:space="0" w:color="78C0D4" w:themeColor="accent5"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&lt;w:shd w:val="clear" w:color="auto" w:fill="4BACC6" w:themeFill="accent5" /&gt;
            &lt;/w:tcPr&gt;
          &lt;/w:tblStylePr&gt;
          &lt;w:tblStylePr w:type="lastRow"&gt;
            &lt;w:pPr&gt;
              &lt;w:spacing w:before="0" w:after="0" w:line="240" w:lineRule="auto" /&gt;
            &lt;/w:pPr&gt;
            &lt;w:rPr&gt;
              &lt;w:b /&gt;
              &lt;w:bCs /&gt;
            &lt;/w:rPr&gt;
            &lt;w:tblPr /&gt;
            &lt;w:tcPr&gt;
              &lt;w:tcBorders&gt;
                &lt;w:top w:val="double" w:sz="6" w:space="0" w:color="78C0D4" w:themeColor="accent5" w:themeTint="BF" /&gt;
                &lt;w:left w:val="single" w:sz="8" w:space="0" w:color="78C0D4" w:themeColor="accent5" w:themeTint="BF" /&gt;
                &lt;w:bottom w:val="single" w:sz="8" w:space="0" w:color="78C0D4" w:themeColor="accent5" w:themeTint="BF" /&gt;
                &lt;w:right w:val="single" w:sz="8" w:space="0" w:color="78C0D4" w:themeColor="accent5"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w:fill="D2EAF1" w:themeFill="accent5" w:themeFillTint="3F" /&gt;
            &lt;/w:tcPr&gt;
          &lt;/w:tblStylePr&gt;
          &lt;w:tblStylePr w:type="band1Horz"&gt;
            &lt;w:tblPr /&gt;
            &lt;w:tcPr&gt;
              &lt;w:tcBorders&gt;
                &lt;w:insideH w:val="nil" /&gt;
                &lt;w:insideV w:val="nil" /&gt;
              &lt;/w:tcBorders&gt;
              &lt;w:shd w:val="clear" w:color="auto" w:fill="D2EAF1" w:themeFill="accent5" w:themeFillTint="3F" /&gt;
            &lt;/w:tcPr&gt;
          &lt;/w:tblStylePr&gt;
          &lt;w:tblStylePr w:type="band2Horz"&gt;
            &lt;w:tblPr /&gt;
            &lt;w:tcPr&gt;
              &lt;w:tcBorders&gt;
                &lt;w:insideH w:val="nil" /&gt;
                &lt;w:insideV w:val="nil" /&gt;
              &lt;/w:tcBorders&gt;
            &lt;/w:tcPr&gt;
          &lt;/w:tblStylePr&gt;
        &lt;/w:style&gt;
        &lt;w:style w:type="table" w:styleId="MediumShading1-Accent6"&gt;
          &lt;w:name w:val="Medium Shading 1 Accent 6" /&gt;
          &lt;w:basedOn w:val="TableNormal" /&gt;
          &lt;w:uiPriority w:val="63" /&gt;
          &lt;w:tblPr&gt;
            &lt;w:tblStyleRowBandSize w:val="1" /&gt;
            &lt;w:tblStyleColBandSize w:val="1" /&gt;
            &lt;w:tblBorders&gt;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w:val="single" w:sz="8" w:space="0" w:color="F9B074" w:themeColor="accent6" w:themeTint="BF" /&gt;
            &lt;/w:tblBorders&gt;
          &lt;/w:tblPr&gt;
          &lt;w:tblStylePr w:type="firstRow"&gt;
            &lt;w:pPr&gt;
              &lt;w:spacing w:before="0" w:after="0" w:line="240" w:lineRule="auto" /&gt;
            &lt;/w:pPr&gt;
            &lt;w:rPr&gt;
              &lt;w:b /&gt;
              &lt;w:bCs /&gt;
              &lt;w:color w:val="FFFFFF" w:themeColor="background1" /&gt;
            &lt;/w:rPr&gt;
            &lt;w:tblPr /&gt;
            &lt;w:tcPr&gt;
              &lt;w:tcBorders&gt;
                &lt;w:top w:val="single" w:sz="8"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&lt;w:shd w:val="clear" w:color="auto" w:fill="F79646" w:themeFill="accent6" /&gt;
            &lt;/w:tcPr&gt;
          &lt;/w:tblStylePr&gt;
          &lt;w:tblStylePr w:type="lastRow"&gt;
            &lt;w:pPr&gt;
              &lt;w:spacing w:before="0" w:after="0" w:line="240" w:lineRule="auto" /&gt;
            &lt;/w:pPr&gt;
            &lt;w:rPr&gt;
              &lt;w:b /&gt;
              &lt;w:bCs /&gt;
            &lt;/w:rPr&gt;
            &lt;w:tblPr /&gt;
            &lt;w:tcPr&gt;
              &lt;w:tcBorders&gt;
                &lt;w:top w:val="double" w:sz="6" w:space="0" w:color="F9B074" w:themeColor="accent6" w:themeTint="BF" /&gt;
                &lt;w:left w:val="single" w:sz="8" w:space="0" w:color="F9B074" w:themeColor="accent6" w:themeTint="BF" /&gt;
                &lt;w:bottom w:val="single" w:sz="8" w:space="0" w:color="F9B074" w:themeColor="accent6" w:themeTint="BF" /&gt;
                &lt;w:right w:val="single" w:sz="8" w:space="0" w:color="F9B074" w:themeColor="accent6" w:themeTint="BF" /&gt;
                &lt;w:insideH w:val="nil" /&gt;
                &lt;w:insideV w:val="nil" /&gt;
              &lt;/w:tcBorders&gt;
            &lt;/w:tcPr&gt;
          &lt;/w:tblStylePr&gt;
          &lt;w:tblStylePr w:type="firstCol"&gt;
            &lt;w:rPr&gt;
              &lt;w:b /&gt;
              &lt;w:bCs /&gt;
            &lt;/w:rPr&gt;
          &lt;/w:tblStylePr&gt;
          &lt;w:tblStylePr w:type="lastCol"&gt;
            &lt;w:rPr&gt;
              &lt;w:b /&gt;
              &lt;w:bCs /&gt;
            &lt;/w:rPr&gt;
          &lt;/w:tblStylePr&gt;
          &lt;w:tblStylePr w:type="band1Vert"&gt;
            &lt;w:tblPr /&gt;
            &lt;w:tcPr&gt;
              &lt;w:shd w:val="clear" w:color="auto" w:fill="FDE4D0" w:themeFill="accent6" w:themeFillTint="3F" /&gt;
            &lt;/w:tcPr&gt;
          &lt;/w:tblStylePr&gt;
          &lt;w:tblStylePr w:type="band1Horz"&gt;
            &lt;w:tblPr /&gt;
            &lt;w:tcPr&gt;
              &lt;w:tcBorders&gt;
                &lt;w:insideH w:val="nil" /&gt;
                &lt;w:insideV w:val="nil" /&gt;
              &lt;/w:tcBorders&gt;
              &lt;w:shd w:val="clear" w:color="auto" w:fill="FDE4D0" w:themeFill="accent6" w:themeFillTint="3F" /&gt;
            &lt;/w:tcPr&gt;
          &lt;/w:tblStylePr&gt;
          &lt;w:tblStylePr w:type="band2Horz"&gt;
            &lt;w:tblPr /&gt;
            &lt;w:tcPr&gt;
              &lt;w:tcBorders&gt;
                &lt;w:insideH w:val="nil" /&gt;
                &lt;w:insideV w:val="nil" /&gt;
              &lt;/w:tcBorders&gt;
            &lt;/w:tcPr&gt;
          &lt;/w:tblStylePr&gt;
        &lt;/w:style&gt;
        &lt;w:style w:type="table" w:styleId="MediumShading2"&gt;
          &lt;w:name w:val="Medium Shading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w:fill="000000" w:themeFill="text1"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w:fill="000000" w:themeFill="text1"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w:fill="000000" w:themeFill="text1"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w:styleId="MediumShading2-Accent1"&gt;
          &lt;w:name w:val="Medium Shading 2 Accent 1"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w:fill="4F81BD" w:themeFill="accent1"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w:fill="4F81BD" w:themeFill="accent1"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w:fill="4F81BD" w:themeFill="accent1"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w:styleId="MediumShading2-Accent2"&gt;
          &lt;w:name w:val="Medium Shading 2 Accent 2"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w:fill="C0504D" w:themeFill="accent2"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w:fill="C0504D" w:themeFill="accent2"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w:fill="C0504D" w:themeFill="accent2"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w:styleId="MediumShading2-Accent3"&gt;
          &lt;w:name w:val="Medium Shading 2 Accent 3"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w:fill="9BBB59" w:themeFill="accent3"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w:fill="9BBB59" w:themeFill="accent3"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w:fill="9BBB59" w:themeFill="accent3"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w:styleId="MediumShading2-Accent4"&gt;
          &lt;w:name w:val="Medium Shading 2 Accent 4"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w:fill="8064A2" w:themeFill="accent4"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w:fill="8064A2" w:themeFill="accent4"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w:fill="8064A2" w:themeFill="accent4"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w:styleId="MediumShading2-Accent5"&gt;
          &lt;w:name w:val="Medium Shading 2 Accent 5"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w:fill="4BACC6" w:themeFill="accent5"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w:fill="4BACC6" w:themeFill="accent5"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w:fill="4BACC6" w:themeFill="accent5"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w:type="table" w:styleId="MediumShading2-Accent6"&gt;
          &lt;w:name w:val="Medium Shading 2 Accent 6" /&gt;
          &lt;w:basedOn w:val="TableNormal" /&gt;
          &lt;w:uiPriority w:val="64" /&gt;
          &lt;w:tblPr&gt;
            &lt;w:tblStyleRowBandSize w:val="1" /&gt;
            &lt;w:tblStyleColBandSize w:val="1" /&gt;
            &lt;w:tblBorders&gt;
              &lt;w:top w:val="single" w:sz="18" w:space="0" w:color="auto" /&gt;
              &lt;w:bottom w:val="single" w:sz="18" w:space="0" w:color="auto" /&gt;
            &lt;/w:tblBorders&gt;
          &lt;/w:tblPr&gt;
          &lt;w:tblStylePr w:type="firstRow"&gt;
            &lt;w:pPr&gt;
              &lt;w:spacing w:before="0" w:after="0" w:line="240" w:lineRule="auto" /&gt;
            &lt;/w:pPr&gt;
            &lt;w:rPr&gt;
              &lt;w:b /&gt;
              &lt;w:bCs /&gt;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&lt;w:shd w:val="clear" w:color="auto" w:fill="F79646" w:themeFill="accent6" /&gt;
            &lt;/w:tcPr&gt;
          &lt;/w:tblStylePr&gt;
          &lt;w:tblStylePr w:type="lastRow"&gt;
            &lt;w:pPr&gt;
              &lt;w:spacing w:before="0" w:after="0" w:line="240" w:lineRule="auto" /&gt;
            &lt;/w:pPr&gt;
            &lt;w:rPr&gt;
              &lt;w:color w:val="auto" /&gt;
            &lt;/w:rPr&gt;
            &lt;w:tblPr /&gt;
            &lt;w:tcPr&gt;
              &lt;w:tcBorders&gt;
                &lt;w:top w:val="double" w:sz="6" w:space="0" w:color="auto" /&gt;
                &lt;w:left w:val="nil" /&gt;
                &lt;w:bottom w:val="single" w:sz="18" w:space="0" w:color="auto" /&gt;
                &lt;w:right w:val="nil" /&gt;
                &lt;w:insideH w:val="nil" /&gt;
                &lt;w:insideV w:val="nil" /&gt;
              &lt;/w:tcBorders&gt;
              &lt;w:shd w:val="clear" w:color="auto" w:fill="FFFFFF" w:themeFill="background1" /&gt;
            &lt;/w:tcPr&gt;
          &lt;/w:tblStylePr&gt;
          &lt;w:tblStylePr w:type="firstCol"&gt;
            &lt;w:rPr&gt;
              &lt;w:b /&gt;
              &lt;w:bCs /&gt;
              &lt;w:color w:val="FFFFFF" w:themeColor="background1" /&gt;
            &lt;/w:rPr&gt;
            &lt;w:tblPr /&gt;
            &lt;w:tcPr&gt;
              &lt;w:tcBorders&gt;
                &lt;w:top w:val="nil" /&gt;
                &lt;w:left w:val="nil" /&gt;
                &lt;w:bottom w:val="single" w:sz="18" w:space="0" w:color="auto" /&gt;
                &lt;w:right w:val="nil" /&gt;
                &lt;w:insideH w:val="nil" /&gt;
                &lt;w:insideV w:val="nil" /&gt;
              &lt;/w:tcBorders&gt;
              &lt;w:shd w:val="clear" w:color="auto" w:fill="F79646" w:themeFill="accent6" /&gt;
            &lt;/w:tcPr&gt;
          &lt;/w:tblStylePr&gt;
          &lt;w:tblStylePr w:type="lastCol"&gt;
            &lt;w:rPr&gt;
              &lt;w:b /&gt;
              &lt;w:bCs /&gt;
              &lt;w:color w:val="FFFFFF" w:themeColor="background1" /&gt;
            &lt;/w:rPr&gt;
            &lt;w:tblPr /&gt;
            &lt;w:tcPr&gt;
              &lt;w:tcBorders&gt;
                &lt;w:left w:val="nil" /&gt;
                &lt;w:right w:val="nil" /&gt;
                &lt;w:insideH w:val="nil" /&gt;
                &lt;w:insideV w:val="nil" /&gt;
              &lt;/w:tcBorders&gt;
              &lt;w:shd w:val="clear" w:color="auto" w:fill="F79646" w:themeFill="accent6" /&gt;
            &lt;/w:tcPr&gt;
          &lt;/w:tblStylePr&gt;
          &lt;w:tblStylePr w:type="band1Vert"&gt;
            &lt;w:tblPr /&gt;
            &lt;w:tcPr&gt;
              &lt;w:tcBorders&gt;
                &lt;w:left w:val="nil" /&gt;
                &lt;w:right w:val="nil" /&gt;
                &lt;w:insideH w:val="nil" /&gt;
                &lt;w:insideV w:val="nil" /&gt;
              &lt;/w:tcBorders&gt;
              &lt;w:shd w:val="clear" w:color="auto" w:fill="D8D8D8" w:themeFill="background1" w:themeFillShade="D8" /&gt;
            &lt;/w:tcPr&gt;
          &lt;/w:tblStylePr&gt;
          &lt;w:tblStylePr w:type="band1Horz"&gt;
            &lt;w:tblPr /&gt;
            &lt;w:tcPr&gt;
              &lt;w:shd w:val="clear" w:color="auto" w:fill="D8D8D8" w:themeFill="background1" w:themeFillShade="D8" /&gt;
            &lt;/w:tcPr&gt;
          &lt;/w:tblStylePr&gt;
          &lt;w:tblStylePr w:type="neCell"&gt;
            &lt;w:tblPr /&gt;
            &lt;w:tcPr&gt;
              &lt;w:tcBorders&gt;
                &lt;w:top w:val="single" w:sz="18" w:space="0" w:color="auto" /&gt;
                &lt;w:left w:val="nil" /&gt;
                &lt;w:bottom w:val="single" w:sz="18" w:space="0" w:color="auto" /&gt;
                &lt;w:right w:val="nil" /&gt;
                &lt;w:insideH w:val="nil" /&gt;
                &lt;w:insideV w:val="nil" /&gt;
              &lt;/w:tcBorders&gt;
            &lt;/w:tcPr&gt;
          &lt;/w:tblStylePr&gt;
          &lt;w:tblStylePr w:type="nwCell"&gt;
            &lt;w:rPr&gt;
              &lt;w:color w:val="FFFFFF" w:themeColor="background1" /&gt;
            &lt;/w:rPr&gt;
            &lt;w:tblPr /&gt;
            &lt;w:tcPr&gt;
              &lt;w:tcBorders&gt;
                &lt;w:top w:val="single" w:sz="18" w:space="0" w:color="auto" /&gt;
                &lt;w:left w:val="nil" /&gt;
                &lt;w:bottom w:val="single" w:sz="18" w:space="0" w:color="auto" /&gt;
                &lt;w:right w:val="nil" /&gt;
                &lt;w:insideH w:val="nil" /&gt;
                &lt;w:insideV w:val="nil" /&gt;
              &lt;/w:tcBorders&gt;
            &lt;/w:tcPr&gt;
          &lt;/w:tblStylePr&gt;
        &lt;/w:style&gt;
        &lt;w:style w:type="paragraph" w:styleId="MessageHeader"&gt;
          &lt;w:name w:val="Message Header" /&gt;
          &lt;w:basedOn w:val="Normal" /&gt;
          &lt;w:link w:val="MessageHeaderChar" /&gt;
          &lt;w:semiHidden /&gt;
          &lt;w:unhideWhenUsed /&gt;
          &lt;w:pPr&gt;
            &lt;w:pBdr&gt;
              &lt;w:top w:val="single" w:sz="6" w:space="1" w:color="auto" /&gt;
              &lt;w:left w:val="single" w:sz="6" w:space="1" w:color="auto" /&gt;
              &lt;w:bottom w:val="single" w:sz="6" w:space="1" w:color="auto" /&gt;
              &lt;w:right w:val="single" w:sz="6" w:space="1" w:color="auto" /&gt;
            &lt;/w:pBdr&gt;
            &lt;w:shd w:val="pct20" w:color="auto" w:fill="auto" /&gt;
            &lt;w:spacing w:before="0" w:after="0" w:line="240" w:lineRule="auto" /&gt;
            &lt;w:ind w:left="1080" w:hanging="1080" /&gt;
          &lt;/w:pPr&gt;
          &lt;w:rPr&gt;
            &lt;w:rFonts w:asciiTheme="majorHAnsi" w:eastAsiaTheme="majorEastAsia" w:hAnsiTheme="majorHAnsi" w:cstheme="majorBidi" /&gt;
            &lt;w:szCs w:val="24" /&gt;
          &lt;/w:rPr&gt;
        &lt;/w:style&gt;
        &lt;w:style w:type="character" w:customStyle="1" w:styleId="MessageHeaderChar"&gt;
          &lt;w:name w:val="Message Header Char" /&gt;
          &lt;w:basedOn w:val="DefaultParagraphFont" /&gt;
          &lt;w:link w:val="MessageHeader" /&gt;
          &lt;w:semiHidden /&gt;
          &lt;w:rPr&gt;
            &lt;w:rFonts w:asciiTheme="majorHAnsi" w:eastAsiaTheme="majorEastAsia" w:hAnsiTheme="majorHAnsi" w:cstheme="majorBidi" /&gt;
            &lt;w:sz w:val="24" /&gt;
            &lt;w:szCs w:val="24" /&gt;
            &lt;w:shd w:val="pct20" w:color="auto" w:fill="auto" /&gt;
          &lt;/w:rPr&gt;
        &lt;/w:style&gt;
        &lt;w:style w:type="paragraph" w:styleId="NoteHeading"&gt;
          &lt;w:name w:val="Note Heading" /&gt;
          &lt;w:basedOn w:val="Normal" /&gt;
          &lt;w:next w:val="Normal" /&gt;
          &lt;w:link w:val="NoteHeadingChar" /&gt;
          &lt;w:semiHidden /&gt;
          &lt;w:unhideWhenUsed /&gt;
          &lt;w:pPr&gt;
            &lt;w:spacing w:before="0" w:after="0" w:line="240" w:lineRule="auto" /&gt;
          &lt;/w:pPr&gt;
        &lt;/w:style&gt;
        &lt;w:style w:type="character" w:customStyle="1" w:styleId="NoteHeadingChar"&gt;
          &lt;w:name w:val="Note Heading Char" /&gt;
          &lt;w:basedOn w:val="DefaultParagraphFont" /&gt;
          &lt;w:link w:val="NoteHeading" /&gt;
          &lt;w:semiHidden /&gt;
          &lt;w:rPr&gt;
            &lt;w:rFonts w:eastAsia="Calibri" w:cs="Cordia New" /&gt;
            &lt;w:sz w:val="24" /&gt;
            &lt;w:szCs w:val="22" /&gt;
          &lt;/w:rPr&gt;
        &lt;/w:style&gt;
        &lt;w:style w:type="paragraph" w:styleId="PlainText"&gt;
          &lt;w:name w:val="Plain Text" /&gt;
          &lt;w:basedOn w:val="Normal" /&gt;
          &lt;w:link w:val="PlainTextChar" /&gt;
          &lt;w:semiHidden /&gt;
          &lt;w:unhideWhenUsed /&gt;
          &lt;w:pPr&gt;
            &lt;w:spacing w:before="0" w:after="0" w:line="240" w:lineRule="auto" /&gt;
          &lt;/w:pPr&gt;
          &lt;w:rPr&gt;
            &lt;w:rFonts w:ascii="Consolas" w:hAnsi="Consolas" w:cs="Consolas" /&gt;
            &lt;w:sz w:val="21" /&gt;
            &lt;w:szCs w:val="21" /&gt;
          &lt;/w:rPr&gt;
        &lt;/w:style&gt;
        &lt;w:style w:type="character" w:customStyle="1" w:styleId="PlainTextChar"&gt;
          &lt;w:name w:val="Plain Text Char" /&gt;
          &lt;w:basedOn w:val="DefaultParagraphFont" /&gt;
          &lt;w:link w:val="PlainText" /&gt;
          &lt;w:semiHidden /&gt;
          &lt;w:rPr&gt;
            &lt;w:rFonts w:ascii="Consolas" w:eastAsia="Calibri" w:hAnsi="Consolas" w:cs="Consolas" /&gt;
            &lt;w:sz w:val="21" /&gt;
            &lt;w:szCs w:val="21" /&gt;
          &lt;/w:rPr&gt;
        &lt;/w:style&gt;
        &lt;w:style w:type="paragraph" w:styleId="Signature"&gt;
          &lt;w:name w:val="Signature" /&gt;
          &lt;w:basedOn w:val="Normal" /&gt;
          &lt;w:link w:val="SignatureChar" /&gt;
          &lt;w:semiHidden /&gt;
          &lt;w:unhideWhenUsed /&gt;
          &lt;w:pPr&gt;
            &lt;w:spacing w:before="0" w:after="0" w:line="240" w:lineRule="auto" /&gt;
            &lt;w:ind w:left="4320" /&gt;
          &lt;/w:pPr&gt;
        &lt;/w:style&gt;
        &lt;w:style w:type="character" w:customStyle="1" w:styleId="SignatureChar"&gt;
          &lt;w:name w:val="Signature Char" /&gt;
          &lt;w:basedOn w:val="DefaultParagraphFont" /&gt;
          &lt;w:link w:val="Signature" /&gt;
          &lt;w:semiHidden /&gt;
          &lt;w:rPr&gt;
            &lt;w:rFonts w:eastAsia="Calibri" w:cs="Cordia New" /&gt;
            &lt;w:sz w:val="24" /&gt;
            &lt;w:szCs w:val="22" /&gt;
          &lt;/w:rPr&gt;
        &lt;/w:style&gt;
        &lt;w:style w:type="table" w:styleId="Table3Deffects1"&gt;
          &lt;w:name w:val="Table 3D effects 1" /&gt;
          &lt;w:basedOn w:val="TableNormal" /&gt;
          &lt;w:semiHidden /&gt;
          &lt;w:unhideWhenUsed /&gt;
          &lt;w:pPr&gt;
            &lt;w:spacing w:before="120" w:after="120" w:line="280" w:lineRule="atLeast" /&gt;
          &lt;/w:pPr&gt;
          &lt;w:tblPr /&gt;
          &lt;w:tcPr&gt;
            &lt;w:shd w:val="solid" w:color="C0C0C0" w:fill="FFFFFF" /&gt;
          &lt;/w:tcPr&gt;
          &lt;w:tblStylePr w:type="firstRow"&gt;
            &lt;w:rPr&gt;
              &lt;w:b /&gt;
              &lt;w:bCs /&gt;
              &lt;w:color w:val="800080" /&gt;
            &lt;/w:rPr&gt;
            &lt;w:tblPr /&gt;
            &lt;w:tcPr&gt;
              &lt;w:tcBorders&gt;
                &lt;w:bottom w:val="single" w:sz="6" w:space="0" w:color="808080" /&gt;
                &lt;w:tl2br w:val="none" w:sz="0" w:space="0" w:color="auto" /&gt;
                &lt;w:tr2bl w:val="none" w:sz="0" w:space="0" w:color="auto" /&gt;
              &lt;/w:tcBorders&gt;
            &lt;/w:tcPr&gt;
          &lt;/w:tblStylePr&gt;
          &lt;w:tblStylePr w:type="lastRow"&gt;
            &lt;w:tblPr /&gt;
            &lt;w:tcPr&gt;
              &lt;w:tcBorders&gt;
                &lt;w:top w:val="single" w:sz="6" w:space="0" w:color="FFFFFF" /&gt;
                &lt;w:tl2br w:val="none" w:sz="0" w:space="0" w:color="auto" /&gt;
                &lt;w:tr2bl w:val="none" w:sz="0" w:space="0" w:color="auto" /&gt;
              &lt;/w:tcBorders&gt;
            &lt;/w:tcPr&gt;
          &lt;/w:tblStylePr&gt;
          &lt;w:tblStylePr w:type="firstCol"&gt;
            &lt;w:rPr&gt;
              &lt;w:b /&gt;
              &lt;w:bCs /&gt;
            &lt;/w:rPr&gt;
            &lt;w:tblPr /&gt;
            &lt;w:tcPr&gt;
              &lt;w:tcBorders&gt;
                &lt;w:right w:val="single" w:sz="6" w:space="0" w:color="808080" /&gt;
                &lt;w:tl2br w:val="none" w:sz="0" w:space="0" w:color="auto" /&gt;
                &lt;w:tr2bl w:val="none" w:sz="0" w:space="0" w:color="auto" /&gt;
              &lt;/w:tcBorders&gt;
            &lt;/w:tcPr&gt;
          &lt;/w:tblStylePr&gt;
          &lt;w:tblStylePr w:type="lastCol"&gt;
            &lt;w:tblPr /&gt;
            &lt;w:tcPr&gt;
              &lt;w:tcBorders&gt;
                &lt;w:left w:val="single" w:sz="6" w:space="0" w:color="FFFFFF" /&gt;
                &lt;w:tl2br w:val="none" w:sz="0" w:space="0" w:color="auto" /&gt;
                &lt;w:tr2bl w:val="none" w:sz="0" w:space="0" w:color="auto" /&gt;
              &lt;/w:tcBorders&gt;
            &lt;/w:tcPr&gt;
          &lt;/w:tblStylePr&gt;
          &lt;w:tblStylePr w:type="neCell"&gt;
            &lt;w:tblPr /&gt;
            &lt;w:tcPr&gt;
              &lt;w:tcBorders&gt;
                &lt;w:left w:val="none" w:sz="0" w:space="0" w:color="auto" /&gt;
                &lt;w:bottom w:val="none" w:sz="0" w:space="0" w:color="auto" /&gt;
                &lt;w:tl2br w:val="none" w:sz="0" w:space="0" w:color="auto" /&gt;
                &lt;w:tr2bl w:val="none" w:sz="0" w:space="0" w:color="auto" /&gt;
              &lt;/w:tcBorders&gt;
            &lt;/w:tcPr&gt;
          &lt;/w:tblStylePr&gt;
          &lt;w:tblStylePr w:type="nwCell"&gt;
            &lt;w:tblPr /&gt;
            &lt;w:tcPr&gt;
              &lt;w:tcBorders&gt;
                &lt;w:bottom w:val="none" w:sz="0" w:space="0" w:color="auto" /&gt;
                &lt;w:right w:val="none" w:sz="0" w:space="0" w:color="auto" /&gt;
                &lt;w:tl2br w:val="none" w:sz="0" w:space="0" w:color="auto" /&gt;
                &lt;w:tr2bl w:val="none" w:sz="0" w:space="0" w:color="auto" /&gt;
              &lt;/w:tcBorders&gt;
            &lt;/w:tcPr&gt;
          &lt;/w:tblStylePr&gt;
          &lt;w:tblStylePr w:type="seCell"&gt;
            &lt;w:tblPr /&gt;
            &lt;w:tcPr&gt;
              &lt;w:tcBorders&gt;
                &lt;w:top w:val="none" w:sz="0" w:space="0" w:color="auto" /&gt;
                &lt;w:left w:val="none" w:sz="0" w:space="0" w:color="auto" /&gt;
                &lt;w:tl2br w:val="none" w:sz="0" w:space="0" w:color="auto" /&gt;
                &lt;w:tr2bl w:val="none" w:sz="0" w:space="0" w:color="auto" /&gt;
              &lt;/w:tcBorders&gt;
            &lt;/w:tcPr&gt;
          &lt;/w:tblStylePr&gt;
          &lt;w:tblStylePr w:type="swCell"&gt;
            &lt;w:rPr&gt;
              &lt;w:color w:val="000080" /&gt;
            &lt;/w:rPr&gt;
            &lt;w:tblPr /&gt;
            &lt;w:tcPr&gt;
              &lt;w:tcBorders&gt;
                &lt;w:top w:val="none" w:sz="0" w:space="0" w:color="auto" /&gt;
                &lt;w:right w:val="none" w:sz="0" w:space="0" w:color="auto" /&gt;
                &lt;w:tl2br w:val="none" w:sz="0" w:space="0" w:color="auto" /&gt;
                &lt;w:tr2bl w:val="none" w:sz="0" w:space="0" w:color="auto" /&gt;
              &lt;/w:tcBorders&gt;
            &lt;/w:tcPr&gt;
          &lt;/w:tblStylePr&gt;
        &lt;/w:style&gt;
        &lt;w:style w:type="table" w:styleId="Table3Deffects2"&gt;
          &lt;w:name w:val="Table 3D effects 2" /&gt;
          &lt;w:basedOn w:val="TableNormal" /&gt;
          &lt;w:semiHidden /&gt;
          &lt;w:unhideWhenUsed /&gt;
          &lt;w:pPr&gt;
            &lt;w:spacing w:before="120" w:after="120" w:line="280" w:lineRule="atLeast" /&gt;
          &lt;/w:pPr&gt;
          &lt;w:tblPr&gt;
            &lt;w:tblStyleRowBandSize w:val="1" /&gt;
          &lt;/w:tblPr&gt;
          &lt;w:tcPr&gt;
            &lt;w:shd w:val="solid" w:color="C0C0C0" w:fill="FFFFFF" /&gt;
          &lt;/w:tcPr&gt;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w:styleId="Table3Deffects3"&gt;
          &lt;w:name w:val="Table 3D effects 3" /&gt;
          &lt;w:basedOn w:val="TableNormal" /&gt;
          &lt;w:semiHidden /&gt;
          &lt;w:unhideWhenUsed /&gt;
          &lt;w:pPr&gt;
            &lt;w:spacing w:before="120" w:after="120" w:line="280" w:lineRule="atLeast" /&gt;
          &lt;/w:pPr&gt;
          &lt;w:tblPr&gt;
            &lt;w:tblStyleRowBandSize w:val="1" /&gt;
            &lt;w:tblStyleColBandSize w:val="1" /&gt;
          &lt;/w:tblPr&gt;
          &lt;w:tblStylePr w:type="firstRow"&gt;
            &lt;w:rPr&gt;
              &lt;w:b /&gt;
              &lt;w:bCs /&gt;
            &lt;/w:rPr&gt;
            &lt;w:tblPr /&gt;
            &lt;w:tcPr&gt;
              &lt;w:tcBorders&gt;
                &lt;w:tl2br w:val="none" w:sz="0" w:space="0" w:color="auto" /&gt;
                &lt;w:tr2bl w:val="none" w:sz="0" w:space="0" w:color="auto" /&gt;
              &lt;/w:tcBorders&gt;
            &lt;/w:tcPr&gt;
          &lt;/w:tblStylePr&gt;
          &lt;w:tblStylePr w:type="firstCol"&gt;
            &lt;w:tblPr /&gt;
            &lt;w:tcPr&gt;
              &lt;w:tcBorders&gt;
                &lt;w:top w:val="none" w:sz="0" w:space="0" w:color="auto" /&gt;
                &lt;w:bottom w:val="none" w:sz="0" w:space="0" w:color="auto" /&gt;
                &lt;w:right w:val="single" w:sz="6" w:space="0" w:color="808080" /&gt;
                &lt;w:tl2br w:val="none" w:sz="0" w:space="0" w:color="auto" /&gt;
                &lt;w:tr2bl w:val="none" w:sz="0" w:space="0" w:color="auto" /&gt;
              &lt;/w:tcBorders&gt;
            &lt;/w:tcPr&gt;
          &lt;/w:tblStylePr&gt;
          &lt;w:tblStylePr w:type="lastCol"&gt;
            &lt;w:tblPr /&gt;
            &lt;w:tcPr&gt;
              &lt;w:tcBorders&gt;
                &lt;w:right w:val="single" w:sz="6" w:space="0" w:color="FFFFFF" /&gt;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w:val="pct50" w:color="C0C0C0" w:fill="FFFFFF" /&gt;
            &lt;/w:tcPr&gt;
          &lt;/w:tblStylePr&gt;
          &lt;w:tblStylePr w:type="band1Horz"&gt;
            &lt;w:tblPr /&gt;
            &lt;w:tcPr&gt;
              &lt;w:tcBorders&gt;
                &lt;w:top w:val="single" w:sz="6" w:space="0" w:color="808080" /&gt;
                &lt;w:bottom w:val="single" w:sz="6" w:space="0" w:color="FFFFFF" /&gt;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w:styleId="TableClassic1"&gt;
          &lt;w:name w:val="Table Classic 1"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&lt;w:i /&gt;
              &lt;w:iCs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&lt;w:tblPr /&gt;
            &lt;w:tcPr&gt;
              &lt;w:tcBorders&gt;
                &lt;w:right w:val="single" w:sz="6" w:space="0" w:color="000000" /&gt;
                &lt;w:tl2br w:val="none" w:sz="0" w:space="0" w:color="auto" /&gt;
                &lt;w:tr2bl w:val="none" w:sz="0" w:space="0" w:color="auto" /&gt;
              &lt;/w:tcBorders&gt;
            &lt;/w:tcPr&gt;
          &lt;/w:tblStylePr&gt;
          &lt;w:tblStylePr w:type="neCell"&gt;
            &lt;w:rPr&gt;
              &lt;w:b /&gt;
              &lt;w:bCs /&gt;
              &lt;w:i w:val="0" /&gt;
              &lt;w:iCs w:val="0"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w:styleId="TableClassic2"&gt;
          &lt;w:name w:val="Table Classic 2"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&lt;/w:tblBorders&gt;
          &lt;/w:tblPr&gt;
          &lt;w:tcPr&gt;
            &lt;w:shd w:val="clear" w:color="auto" w:fill="auto" /&gt;
          &lt;/w:tcPr&gt;
          &lt;w:tblStylePr w:type="firstRow"&gt;
            &lt;w:rPr&gt;
              &lt;w:color w:val="FFFFFF" /&gt;
            &lt;/w:rPr&gt;
            &lt;w:tblPr /&gt;
            &lt;w:tcPr&gt;
              &lt;w:tcBorders&gt;
                &lt;w:bottom w:val="single" w:sz="6" w:space="0" w:color="000000" /&gt;
                &lt;w:tl2br w:val="none" w:sz="0" w:space="0" w:color="auto" /&gt;
                &lt;w:tr2bl w:val="none" w:sz="0" w:space="0" w:color="auto" /&gt;
              &lt;/w:tcBorders&gt;
              &lt;w:shd w:val="solid" w:color="800080"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&lt;w:shd w:val="solid" w:color="C0C0C0"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w:val="none" w:sz="0" w:space="0" w:color="auto" /&gt;
                &lt;w:tr2bl w:val="none" w:sz="0" w:space="0" w:color="auto" /&gt;
              &lt;/w:tcBorders&gt;
              &lt;w:shd w:val="solid" w:color="800080" w:fill="FFFFFF" /&gt;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w:styleId="TableClassic3"&gt;
          &lt;w:name w:val="Table Classic 3" /&gt;
          &lt;w:basedOn w:val="TableNormal" /&gt;
          &lt;w:semiHidden /&gt;
          &lt;w:unhideWhenUsed /&gt;
          &lt;w:pPr&gt;
            &lt;w:spacing w:before="120" w:after="120" w:line="280" w:lineRule="atLeast" /&gt;
          &lt;/w:pPr&gt;
          &lt;w:rPr&gt;
            &lt;w:color w:val="000080" /&gt;
          &lt;/w:rPr&gt;
          &lt;w:tblPr&gt;
            &lt;w:tblBorders&gt;
              &lt;w:top w:val="single" w:sz="12" w:space="0" w:color="000000" /&gt;
              &lt;w:left w:val="single" w:sz="12" w:space="0" w:color="000000" /&gt;
              &lt;w:bottom w:val="single" w:sz="12" w:space="0" w:color="000000" /&gt;
              &lt;w:right w:val="single" w:sz="12" w:space="0" w:color="000000" /&gt;
            &lt;/w:tblBorders&gt;
          &lt;/w:tblPr&gt;
          &lt;w:tcPr&gt;
            &lt;w:shd w:val="solid" w:color="C0C0C0" w:fill="FFFFFF"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w:val="solid" w:color="000080" w:fill="FFFFFF" /&gt;
            &lt;/w:tcPr&gt;
          &lt;/w:tblStylePr&gt;
          &lt;w:tblStylePr w:type="lastRow"&gt;
            &lt;w:rPr&gt;
              &lt;w:color w:val="000080" /&gt;
            &lt;/w:rPr&gt;
            &lt;w:tblPr /&gt;
            &lt;w:tcPr&gt;
              &lt;w:tcBorders&gt;
                &lt;w:top w:val="single" w:sz="12" w:space="0" w:color="000000" /&gt;
                &lt;w:tl2br w:val="none" w:sz="0" w:space="0" w:color="auto" /&gt;
                &lt;w:tr2bl w:val="none" w:sz="0" w:space="0" w:color="auto" /&gt;
              &lt;/w:tcBorders&gt;
              &lt;w:shd w:val="solid" w:color="FFFFFF" w:fill="FFFFFF" /&gt;
            &lt;/w:tcPr&gt;
          &lt;/w:tblStylePr&gt;
          &lt;w:tblStylePr w:type="firstCol"&gt;
            &lt;w:rPr&gt;
              &lt;w:b /&gt;
              &lt;w:bCs /&gt;
              &lt;w:color w:val="000000" /&gt;
            &lt;/w:rPr&gt;
            &lt;w:tblPr /&gt;
            &lt;w:tcPr&gt;
              &lt;w:tcBorders&gt;
                &lt;w:tl2br w:val="none" w:sz="0" w:space="0" w:color="auto" /&gt;
                &lt;w:tr2bl w:val="none" w:sz="0" w:space="0" w:color="auto" /&gt;
              &lt;/w:tcBorders&gt;
            &lt;/w:tcPr&gt;
          &lt;/w:tblStylePr&gt;
        &lt;/w:style&gt;
        &lt;w:style w:type="table" w:styleId="TableClassic4"&gt;
          &lt;w:name w:val="Table Classic 4" /&gt;
          &lt;w:basedOn w:val="TableNormal" /&gt;
          &lt;w:semiHidden /&gt;
          &lt;w:unhideWhenUsed /&gt;
          &lt;w:pPr&gt;
            &lt;w:spacing w:before="120" w:after="120" w:line="280" w:lineRule="atLeast" /&gt;
          &lt;/w:pPr&gt;
          &lt;w:tblPr&gt;
            &lt;w:tblBorders&gt;
              &lt;w:top w:val="single" w:sz="12" w:space="0" w:color="000000" /&gt;
              &lt;w:left w:val="single" w:sz="6" w:space="0" w:color="000000" /&gt;
              &lt;w:bottom w:val="single" w:sz="12" w:space="0" w:color="000000" /&gt;
              &lt;w:right w:val="single" w:sz="6" w:space="0" w:color="000000" /&gt;
            &lt;/w:tblBorders&gt;
          &lt;/w:tblPr&gt;
          &lt;w:tcPr&gt;
            &lt;w:shd w:val="clear" w:color="auto" w:fill="auto" /&gt;
          &lt;/w:tcPr&gt;
          &lt;w:tblStylePr w:type="firstRow"&gt;
            &lt;w:rPr&gt;
              &lt;w:b /&gt;
              &lt;w:bCs /&gt;
              &lt;w:i /&gt;
              &lt;w:iCs /&gt;
              &lt;w:color w:val="FFFFFF" /&gt;
            &lt;/w:rPr&gt;
            &lt;w:tblPr /&gt;
            &lt;w:tcPr&gt;
              &lt;w:tcBorders&gt;
                &lt;w:bottom w:val="single" w:sz="6" w:space="0" w:color="000000" /&gt;
                &lt;w:tl2br w:val="none" w:sz="0" w:space="0" w:color="auto" /&gt;
                &lt;w:tr2bl w:val="none" w:sz="0" w:space="0" w:color="auto" /&gt;
              &lt;/w:tcBorders&gt;
              &lt;w:shd w:val="pct50" w:color="000080" w:fill="FFFFFF" /&gt;
            &lt;/w:tcPr&gt;
          &lt;/w:tblStylePr&gt;
          &lt;w:tblStylePr w:type="lastRow"&gt;
            &lt;w:rPr&gt;
              &lt;w:color w:val="000080" /&gt;
            &lt;/w:rPr&gt;
            &lt;w:tblPr /&gt;
            &lt;w:tcPr&gt;
              &lt;w:tcBorders&gt;
                &lt;w:bottom w:val="single" w:sz="6" w:space="0" w:color="000000" /&gt;
                &lt;w:tl2br w:val="none" w:sz="0" w:space="0" w:color="auto" /&gt;
                &lt;w:tr2bl w:val="none" w:sz="0" w:space="0" w:color="auto" /&gt;
              &lt;/w:tcBorders&gt;
              &lt;w:shd w:val="pct50" w:color="000000" w:fill="FFFFFF" /&gt;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&lt;w:rPr&gt;
              &lt;w:b /&gt;
              &lt;w:bCs /&gt;
            &lt;/w:rPr&gt;
            &lt;w:tblPr /&gt;
            &lt;w:tcPr&gt;
              &lt;w:tcBorders&gt;
                &lt;w:tl2br w:val="none" w:sz="0" w:space="0" w:color="auto" /&gt;
                &lt;w:tr2bl w:val="none" w:sz="0" w:space="0" w:color="auto" /&gt;
              &lt;/w:tcBorders&gt;
            &lt;/w:tcPr&gt;
          &lt;/w:tblStylePr&gt;
          &lt;w:tblStylePr w:type="swCell"&gt;
            &lt;w:rPr&gt;
              &lt;w:color w:val="000080" /&gt;
            &lt;/w:rPr&gt;
            &lt;w:tblPr /&gt;
            &lt;w:tcPr&gt;
              &lt;w:tcBorders&gt;
                &lt;w:tl2br w:val="none" w:sz="0" w:space="0" w:color="auto" /&gt;
                &lt;w:tr2bl w:val="none" w:sz="0" w:space="0" w:color="auto" /&gt;
              &lt;/w:tcBorders&gt;
            &lt;/w:tcPr&gt;
          &lt;/w:tblStylePr&gt;
        &lt;/w:style&gt;
        &lt;w:style w:type="table" w:styleId="TableColorful1"&gt;
          &lt;w:name w:val="Table Colorful 1" /&gt;
          &lt;w:basedOn w:val="TableNormal" /&gt;
          &lt;w:semiHidden /&gt;
          &lt;w:unhideWhenUsed /&gt;
          &lt;w:pPr&gt;
            &lt;w:spacing w:before="120" w:after="120" w:line="280" w:lineRule="atLeast" /&gt;
          &lt;/w:pPr&gt;
          &lt;w:rPr&gt;
            &lt;w:color w:val="FFFFFF" /&gt;
          &lt;/w:rPr&gt;
          &lt;w:tblPr&gt;
            &lt;w:tblBorders&gt;
              &lt;w:top w:val="single" w:sz="12" w:space="0" w:color="008080" /&gt;
              &lt;w:left w:val="single" w:sz="12" w:space="0" w:color="008080" /&gt;
              &lt;w:bottom w:val="single" w:sz="12" w:space="0" w:color="008080" /&gt;
              &lt;w:right w:val="single" w:sz="12" w:space="0" w:color="008080" /&gt;
              &lt;w:insideH w:val="single" w:sz="6" w:space="0" w:color="00FFFF" /&gt;
            &lt;/w:tblBorders&gt;
          &lt;/w:tblPr&gt;
          &lt;w:tcPr&gt;
            &lt;w:shd w:val="solid" w:color="008080" w:fill="FFFFFF" /&gt;
          &lt;/w:tcPr&gt;
          &lt;w:tblStylePr w:type="firstRow"&gt;
            &lt;w:rPr&gt;
              &lt;w:b /&gt;
              &lt;w:bCs /&gt;
              &lt;w:i /&gt;
              &lt;w:iCs /&gt;
            &lt;/w:rPr&gt;
            &lt;w:tblPr /&gt;
            &lt;w:tcPr&gt;
              &lt;w:tcBorders&gt;
                &lt;w:tl2br w:val="none" w:sz="0" w:space="0" w:color="auto" /&gt;
                &lt;w:tr2bl w:val="none" w:sz="0" w:space="0" w:color="auto" /&gt;
              &lt;/w:tcBorders&gt;
              &lt;w:shd w:val="solid" w:color="000000" w:fill="FFFFFF" /&gt;
            &lt;/w:tcPr&gt;
          &lt;/w:tblStylePr&gt;
          &lt;w:tblStylePr w:type="firstCol"&gt;
            &lt;w:rPr&gt;
              &lt;w:b /&gt;
              &lt;w:bCs /&gt;
              &lt;w:i /&gt;
              &lt;w:iCs /&gt;
            &lt;/w:rPr&gt;
            &lt;w:tblPr /&gt;
            &lt;w:tcPr&gt;
              &lt;w:tcBorders&gt;
                &lt;w:tl2br w:val="none" w:sz="0" w:space="0" w:color="auto" /&gt;
                &lt;w:tr2bl w:val="none" w:sz="0" w:space="0" w:color="auto" /&gt;
              &lt;/w:tcBorders&gt;
              &lt;w:shd w:val="solid" w:color="000080" w:fill="FFFFFF" /&gt;
            &lt;/w:tcPr&gt;
          &lt;/w:tblStylePr&gt;
          &lt;w:tblStylePr w:type="nwCell"&gt;
            &lt;w:tblPr /&gt;
            &lt;w:tcPr&gt;
              &lt;w:tcBorders&gt;
                &lt;w:tl2br w:val="none" w:sz="0" w:space="0" w:color="auto" /&gt;
                &lt;w:tr2bl w:val="none" w:sz="0" w:space="0" w:color="auto" /&gt;
              &lt;/w:tcBorders&gt;
              &lt;w:shd w:val="solid" w:color="000000"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w:styleId="TableColorful2"&gt;
          &lt;w:name w:val="Table Colorful 2" /&gt;
          &lt;w:basedOn w:val="TableNormal" /&gt;
          &lt;w:semiHidden /&gt;
          &lt;w:unhideWhenUsed /&gt;
          &lt;w:pPr&gt;
            &lt;w:spacing w:before="120" w:after="120" w:line="280" w:lineRule="atLeast" /&gt;
          &lt;/w:pPr&gt;
          &lt;w:tblPr&gt;
            &lt;w:tblBorders&gt;
              &lt;w:bottom w:val="single" w:sz="12" w:space="0" w:color="000000" /&gt;
            &lt;/w:tblBorders&gt;
          &lt;/w:tblPr&gt;
          &lt;w:tcPr&gt;
            &lt;w:shd w:val="pct20" w:color="FFFF00" w:fill="FFFFFF" /&gt;
          &lt;/w:tcPr&gt;
          &lt;w:tblStylePr w:type="firstRow"&gt;
            &lt;w:rPr&gt;
              &lt;w:b /&gt;
              &lt;w:bCs /&gt;
              &lt;w:i /&gt;
              &lt;w:iCs /&gt;
              &lt;w:color w:val="FFFFFF" /&gt;
            &lt;/w:rPr&gt;
            &lt;w:tblPr /&gt;
            &lt;w:tcPr&gt;
              &lt;w:tcBorders&gt;
                &lt;w:bottom w:val="single" w:sz="12" w:space="0" w:color="000000" /&gt;
                &lt;w:tl2br w:val="none" w:sz="0" w:space="0" w:color="auto" /&gt;
                &lt;w:tr2bl w:val="none" w:sz="0" w:space="0" w:color="auto" /&gt;
              &lt;/w:tcBorders&gt;
              &lt;w:shd w:val="solid" w:color="800000" w:fill="FFFFFF" /&gt;
            &lt;/w:tcPr&gt;
          &lt;/w:tblStylePr&gt;
          &lt;w:tblStylePr w:type="firstCol"&gt;
            &lt;w:rPr&gt;
              &lt;w:b /&gt;
              &lt;w:bCs /&gt;
              &lt;w:i /&gt;
              &lt;w:iCs /&gt;
            &lt;/w:rPr&gt;
            &lt;w:tblPr /&gt;
            &lt;w:tcPr&gt;
              &lt;w:tcBorders&gt;
                &lt;w:tl2br w:val="none" w:sz="0" w:space="0" w:color="auto" /&gt;
                &lt;w:tr2bl w:val="none" w:sz="0" w:space="0" w:color="auto" /&gt;
              &lt;/w:tcBorders&gt;
            &lt;/w:tcPr&gt;
          &lt;/w:tblStylePr&gt;
          &lt;w:tblStylePr w:type="lastCol"&gt;
            &lt;w:tblPr /&gt;
            &lt;w:tcPr&gt;
              &lt;w:tcBorders&gt;
                &lt;w:tl2br w:val="none" w:sz="0" w:space="0" w:color="auto" /&gt;
                &lt;w:tr2bl w:val="none" w:sz="0" w:space="0" w:color="auto" /&gt;
              &lt;/w:tcBorders&gt;
              &lt;w:shd w:val="solid" w:color="C0C0C0" w:fill="FFFFFF" /&gt;
            &lt;/w:tcPr&gt;
          &lt;/w:tblStylePr&gt;
          &lt;w:tblStylePr w:type="swCell"&gt;
            &lt;w:rPr&gt;
              &lt;w:b /&gt;
              &lt;w:bCs /&gt;
              &lt;w:i w:val="0" /&gt;
              &lt;w:iCs w:val="0" /&gt;
            &lt;/w:rPr&gt;
            &lt;w:tblPr /&gt;
            &lt;w:tcPr&gt;
              &lt;w:tcBorders&gt;
                &lt;w:tl2br w:val="none" w:sz="0" w:space="0" w:color="auto" /&gt;
                &lt;w:tr2bl w:val="none" w:sz="0" w:space="0" w:color="auto" /&gt;
              &lt;/w:tcBorders&gt;
            &lt;/w:tcPr&gt;
          &lt;/w:tblStylePr&gt;
        &lt;/w:style&gt;
        &lt;w:style w:type="table" w:styleId="TableColorful3"&gt;
          &lt;w:name w:val="Table Colorful 3" /&gt;
          &lt;w:basedOn w:val="TableNormal" /&gt;
          &lt;w:semiHidden /&gt;
          &lt;w:unhideWhenUsed /&gt;
          &lt;w:pPr&gt;
            &lt;w:spacing w:before="120" w:after="120" w:line="280" w:lineRule="atLeast" /&gt;
          &lt;/w:pPr&gt;
          &lt;w:tblPr&gt;
            &lt;w:tblBorders&gt;
              &lt;w:top w:val="single" w:sz="18" w:space="0" w:color="000000" /&gt;
              &lt;w:left w:val="single" w:sz="18" w:space="0" w:color="000000" /&gt;
              &lt;w:bottom w:val="single" w:sz="18" w:space="0" w:color="000000" /&gt;
              &lt;w:right w:val="single" w:sz="18" w:space="0" w:color="000000" /&gt;
              &lt;w:insideH w:val="single" w:sz="6" w:space="0" w:color="C0C0C0" /&gt;
            &lt;/w:tblBorders&gt;
          &lt;/w:tblPr&gt;
          &lt;w:tcPr&gt;
            &lt;w:shd w:val="pct25" w:color="008080" w:fill="FFFFFF" /&gt;
          &lt;/w:tcPr&gt;
          &lt;w:tblStylePr w:type="firstRow"&gt;
            &lt;w:tblPr /&gt;
            &lt;w:tcPr&gt;
              &lt;w:tcBorders&gt;
                &lt;w:bottom w:val="single" w:sz="6" w:space="0" w:color="000000" /&gt;
                &lt;w:tl2br w:val="none" w:sz="0" w:space="0" w:color="auto" /&gt;
                &lt;w:tr2bl w:val="none" w:sz="0" w:space="0" w:color="auto" /&gt;
              &lt;/w:tcBorders&gt;
              &lt;w:shd w:val="solid" w:color="008080" w:fill="FFFFFF" /&gt;
            &lt;/w:tcPr&gt;
          &lt;/w:tblStylePr&gt;
          &lt;w:tblStylePr w:type="firstCol"&gt;
            &lt;w:tblPr /&gt;
            &lt;w:tcPr&gt;
              &lt;w:tcBorders&gt;
                &lt;w:left w:val="single" w:sz="36" w:space="0" w:color="000000" /&gt;
                &lt;w:right w:val="single" w:sz="6" w:space="0" w:color="000000" /&gt;
                &lt;w:tl2br w:val="none" w:sz="0" w:space="0" w:color="auto" /&gt;
                &lt;w:tr2bl w:val="none" w:sz="0" w:space="0" w:color="auto" /&gt;
              &lt;/w:tcBorders&gt;
              &lt;w:shd w:val="solid" w:color="008080" w:fill="FFFFFF" /&gt;
            &lt;/w:tcPr&gt;
          &lt;/w:tblStylePr&gt;
          &lt;w:tblStylePr w:type="nwCell"&gt;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w:styleId="TableColumns1"&gt;
          &lt;w:name w:val="Table Columns 1" /&gt;
          &lt;w:basedOn w:val="TableNormal" /&gt;
          &lt;w:semiHidden /&gt;
          &lt;w:unhideWhenUsed /&gt;
          &lt;w:pPr&gt;
            &lt;w:spacing w:before="120" w:after="120" w:line="280" w:lineRule="atLeast" /&gt;
          &lt;/w:pPr&gt;
          &lt;w:rPr&gt;
            &lt;w:b /&gt;
            &lt;w:bCs /&gt;
          &lt;/w:rPr&gt;
          &lt;w:tblPr&gt;
            &lt;w:tblStyleColBandSize w:val="1" /&gt;
            &lt;w:tblBorders&gt;
              &lt;w:top w:val="single" w:sz="12" w:space="0" w:color="000000" /&gt;
              &lt;w:left w:val="single" w:sz="12" w:space="0" w:color="000000" /&gt;
              &lt;w:bottom w:val="single" w:sz="12" w:space="0" w:color="000000" /&gt;
              &lt;w:right w:val="single" w:sz="12" w:space="0" w:color="000000" /&gt;
            &lt;/w:tblBorders&gt;
          &lt;/w:tblPr&gt;
          &lt;w:tblStylePr w:type="firstRow"&gt;
            &lt;w:rPr&gt;
              &lt;w:b w:val="0" /&gt;
              &lt;w:bCs w:val="0" /&gt;
            &lt;/w:rPr&gt;
            &lt;w:tblPr /&gt;
            &lt;w:tcPr&gt;
              &lt;w:tcBorders&gt;
                &lt;w:bottom w:val="double" w:sz="6" w:space="0" w:color="000000" /&gt;
                &lt;w:tl2br w:val="none" w:sz="0" w:space="0" w:color="auto" /&gt;
                &lt;w:tr2bl w:val="none" w:sz="0" w:space="0" w:color="auto" /&gt;
              &lt;/w:tcBorders&gt;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w:val="pct25" w:color="000000" w:fill="FFFFFF" /&gt;
            &lt;/w:tcPr&gt;
          &lt;/w:tblStylePr&gt;
          &lt;w:tblStylePr w:type="band2Vert"&gt;
            &lt;w:rPr&gt;
              &lt;w:color w:val="auto" /&gt;
            &lt;/w:rPr&gt;
            &lt;w:tblPr /&gt;
            &lt;w:tcPr&gt;
              &lt;w:shd w:val="pct25" w:color="FFFF00"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w:styleId="TableColumns2"&gt;
          &lt;w:name w:val="Table Columns 2" /&gt;
          &lt;w:basedOn w:val="TableNormal" /&gt;
          &lt;w:semiHidden /&gt;
          &lt;w:unhideWhenUsed /&gt;
          &lt;w:pPr&gt;
            &lt;w:spacing w:before="120" w:after="120" w:line="280" w:lineRule="atLeast" /&gt;
          &lt;/w:pPr&gt;
          &lt;w:rPr&gt;
            &lt;w:b /&gt;
            &lt;w:bCs /&gt;
          &lt;/w:rPr&gt;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&lt;w:tl2br w:val="none" w:sz="0" w:space="0" w:color="auto" /&gt;
                &lt;w:tr2bl w:val="none" w:sz="0" w:space="0" w:color="auto" /&gt;
              &lt;/w:tcBorders&gt;
            &lt;/w:tcPr&gt;
          &lt;/w:tblStylePr&gt;
          &lt;w:tblStylePr w:type="firstCol"&gt;
            &lt;w:rPr&gt;
              &lt;w:b w:val="0" /&gt;
              &lt;w:bCs w:val="0" /&gt;
              &lt;w:color w:val="000000"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w:val="pct30" w:color="000000" w:fill="FFFFFF" /&gt;
            &lt;/w:tcPr&gt;
          &lt;/w:tblStylePr&gt;
          &lt;w:tblStylePr w:type="band2Vert"&gt;
            &lt;w:rPr&gt;
              &lt;w:color w:val="auto" /&gt;
            &lt;/w:rPr&gt;
            &lt;w:tblPr /&gt;
            &lt;w:tcPr&gt;
              &lt;w:shd w:val="pct25" w:color="00FF00"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w:styleId="TableColumns3"&gt;
          &lt;w:name w:val="Table Columns 3" /&gt;
          &lt;w:basedOn w:val="TableNormal" /&gt;
          &lt;w:semiHidden /&gt;
          &lt;w:unhideWhenUsed /&gt;
          &lt;w:pPr&gt;
            &lt;w:spacing w:before="120" w:after="120" w:line="280" w:lineRule="atLeast" /&gt;
          &lt;/w:pPr&gt;
          &lt;w:rPr&gt;
            &lt;w:b /&gt;
            &lt;w:bCs /&gt;
          &lt;/w:rPr&gt;
          &lt;w:tblPr&gt;
            &lt;w:tblStyleColBandSize w:val="1" /&gt;
            &lt;w:tblBorders&gt;
              &lt;w:top w:val="single" w:sz="6" w:space="0" w:color="000080" /&gt;
              &lt;w:left w:val="single" w:sz="6" w:space="0" w:color="000080" /&gt;
              &lt;w:bottom w:val="single" w:sz="6" w:space="0" w:color="000080" /&gt;
              &lt;w:right w:val="single" w:sz="6" w:space="0" w:color="000080" /&gt;
              &lt;w:insideV w:val="single" w:sz="6" w:space="0" w:color="000080" /&gt;
            &lt;/w:tblBorders&gt;
          &lt;/w:tblPr&gt;
          &lt;w:tblStylePr w:type="firstRow"&gt;
            &lt;w:rPr&gt;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w:val="0" /&gt;
              &lt;w:bCs w:val="0" /&gt;
            &lt;/w:rPr&gt;
            &lt;w:tblPr /&gt;
            &lt;w:tcPr&gt;
              &lt;w:tcBorders&gt;
                &lt;w:top w:val="single" w:sz="6" w:space="0" w:color="000080"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&lt;w:tblPr /&gt;
            &lt;w:tcPr&gt;
              &lt;w:shd w:val="pct10" w:color="000000"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&lt;/w:style&gt;
        &lt;w:style w:type="table" w:styleId="TableColumns4"&gt;
          &lt;w:name w:val="Table Columns 4" /&gt;
          &lt;w:basedOn w:val="TableNormal" /&gt;
          &lt;w:semiHidden /&gt;
          &lt;w:unhideWhenUsed /&gt;
          &lt;w:pPr&gt;
            &lt;w:spacing w:before="120" w:after="120" w:line="280" w:lineRule="atLeast" /&gt;
          &lt;/w:pPr&gt;
          &lt;w:tblPr&gt;
            &lt;w:tblStyleColBandSize w:val="1" /&gt;
          &lt;/w:tblPr&gt;
          &lt;w:tblStylePr w:type="firstRow"&gt;
            &lt;w:rPr&gt;
              &lt;w:color w:val="FFFFFF" /&gt;
            &lt;/w:rPr&gt;
            &lt;w:tblPr /&gt;
            &lt;w:tcPr&gt;
              &lt;w:tcBorders&gt;
                &lt;w:tl2br w:val="none" w:sz="0" w:space="0" w:color="auto" /&gt;
                &lt;w:tr2bl w:val="none" w:sz="0" w:space="0" w:color="auto" /&gt;
              &lt;/w:tcBorders&gt;
              &lt;w:shd w:val="solid" w:color="000000"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w:val="pct50" w:color="008080" w:fill="FFFFFF" /&gt;
            &lt;/w:tcPr&gt;
          &lt;/w:tblStylePr&gt;
          &lt;w:tblStylePr w:type="band2Vert"&gt;
            &lt;w:rPr&gt;
              &lt;w:color w:val="auto" /&gt;
            &lt;/w:rPr&gt;
            &lt;w:tblPr /&gt;
            &lt;w:tcPr&gt;
              &lt;w:shd w:val="pct10" w:color="000000" w:fill="FFFFFF" /&gt;
            &lt;/w:tcPr&gt;
          &lt;/w:tblStylePr&gt;
        &lt;/w:style&gt;
        &lt;w:style w:type="table" w:styleId="TableColumns5"&gt;
          &lt;w:name w:val="Table Columns 5" /&gt;
          &lt;w:basedOn w:val="TableNormal" /&gt;
          &lt;w:semiHidden /&gt;
          &lt;w:unhideWhenUsed /&gt;
          &lt;w:pPr&gt;
            &lt;w:spacing w:before="120" w:after="120" w:line="280" w:lineRule="atLeast" /&gt;
          &lt;/w:pPr&gt;
          &lt;w:tblPr&gt;
            &lt;w:tblStyleColBandSize w:val="1" /&gt;
            &lt;w:tblBorders&gt;
              &lt;w:top w:val="single" w:sz="12" w:space="0" w:color="808080" /&gt;
              &lt;w:left w:val="single" w:sz="12" w:space="0" w:color="808080" /&gt;
              &lt;w:bottom w:val="single" w:sz="12" w:space="0" w:color="808080" /&gt;
              &lt;w:right w:val="single" w:sz="12" w:space="0" w:color="808080" /&gt;
              &lt;w:insideV w:val="single" w:sz="6" w:space="0" w:color="C0C0C0" /&gt;
            &lt;/w:tblBorders&gt;
          &lt;/w:tblPr&gt;
          &lt;w:tblStylePr w:type="firstRow"&gt;
            &lt;w:rPr&gt;
              &lt;w:b /&gt;
              &lt;w:bCs /&gt;
              &lt;w:i /&gt;
              &lt;w:iCs /&gt;
            &lt;/w:rPr&gt;
            &lt;w:tblPr /&gt;
            &lt;w:tcPr&gt;
              &lt;w:tcBorders&gt;
                &lt;w:bottom w:val="single" w:sz="6" w:space="0" w:color="808080" /&gt;
                &lt;w:tl2br w:val="none" w:sz="0" w:space="0" w:color="auto" /&gt;
                &lt;w:tr2bl w:val="none" w:sz="0" w:space="0" w:color="auto" /&gt;
              &lt;/w:tcBorders&gt;
            &lt;/w:tcPr&gt;
          &lt;/w:tblStylePr&gt;
          &lt;w:tblStylePr w:type="lastRow"&gt;
            &lt;w:rPr&gt;
              &lt;w:b /&gt;
              &lt;w:bCs /&gt;
            &lt;/w:rPr&gt;
            &lt;w:tblPr /&gt;
            &lt;w:tcPr&gt;
              &lt;w:tcBorders&gt;
                &lt;w:top w:val="single" w:sz="6" w:space="0" w:color="808080"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w:type="band1Vert"&gt;
            &lt;w:rPr&gt;
              &lt;w:color w:val="auto" /&gt;
            &lt;/w:rPr&gt;
            &lt;w:tblPr /&gt;
            &lt;w:tcPr&gt;
              &lt;w:shd w:val="solid" w:color="C0C0C0" w:fill="FFFFFF" /&gt;
            &lt;/w:tcPr&gt;
          &lt;/w:tblStylePr&gt;
          &lt;w:tblStylePr w:type="band2Vert"&gt;
            &lt;w:rPr&gt;
              &lt;w:color w:val="auto" /&gt;
            &lt;/w:rPr&gt;
          &lt;/w:tblStylePr&gt;
        &lt;/w:style&gt;
        &lt;w:style w:type="table" w:styleId="TableContemporary"&gt;
          &lt;w:name w:val="Table Contemporary" /&gt;
          &lt;w:basedOn w:val="TableNormal" /&gt;
          &lt;w:semiHidden /&gt;
          &lt;w:unhideWhenUsed /&gt;
          &lt;w:pPr&gt;
            &lt;w:spacing w:before="120" w:after="120" w:line="280" w:lineRule="atLeast" /&gt;
          &lt;/w:pPr&gt;
          &lt;w:tblPr&gt;
            &lt;w:tblStyleRowBandSize w:val="1" /&gt;
            &lt;w:tblBorders&gt;
              &lt;w:insideH w:val="single" w:sz="18" w:space="0" w:color="FFFFFF" /&gt;
              &lt;w:insideV w:val="single" w:sz="18" w:space="0" w:color="FFFFFF" /&gt;
            &lt;/w:tblBorders&gt;
          &lt;/w:tblPr&gt;
          &lt;w:tblStylePr w:type="firstRow"&gt;
            &lt;w:rPr&gt;
              &lt;w:b /&gt;
              &lt;w:bCs /&gt;
              &lt;w:color w:val="auto" /&gt;
            &lt;/w:rPr&gt;
            &lt;w:tblPr /&gt;
            &lt;w:tcPr&gt;
              &lt;w:tcBorders&gt;
                &lt;w:tl2br w:val="none" w:sz="0" w:space="0" w:color="auto" /&gt;
                &lt;w:tr2bl w:val="none" w:sz="0" w:space="0" w:color="auto" /&gt;
              &lt;/w:tcBorders&gt;
              &lt;w:shd w:val="pct20" w:color="000000" w:fill="FFFFFF" /&gt;
            &lt;/w:tcPr&gt;
          &lt;/w:tblStylePr&gt;
          &lt;w:tblStylePr w:type="band1Horz"&gt;
            &lt;w:rPr&gt;
              &lt;w:color w:val="auto" /&gt;
            &lt;/w:rPr&gt;
            &lt;w:tblPr /&gt;
            &lt;w:tcPr&gt;
              &lt;w:tcBorders&gt;
                &lt;w:tl2br w:val="none" w:sz="0" w:space="0" w:color="auto" /&gt;
                &lt;w:tr2bl w:val="none" w:sz="0" w:space="0" w:color="auto" /&gt;
              &lt;/w:tcBorders&gt;
              &lt;w:shd w:val="pct5" w:color="000000" w:fill="FFFFFF" /&gt;
            &lt;/w:tcPr&gt;
          &lt;/w:tblStylePr&gt;
          &lt;w:tblStylePr w:type="band2Horz"&gt;
            &lt;w:rPr&gt;
              &lt;w:color w:val="auto" /&gt;
            &lt;/w:rPr&gt;
            &lt;w:tblPr /&gt;
            &lt;w:tcPr&gt;
              &lt;w:tcBorders&gt;
                &lt;w:tl2br w:val="none" w:sz="0" w:space="0" w:color="auto" /&gt;
                &lt;w:tr2bl w:val="none" w:sz="0" w:space="0" w:color="auto" /&gt;
              &lt;/w:tcBorders&gt;
              &lt;w:shd w:val="pct20" w:color="000000" w:fill="FFFFFF" /&gt;
            &lt;/w:tcPr&gt;
          &lt;/w:tblStylePr&gt;
        &lt;/w:style&gt;
        &lt;w:style w:type="table" w:styleId="TableElegant"&gt;
          &lt;w:name w:val="Table Elegant" /&gt;
          &lt;w:basedOn w:val="TableNormal" /&gt;
          &lt;w:semiHidden /&gt;
          &lt;w:unhideWhenUsed /&gt;
          &lt;w:pPr&gt;
            &lt;w:spacing w:before="120" w:after="120" w:line="280" w:lineRule="atLeast" /&gt;
          &lt;/w:pPr&gt;
          &lt;w:tblPr&gt;
            &lt;w:tblBorders&gt;
              &lt;w:top w:val="double" w:sz="6" w:space="0" w:color="000000" /&gt;
              &lt;w:left w:val="double" w:sz="6" w:space="0" w:color="000000" /&gt;
              &lt;w:bottom w:val="double" w:sz="6" w:space="0" w:color="000000" /&gt;
              &lt;w:right w:val="double" w:sz="6" w:space="0" w:color="000000" /&gt;
              &lt;w:insideH w:val="single" w:sz="6" w:space="0" w:color="000000" /&gt;
              &lt;w:insideV w:val="single" w:sz="6" w:space="0" w:color="000000" /&gt;
            &lt;/w:tblBorders&gt;
          &lt;/w:tblPr&gt;
          &lt;w:tcPr&gt;
            &lt;w:shd w:val="clear" w:color="auto" w:fill="auto" /&gt;
          &lt;/w:tcPr&gt;
          &lt;w:tblStylePr w:type="firstRow"&gt;
            &lt;w:rPr&gt;
              &lt;w:caps /&gt;
              &lt;w:color w:val="auto" /&gt;
            &lt;/w:rPr&gt;
            &lt;w:tblPr /&gt;
            &lt;w:tcPr&gt;
              &lt;w:tcBorders&gt;
                &lt;w:tl2br w:val="none" w:sz="0" w:space="0" w:color="auto" /&gt;
                &lt;w:tr2bl w:val="none" w:sz="0" w:space="0" w:color="auto" /&gt;
              &lt;/w:tcBorders&gt;
            &lt;/w:tcPr&gt;
          &lt;/w:tblStylePr&gt;
        &lt;/w:style&gt;
        &lt;w:style w:type="table" w:styleId="TableGrid1"&gt;
          &lt;w:name w:val="Table Grid 1"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w:type="lastRow"&gt;
            &lt;w:rPr&gt;
              &lt;w:i /&gt;
              &lt;w:iCs /&gt;
            &lt;/w:rPr&gt;
            &lt;w:tblPr /&gt;
            &lt;w:tcPr&gt;
              &lt;w:tcBorders&gt;
                &lt;w:tl2br w:val="none" w:sz="0" w:space="0" w:color="auto" /&gt;
                &lt;w:tr2bl w:val="none" w:sz="0" w:space="0" w:color="auto" /&gt;
              &lt;/w:tcBorders&gt;
            &lt;/w:tcPr&gt;
          &lt;/w:tblStylePr&gt;
          &lt;w:tblStylePr w:type="lastCol"&gt;
            &lt;w:rPr&gt;
              &lt;w:i /&gt;
              &lt;w:iCs /&gt;
            &lt;/w:rPr&gt;
            &lt;w:tblPr /&gt;
            &lt;w:tcPr&gt;
              &lt;w:tcBorders&gt;
                &lt;w:tl2br w:val="none" w:sz="0" w:space="0" w:color="auto" /&gt;
                &lt;w:tr2bl w:val="none" w:sz="0" w:space="0" w:color="auto" /&gt;
              &lt;/w:tcBorders&gt;
            &lt;/w:tcPr&gt;
          &lt;/w:tblStylePr&gt;
        &lt;/w:style&gt;
        &lt;w:style w:type="table" w:styleId="TableGrid2"&gt;
          &lt;w:name w:val="Table Grid 2" /&gt;
          &lt;w:basedOn w:val="TableNormal" /&gt;
          &lt;w:semiHidden /&gt;
          &lt;w:unhideWhenUsed /&gt;
          &lt;w:pPr&gt;
            &lt;w:spacing w:before="120" w:after="120" w:line="280" w:lineRule="atLeast" /&gt;
          &lt;/w:pPr&gt;
          &lt;w:tblPr&gt;
            &lt;w:tblBorders&gt;
              &lt;w:insideH w:val="single" w:sz="6" w:space="0" w:color="000000" /&gt;
              &lt;w:insideV w:val="single" w:sz="6" w:space="0" w:color="000000" /&gt;
            &lt;/w:tblBorders&gt;
          &lt;/w:tblPr&gt;
          &lt;w:tcPr&gt;
            &lt;w:shd w:val="clear" w:color="auto" w:fill="auto" /&gt;
          &lt;/w:tcPr&gt;
          &lt;w:tblStylePr w:type="firstRow"&gt;
            &lt;w:rPr&gt;
              &lt;w:b /&gt;
              &lt;w:bCs /&gt;
            &lt;/w:rPr&gt;
            &lt;w:tblPr /&gt;
            &lt;w:tcPr&gt;
              &lt;w:tcBorders&gt;
                &lt;w:tl2br w:val="none" w:sz="0" w:space="0" w:color="auto" /&gt;
                &lt;w:tr2bl w:val="none" w:sz="0" w:space="0" w:color="auto" /&gt;
              &lt;/w:tcBorders&gt;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w:styleId="TableGrid3"&gt;
          &lt;w:name w:val="Table Grid 3" /&gt;
          &lt;w:basedOn w:val="TableNormal" /&gt;
          &lt;w:semiHidden /&gt;
          &lt;w:unhideWhenUsed /&gt;
          &lt;w:pPr&gt;
            &lt;w:spacing w:before="120" w:after="120" w:line="280" w:lineRule="atLeast" /&gt;
          &lt;/w:pPr&gt;
          &lt;w:tblPr&gt;
            &lt;w:tblBorders&gt;
              &lt;w:top w:val="single" w:sz="6" w:space="0" w:color="000000" /&gt;
              &lt;w:left w:val="single" w:sz="12" w:space="0" w:color="000000" /&gt;
              &lt;w:bottom w:val="single" w:sz="6" w:space="0" w:color="000000" /&gt;
              &lt;w:right w:val="single" w:sz="12" w:space="0" w:color="000000" /&gt;
              &lt;w:insideV w:val="single" w:sz="6" w:space="0" w:color="000000" /&gt;
            &lt;/w:tblBorders&gt;
          &lt;/w:tblPr&gt;
          &lt;w:tcPr&gt;
            &lt;w:shd w:val="clear" w:color="auto" w:fill="auto" /&gt;
          &lt;/w:tcPr&gt;
          &lt;w:tblStylePr w:type="firstRow"&gt;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&lt;/w:style&gt;
        &lt;w:style w:type="table" w:styleId="TableGrid4"&gt;
          &lt;w:name w:val="Table Grid 4" /&gt;
          &lt;w:basedOn w:val="TableNormal" /&gt;
          &lt;w:semiHidden /&gt;
          &lt;w:unhideWhenUsed /&gt;
          &lt;w:pPr&gt;
            &lt;w:spacing w:before="120" w:after="120" w:line="280" w:lineRule="atLeast" /&gt;
          &lt;/w:pPr&gt;
          &lt;w:tblPr&gt;
            &lt;w:tblBorders&gt;
              &lt;w:left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&lt;w:color w:val="auto" /&gt;
            &lt;/w:rPr&gt;
            &lt;w:tblPr /&gt;
            &lt;w:tcPr&gt;
              &lt;w:tcBorders&gt;
                &lt;w:bottom w:val="single" w:sz="6" w:space="0" w:color="000000" /&gt;
                &lt;w:tl2br w:val="none" w:sz="0" w:space="0" w:color="auto" /&gt;
                &lt;w:tr2bl w:val="none" w:sz="0" w:space="0" w:color="auto" /&gt;
              &lt;/w:tcBorders&gt;
              &lt;w:shd w:val="pct30" w:color="FFFF00" w:fill="FFFFFF" /&gt;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&lt;w:shd w:val="pct30" w:color="FFFF00" w:fill="FFFFFF" /&gt;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w:styleId="TableGrid5"&gt;
          &lt;w:name w:val="Table Grid 5"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w:styleId="TableGrid6"&gt;
          &lt;w:name w:val="Table Grid 6"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&lt;w:insideV w:val="single" w:sz="6" w:space="0" w:color="000000" /&gt;
            &lt;/w:tblBorders&gt;
          &lt;/w:tblPr&gt;
          &lt;w:tcPr&gt;
            &lt;w:shd w:val="clear" w:color="auto" w:fill="auto" /&gt;
          &lt;/w:tcPr&gt;
          &lt;w:tblStylePr w:type="firstRow"&gt;
            &lt;w:rPr&gt;
              &lt;w:b /&gt;
              &lt;w:bCs /&gt;
            &lt;/w:rPr&gt;
            &lt;w:tblPr /&gt;
            &lt;w:tcPr&gt;
              &lt;w:tcBorders&gt;
                &lt;w:bottom w:val="single" w:sz="6" w:space="0" w:color="000000" /&gt;
                &lt;w:tl2br w:val="none" w:sz="0" w:space="0" w:color="auto" /&gt;
                &lt;w:tr2bl w:val="none" w:sz="0" w:space="0" w:color="auto" /&gt;
              &lt;/w:tcBorders&gt;
            &lt;/w:tcPr&gt;
          &lt;/w:tblStylePr&gt;
          &lt;w:tblStylePr w:type="lastRow"&gt;
            &lt;w:rPr&gt;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w:styleId="TableGrid7"&gt;
          &lt;w:name w:val="Table Grid 7" /&gt;
          &lt;w:basedOn w:val="TableNormal" /&gt;
          &lt;w:semiHidden /&gt;
          &lt;w:unhideWhenUsed /&gt;
          &lt;w:pPr&gt;
            &lt;w:spacing w:before="120" w:after="120" w:line="280" w:lineRule="atLeast" /&gt;
          &lt;/w:pPr&gt;
          &lt;w:rPr&gt;
            &lt;w:b /&gt;
            &lt;w:bCs /&gt;
          &lt;/w:rPr&gt;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&lt;w:insideV w:val="single" w:sz="6" w:space="0" w:color="000000" /&gt;
            &lt;/w:tblBorders&gt;
          &lt;/w:tblPr&gt;
          &lt;w:tcPr&gt;
            &lt;w:shd w:val="clear" w:color="auto" w:fill="auto" /&gt;
          &lt;/w:tcPr&gt;
          &lt;w:tblStylePr w:type="firstRow"&gt;
            &lt;w:rPr&gt;
              &lt;w:b w:val="0" /&gt;
              &lt;w:bCs w:val="0" /&gt;
            &lt;/w:rPr&gt;
            &lt;w:tblPr /&gt;
            &lt;w:tcPr&gt;
              &lt;w:tcBorders&gt;
                &lt;w:bottom w:val="single" w:sz="12" w:space="0" w:color="000000" /&gt;
                &lt;w:tl2br w:val="none" w:sz="0" w:space="0" w:color="auto" /&gt;
                &lt;w:tr2bl w:val="none" w:sz="0" w:space="0" w:color="auto" /&gt;
              &lt;/w:tcBorders&gt;
            &lt;/w:tcPr&gt;
          &lt;/w:tblStylePr&gt;
          &lt;w:tblStylePr w:type="lastRow"&gt;
            &lt;w:rPr&gt;
              &lt;w:b w:val="0" /&gt;
              &lt;w:bCs w:val="0" /&gt;
            &lt;/w:rPr&gt;
            &lt;w:tblPr /&gt;
            &lt;w:tcPr&gt;
              &lt;w:tcBorders&gt;
                &lt;w:top w:val="single" w:sz="6" w:space="0" w:color="000000" /&gt;
                &lt;w:tl2br w:val="none" w:sz="0" w:space="0" w:color="auto" /&gt;
                &lt;w:tr2bl w:val="none" w:sz="0" w:space="0" w:color="auto" /&gt;
              &lt;/w:tcBorders&gt;
            &lt;/w:tcPr&gt;
          &lt;/w:tblStylePr&gt;
          &lt;w:tblStylePr w:type="firstCol"&gt;
            &lt;w:rPr&gt;
              &lt;w:b w:val="0" /&gt;
              &lt;w:bCs w:val="0" /&gt;
            &lt;/w:rPr&gt;
            &lt;w:tblPr /&gt;
            &lt;w:tcPr&gt;
              &lt;w:tcBorders&gt;
                &lt;w:tl2br w:val="none" w:sz="0" w:space="0" w:color="auto" /&gt;
                &lt;w:tr2bl w:val="none" w:sz="0" w:space="0" w:color="auto" /&gt;
              &lt;/w:tcBorders&gt;
            &lt;/w:tcPr&gt;
          &lt;/w:tblStylePr&gt;
          &lt;w:tblStylePr w:type="lastCol"&gt;
            &lt;w:rPr&gt;
              &lt;w:b w:val="0" /&gt;
              &lt;w:bCs w:val="0" /&gt;
            &lt;/w:rPr&gt;
            &lt;w:tblPr /&gt;
            &lt;w:tcPr&gt;
              &lt;w:tcBorders&gt;
                &lt;w:tl2br w:val="none" w:sz="0" w:space="0" w:color="auto" /&gt;
                &lt;w:tr2bl w:val="none" w:sz="0" w:space="0" w:color="auto" /&gt;
              &lt;/w:tcBorders&gt;
            &lt;/w:tcPr&gt;
          &lt;/w:tblStylePr&gt;
          &lt;w:tblStylePr w:type="nwCell"&gt;
            &lt;w:tblPr /&gt;
            &lt;w:tcPr&gt;
              &lt;w:tcBorders&gt;
                &lt;w:tl2br w:val="single" w:sz="6" w:space="0" w:color="000000" /&gt;
                &lt;w:tr2bl w:val="none" w:sz="0" w:space="0" w:color="auto" /&gt;
              &lt;/w:tcBorders&gt;
            &lt;/w:tcPr&gt;
          &lt;/w:tblStylePr&gt;
        &lt;/w:style&gt;
        &lt;w:style w:type="table" w:styleId="TableGrid8"&gt;
          &lt;w:name w:val="Table Grid 8" /&gt;
          &lt;w:basedOn w:val="TableNormal" /&gt;
          &lt;w:semiHidden /&gt;
          &lt;w:unhideWhenUsed /&gt;
          &lt;w:pPr&gt;
            &lt;w:spacing w:before="120" w:after="120" w:line="280" w:lineRule="atLeast" /&gt;
          &lt;/w:pPr&gt;
          &lt;w:tblPr&gt;
            &lt;w:tblBorders&gt;
              &lt;w:top w:val="single" w:sz="6" w:space="0" w:color="000080" /&gt;
              &lt;w:left w:val="single" w:sz="6" w:space="0" w:color="000080" /&gt;
              &lt;w:bottom w:val="single" w:sz="6" w:space="0" w:color="000080" /&gt;
              &lt;w:right w:val="single" w:sz="6" w:space="0" w:color="000080" /&gt;
              &lt;w:insideH w:val="single" w:sz="6" w:space="0" w:color="000080" /&gt;
              &lt;w:insideV w:val="single" w:sz="6" w:space="0" w:color="000080"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w:color="000080" w:fill="FFFFFF" /&gt;
            &lt;/w:tcPr&gt;
          &lt;/w:tblStylePr&gt;
          &lt;w:tblStylePr w:type="lastRow"&gt;
            &lt;w:rPr&gt;
              &lt;w:b /&gt;
              &lt;w:bCs /&gt;
              &lt;w:color w:val="auto" /&gt;
            &lt;/w:rPr&gt;
            &lt;w:tblPr /&gt;
            &lt;w:tcPr&gt;
              &lt;w:tcBorders&gt;
                &lt;w:tl2br w:val="none" w:sz="0" w:space="0" w:color="auto" /&gt;
                &lt;w:tr2bl w:val="none" w:sz="0" w:space="0" w:color="auto" /&gt;
              &lt;/w:tcBorders&gt;
            &lt;/w:tcPr&gt;
          &lt;/w:tblStylePr&gt;
          &lt;w:tblStylePr w:type="lastCol"&gt;
            &lt;w:rPr&gt;
              &lt;w:b /&gt;
              &lt;w:bCs /&gt;
              &lt;w:color w:val="auto" /&gt;
            &lt;/w:rPr&gt;
            &lt;w:tblPr /&gt;
            &lt;w:tcPr&gt;
              &lt;w:tcBorders&gt;
                &lt;w:tl2br w:val="none" w:sz="0" w:space="0" w:color="auto" /&gt;
                &lt;w:tr2bl w:val="none" w:sz="0" w:space="0" w:color="auto" /&gt;
              &lt;/w:tcBorders&gt;
            &lt;/w:tcPr&gt;
          &lt;/w:tblStylePr&gt;
        &lt;/w:style&gt;
        &lt;w:style w:type="table" w:styleId="TableList1"&gt;
          &lt;w:name w:val="Table List 1" /&gt;
          &lt;w:basedOn w:val="TableNormal" /&gt;
          &lt;w:semiHidden /&gt;
          &lt;w:unhideWhenUsed /&gt;
          &lt;w:pPr&gt;
            &lt;w:spacing w:before="120" w:after="120" w:line="280" w:lineRule="atLeast" /&gt;
          &lt;/w:pPr&gt;
          &lt;w:tblPr&gt;
            &lt;w:tblStyleRowBandSize w:val="1" /&gt;
            &lt;w:tblBorders&gt;
              &lt;w:top w:val="single" w:sz="12" w:space="0" w:color="008080" /&gt;
              &lt;w:left w:val="single" w:sz="6" w:space="0" w:color="008080" /&gt;
              &lt;w:bottom w:val="single" w:sz="12" w:space="0" w:color="008080" /&gt;
              &lt;w:right w:val="single" w:sz="6" w:space="0" w:color="008080" /&gt;
            &lt;/w:tblBorders&gt;
          &lt;/w:tblPr&gt;
          &lt;w:tblStylePr w:type="firstRow"&gt;
            &lt;w:rPr&gt;
              &lt;w:b /&gt;
              &lt;w:bCs /&gt;
              &lt;w:i /&gt;
              &lt;w:iCs /&gt;
              &lt;w:color w:val="800000" /&gt;
            &lt;/w:rPr&gt;
            &lt;w:tblPr /&gt;
            &lt;w:tcPr&gt;
              &lt;w:tcBorders&gt;
                &lt;w:bottom w:val="single" w:sz="6" w:space="0" w:color="000000" /&gt;
                &lt;w:tl2br w:val="none" w:sz="0" w:space="0" w:color="auto" /&gt;
                &lt;w:tr2bl w:val="none" w:sz="0" w:space="0" w:color="auto" /&gt;
              &lt;/w:tcBorders&gt;
              &lt;w:shd w:val="solid" w:color="C0C0C0" w:fill="FFFFFF"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w:val="solid" w:color="C0C0C0"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w:styleId="TableList2"&gt;
          &lt;w:name w:val="Table List 2" /&gt;
          &lt;w:basedOn w:val="TableNormal" /&gt;
          &lt;w:semiHidden /&gt;
          &lt;w:unhideWhenUsed /&gt;
          &lt;w:pPr&gt;
            &lt;w:spacing w:before="120" w:after="120" w:line="280" w:lineRule="atLeast" /&gt;
          &lt;/w:pPr&gt;
          &lt;w:tblPr&gt;
            &lt;w:tblStyleRowBandSize w:val="2" /&gt;
            &lt;w:tblBorders&gt;
              &lt;w:bottom w:val="single" w:sz="12" w:space="0" w:color="808080" /&gt;
            &lt;/w:tblBorders&gt;
          &lt;/w:tblPr&gt;
          &lt;w:tblStylePr w:type="firstRow"&gt;
            &lt;w:rPr&gt;
              &lt;w:b /&gt;
              &lt;w:bCs /&gt;
              &lt;w:color w:val="FFFFFF" /&gt;
            &lt;/w:rPr&gt;
            &lt;w:tblPr /&gt;
            &lt;w:tcPr&gt;
              &lt;w:tcBorders&gt;
                &lt;w:bottom w:val="single" w:sz="6" w:space="0" w:color="000000" /&gt;
                &lt;w:tl2br w:val="none" w:sz="0" w:space="0" w:color="auto" /&gt;
                &lt;w:tr2bl w:val="none" w:sz="0" w:space="0" w:color="auto" /&gt;
              &lt;/w:tcBorders&gt;
              &lt;w:shd w:val="pct75" w:color="008080" w:fill="008000" /&gt;
            &lt;/w:tcPr&gt;
          &lt;/w:tblStylePr&gt;
          &lt;w:tblStylePr w:type="lastRow"&gt;
            &lt;w:tblPr /&gt;
            &lt;w:tcPr&gt;
              &lt;w:tcBorders&gt;
                &lt;w:top w:val="single" w:sz="6" w:space="0" w:color="000000" /&gt;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w:color="00FF00" w:fill="FFFFFF" /&gt;
            &lt;/w:tcPr&gt;
          &lt;/w:tblStylePr&gt;
          &lt;w:tblStylePr w:type="band2Horz"&gt;
            &lt;w:rPr&gt;
              &lt;w:color w:val="auto"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w:styleId="TableList3"&gt;
          &lt;w:name w:val="Table List 3" /&gt;
          &lt;w:basedOn w:val="TableNormal" /&gt;
          &lt;w:semiHidden /&gt;
          &lt;w:unhideWhenUsed /&gt;
          &lt;w:pPr&gt;
            &lt;w:spacing w:before="120" w:after="120" w:line="280" w:lineRule="atLeast" /&gt;
          &lt;/w:pPr&gt;
          &lt;w:tblPr&gt;
            &lt;w:tblBorders&gt;
              &lt;w:top w:val="single" w:sz="12" w:space="0" w:color="000000" /&gt;
              &lt;w:bottom w:val="single" w:sz="12" w:space="0" w:color="000000" /&gt;
              &lt;w:insideH w:val="single" w:sz="6" w:space="0" w:color="000000" /&gt;
            &lt;/w:tblBorders&gt;
          &lt;/w:tblPr&gt;
          &lt;w:tcPr&gt;
            &lt;w:shd w:val="clear" w:color="auto" w:fill="auto" /&gt;
          &lt;/w:tcPr&gt;
          &lt;w:tblStylePr w:type="firstRow"&gt;
            &lt;w:rPr&gt;
              &lt;w:b /&gt;
              &lt;w:bCs /&gt;
              &lt;w:color w:val="000080" /&gt;
            &lt;/w:rPr&gt;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w:type="swCell"&gt;
            &lt;w:rPr&gt;
              &lt;w:i /&gt;
              &lt;w:iCs /&gt;
              &lt;w:color w:val="000080" /&gt;
            &lt;/w:rPr&gt;
            &lt;w:tblPr /&gt;
            &lt;w:tcPr&gt;
              &lt;w:tcBorders&gt;
                &lt;w:tl2br w:val="none" w:sz="0" w:space="0" w:color="auto" /&gt;
                &lt;w:tr2bl w:val="none" w:sz="0" w:space="0" w:color="auto" /&gt;
              &lt;/w:tcBorders&gt;
            &lt;/w:tcPr&gt;
          &lt;/w:tblStylePr&gt;
        &lt;/w:style&gt;
        &lt;w:style w:type="table" w:styleId="TableList4"&gt;
          &lt;w:name w:val="Table List 4"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&lt;w:insideH w:val="single" w:sz="6" w:space="0" w:color="000000" /&gt;
            &lt;/w:tblBorders&gt;
          &lt;/w:tblPr&gt;
          &lt;w:tcPr&gt;
            &lt;w:shd w:val="clear" w:color="auto" w:fill="auto" /&gt;
          &lt;/w:tcPr&gt;
          &lt;w:tblStylePr w:type="firstRow"&gt;
            &lt;w:rPr&gt;
              &lt;w:b /&gt;
              &lt;w:bCs /&gt;
              &lt;w:color w:val="FFFFFF" /&gt;
            &lt;/w:rPr&gt;
            &lt;w:tblPr /&gt;
            &lt;w:tcPr&gt;
              &lt;w:tcBorders&gt;
                &lt;w:bottom w:val="single" w:sz="12" w:space="0" w:color="000000" /&gt;
                &lt;w:tl2br w:val="none" w:sz="0" w:space="0" w:color="auto" /&gt;
                &lt;w:tr2bl w:val="none" w:sz="0" w:space="0" w:color="auto" /&gt;
              &lt;/w:tcBorders&gt;
              &lt;w:shd w:val="solid" w:color="808080" w:fill="FFFFFF" /&gt;
            &lt;/w:tcPr&gt;
          &lt;/w:tblStylePr&gt;
        &lt;/w:style&gt;
        &lt;w:style w:type="table" w:styleId="TableList6"&gt;
          &lt;w:name w:val="Table List 6"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&lt;/w:tblBorders&gt;
          &lt;/w:tblPr&gt;
          &lt;w:tcPr&gt;
            &lt;w:shd w:val="pct50" w:color="000000" w:fill="FFFFFF" /&gt;
          &lt;/w:tcPr&gt;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w:type="band1Horz"&gt;
            &lt;w:tblPr /&gt;
            &lt;w:tcPr&gt;
              &lt;w:tcBorders&gt;
                &lt;w:tl2br w:val="none" w:sz="0" w:space="0" w:color="auto" /&gt;
                &lt;w:tr2bl w:val="none" w:sz="0" w:space="0" w:color="auto" /&gt;
              &lt;/w:tcBorders&gt;
              &lt;w:shd w:val="pct25" w:color="000000" w:fill="FFFFFF" /&gt;
            &lt;/w:tcPr&gt;
          &lt;/w:tblStylePr&gt;
        &lt;/w:style&gt;
        &lt;w:style w:type="table" w:styleId="TableList7"&gt;
          &lt;w:name w:val="Table List 7" /&gt;
          &lt;w:basedOn w:val="TableNormal" /&gt;
          &lt;w:semiHidden /&gt;
          &lt;w:unhideWhenUsed /&gt;
          &lt;w:pPr&gt;
            &lt;w:spacing w:before="120" w:after="120" w:line="280" w:lineRule="atLeast" /&gt;
          &lt;/w:pPr&gt;
          &lt;w:tblPr&gt;
            &lt;w:tblStyleRowBandSize w:val="1" /&gt;
            &lt;w:tblBorders&gt;
              &lt;w:top w:val="single" w:sz="12" w:space="0" w:color="008000" /&gt;
              &lt;w:left w:val="single" w:sz="6" w:space="0" w:color="008000" /&gt;
              &lt;w:bottom w:val="single" w:sz="12" w:space="0" w:color="008000" /&gt;
              &lt;w:right w:val="single" w:sz="6" w:space="0" w:color="008000" /&gt;
              &lt;w:insideH w:val="single" w:sz="6" w:space="0" w:color="000000" /&gt;
            &lt;/w:tblBorders&gt;
          &lt;/w:tblPr&gt;
          &lt;w:tblStylePr w:type="firstRow"&gt;
            &lt;w:rPr&gt;
              &lt;w:b /&gt;
              &lt;w:bCs /&gt;
            &lt;/w:rPr&gt;
            &lt;w:tblPr /&gt;
            &lt;w:tcPr&gt;
              &lt;w:tcBorders&gt;
                &lt;w:bottom w:val="single" w:sz="12" w:space="0" w:color="008000" /&gt;
                &lt;w:tl2br w:val="none" w:sz="0" w:space="0" w:color="auto" /&gt;
                &lt;w:tr2bl w:val="none" w:sz="0" w:space="0" w:color="auto" /&gt;
              &lt;/w:tcBorders&gt;
              &lt;w:shd w:val="solid" w:color="C0C0C0" w:fill="FFFFFF" /&gt;
            &lt;/w:tcPr&gt;
          &lt;/w:tblStylePr&gt;
          &lt;w:tblStylePr w:type="lastRow"&gt;
            &lt;w:rPr&gt;
              &lt;w:b /&gt;
              &lt;w:bCs /&gt;
            &lt;/w:rPr&gt;
            &lt;w:tblPr /&gt;
            &lt;w:tcPr&gt;
              &lt;w:tcBorders&gt;
                &lt;w:top w:val="single" w:sz="12" w:space="0" w:color="008000"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w:val="pct20" w:color="000000" w:fill="FFFFFF" /&gt;
            &lt;/w:tcPr&gt;
          &lt;/w:tblStylePr&gt;
          &lt;w:tblStylePr w:type="band2Horz"&gt;
            &lt;w:tblPr /&gt;
            &lt;w:tcPr&gt;
              &lt;w:tcBorders&gt;
                &lt;w:tl2br w:val="none" w:sz="0" w:space="0" w:color="auto" /&gt;
                &lt;w:tr2bl w:val="none" w:sz="0" w:space="0" w:color="auto" /&gt;
              &lt;/w:tcBorders&gt;
              &lt;w:shd w:val="pct25" w:color="FFFF00" w:fill="FFFFFF" /&gt;
            &lt;/w:tcPr&gt;
          &lt;/w:tblStylePr&gt;
        &lt;/w:style&gt;
        &lt;w:style w:type="table" w:styleId="TableList8"&gt;
          &lt;w:name w:val="Table List 8" /&gt;
          &lt;w:basedOn w:val="TableNormal" /&gt;
          &lt;w:semiHidden /&gt;
          &lt;w:unhideWhenUsed /&gt;
          &lt;w:pPr&gt;
            &lt;w:spacing w:before="120" w:after="120" w:line="280" w:lineRule="atLeast" /&gt;
          &lt;/w:pPr&gt;
          &lt;w:tblPr&gt;
            &lt;w:tblStyleRowBandSize w:val="1" /&gt;
            &lt;w:tblBorders&gt;
              &lt;w:top w:val="single" w:sz="6" w:space="0" w:color="000000" /&gt;
              &lt;w:left w:val="single" w:sz="6" w:space="0" w:color="000000" /&gt;
              &lt;w:bottom w:val="single" w:sz="6" w:space="0" w:color="000000" /&gt;
              &lt;w:right w:val="single" w:sz="6" w:space="0" w:color="000000" /&gt;
              &lt;w:insideV w:val="single" w:sz="6" w:space="0" w:color="000000" /&gt;
            &lt;/w:tblBorders&gt;
          &lt;/w:tblPr&gt;
          &lt;w:tblStylePr w:type="firstRow"&gt;
            &lt;w:rPr&gt;
              &lt;w:b /&gt;
              &lt;w:bCs /&gt;
              &lt;w:i /&gt;
              &lt;w:iCs /&gt;
            &lt;/w:rPr&gt;
            &lt;w:tblPr /&gt;
            &lt;w:tcPr&gt;
              &lt;w:tcBorders&gt;
                &lt;w:bottom w:val="single" w:sz="6" w:space="0" w:color="000000" /&gt;
                &lt;w:tl2br w:val="none" w:sz="0" w:space="0" w:color="auto" /&gt;
                &lt;w:tr2bl w:val="none" w:sz="0" w:space="0" w:color="auto" /&gt;
              &lt;/w:tcBorders&gt;
              &lt;w:shd w:val="solid" w:color="FFFF00" w:fill="FFFFFF" /&gt;
            &lt;/w:tcPr&gt;
          &lt;/w:tblStylePr&gt;
          &lt;w:tblStylePr w:type="lastRow"&gt;
            &lt;w:rPr&gt;
              &lt;w:b /&gt;
              &lt;w:bCs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&lt;w:tl2br w:val="none" w:sz="0" w:space="0" w:color="auto" /&gt;
                &lt;w:tr2bl w:val="none" w:sz="0" w:space="0" w:color="auto" /&gt;
              &lt;/w:tcBorders&gt;
            &lt;/w:tcPr&gt;
          &lt;/w:tblStylePr&gt;
          &lt;w:tblStylePr w:type="lastCol"&gt;
            &lt;w:rPr&gt;
              &lt;w:b /&gt;
              &lt;w:bCs /&gt;
            &lt;/w:rPr&gt;
            &lt;w:tblPr /&gt;
            &lt;w:tcPr&gt;
              &lt;w:tcBorders&gt;
                &lt;w:tl2br w:val="none" w:sz="0" w:space="0" w:color="auto" /&gt;
                &lt;w:tr2bl w:val="none" w:sz="0" w:space="0" w:color="auto" /&gt;
              &lt;/w:tcBorders&gt;
            &lt;/w:tcPr&gt;
          &lt;/w:tblStylePr&gt;
          &lt;w:tblStylePr w:type="band1Horz"&gt;
            &lt;w:rPr&gt;
              &lt;w:color w:val="auto" /&gt;
            &lt;/w:rPr&gt;
            &lt;w:tblPr /&gt;
            &lt;w:tcPr&gt;
              &lt;w:tcBorders&gt;
                &lt;w:tl2br w:val="none" w:sz="0" w:space="0" w:color="auto" /&gt;
                &lt;w:tr2bl w:val="none" w:sz="0" w:space="0" w:color="auto" /&gt;
              &lt;/w:tcBorders&gt;
              &lt;w:shd w:val="pct25" w:color="FFFF00" w:fill="FFFFFF" /&gt;
            &lt;/w:tcPr&gt;
          &lt;/w:tblStylePr&gt;
          &lt;w:tblStylePr w:type="band2Horz"&gt;
            &lt;w:tblPr /&gt;
            &lt;w:tcPr&gt;
              &lt;w:tcBorders&gt;
                &lt;w:tl2br w:val="none" w:sz="0" w:space="0" w:color="auto" /&gt;
                &lt;w:tr2bl w:val="none" w:sz="0" w:space="0" w:color="auto" /&gt;
              &lt;/w:tcBorders&gt;
              &lt;w:shd w:val="pct50" w:color="FF0000" w:fill="FFFFFF" /&gt;
            &lt;/w:tcPr&gt;
          &lt;/w:tblStylePr&gt;
        &lt;/w:style&gt;
        &lt;w:style w:type="paragraph" w:styleId="TableofAuthorities"&gt;
          &lt;w:name w:val="table of authorities" /&gt;
          &lt;w:basedOn w:val="Normal" /&gt;
          &lt;w:next w:val="Normal" /&gt;
          &lt;w:semiHidden /&gt;
          &lt;w:unhideWhenUsed /&gt;
          &lt;w:pPr&gt;
            &lt;w:spacing w:after="0" /&gt;
            &lt;w:ind w:left="240" w:hanging="240" /&gt;
          &lt;/w:pPr&gt;
        &lt;/w:style&gt;
        &lt;w:style w:type="table" w:styleId="TableProfessional"&gt;
          &lt;w:name w:val="Table Professional" /&gt;
          &lt;w:basedOn w:val="TableNormal" /&gt;
          &lt;w:semiHidden /&gt;
          &lt;w:unhideWhenUsed /&gt;
          &lt;w:pPr&gt;
            &lt;w:spacing w:before="120" w:after="120" w:line="280" w:lineRule="atLeast" /&gt;
          &lt;/w:pPr&gt;
          &lt;w:tblPr&gt;
            &lt;w:tblBorders&gt;
              &lt;w:top w:val="single" w:sz="6" w:space="0" w:color="000000" /&gt;
              &lt;w:left w:val="single" w:sz="6" w:space="0" w:color="000000" /&gt;
              &lt;w:bottom w:val="single" w:sz="6" w:space="0" w:color="000000" /&gt;
              &lt;w:right w:val="single" w:sz="6" w:space="0" w:color="000000" /&gt;
              &lt;w:insideH w:val="single" w:sz="6" w:space="0" w:color="000000" /&gt;
              &lt;w:insideV w:val="single" w:sz="6" w:space="0" w:color="000000" /&gt;
            &lt;/w:tblBorders&gt;
          &lt;/w:tblPr&gt;
          &lt;w:tcPr&gt;
            &lt;w:shd w:val="clear" w:color="auto" w:fill="auto" /&gt;
          &lt;/w:tcPr&gt;
          &lt;w:tblStylePr w:type="firstRow"&gt;
            &lt;w:rPr&gt;
              &lt;w:b /&gt;
              &lt;w:bCs /&gt;
              &lt;w:color w:val="auto" /&gt;
            &lt;/w:rPr&gt;
            &lt;w:tblPr /&gt;
            &lt;w:tcPr&gt;
              &lt;w:tcBorders&gt;
                &lt;w:tl2br w:val="none" w:sz="0" w:space="0" w:color="auto" /&gt;
                &lt;w:tr2bl w:val="none" w:sz="0" w:space="0" w:color="auto" /&gt;
              &lt;/w:tcBorders&gt;
              &lt;w:shd w:val="solid" w:color="000000" w:fill="FFFFFF" /&gt;
            &lt;/w:tcPr&gt;
          &lt;/w:tblStylePr&gt;
        &lt;/w:style&gt;
        &lt;w:style w:type="table" w:styleId="TableSimple1"&gt;
          &lt;w:name w:val="Table Simple 1" /&gt;
          &lt;w:basedOn w:val="TableNormal" /&gt;
          &lt;w:semiHidden /&gt;
          &lt;w:unhideWhenUsed /&gt;
          &lt;w:pPr&gt;
            &lt;w:spacing w:before="120" w:after="120" w:line="280" w:lineRule="atLeast" /&gt;
          &lt;/w:pPr&gt;
          &lt;w:tblPr&gt;
            &lt;w:tblBorders&gt;
              &lt;w:top w:val="single" w:sz="12" w:space="0" w:color="008000" /&gt;
              &lt;w:bottom w:val="single" w:sz="12" w:space="0" w:color="008000" /&gt;
            &lt;/w:tblBorders&gt;
          &lt;/w:tblPr&gt;
          &lt;w:tcPr&gt;
            &lt;w:shd w:val="clear" w:color="auto" w:fill="auto" /&gt;
          &lt;/w:tcPr&gt;
          &lt;w:tblStylePr w:type="firstRow"&gt;
            &lt;w:tblPr /&gt;
            &lt;w:tcPr&gt;
              &lt;w:tcBorders&gt;
                &lt;w:bottom w:val="single" w:sz="6" w:space="0" w:color="008000" /&gt;
                &lt;w:tl2br w:val="none" w:sz="0" w:space="0" w:color="auto" /&gt;
                &lt;w:tr2bl w:val="none" w:sz="0" w:space="0" w:color="auto" /&gt;
              &lt;/w:tcBorders&gt;
            &lt;/w:tcPr&gt;
          &lt;/w:tblStylePr&gt;
          &lt;w:tblStylePr w:type="lastRow"&gt;
            &lt;w:tblPr /&gt;
            &lt;w:tcPr&gt;
              &lt;w:tcBorders&gt;
                &lt;w:top w:val="single" w:sz="6" w:space="0" w:color="008000" /&gt;
                &lt;w:tl2br w:val="none" w:sz="0" w:space="0" w:color="auto" /&gt;
                &lt;w:tr2bl w:val="none" w:sz="0" w:space="0" w:color="auto" /&gt;
              &lt;/w:tcBorders&gt;
            &lt;/w:tcPr&gt;
          &lt;/w:tblStylePr&gt;
        &lt;/w:style&gt;
        &lt;w:style w:type="table" w:styleId="TableSimple2"&gt;
          &lt;w:name w:val="Table Simple 2" /&gt;
          &lt;w:basedOn w:val="TableNormal" /&gt;
          &lt;w:semiHidden /&gt;
          &lt;w:unhideWhenUsed /&gt;
          &lt;w:pPr&gt;
            &lt;w:spacing w:before="120" w:after="120" w:line="280" w:lineRule="atLeast" /&gt;
          &lt;/w:pPr&gt;
          &lt;w:tblPr /&gt;
          &lt;w:tblStylePr w:type="firstRow"&gt;
            &lt;w:rPr&gt;
              &lt;w:b /&gt;
              &lt;w:bCs /&gt;
            &lt;/w:rPr&gt;
            &lt;w:tblPr /&gt;
            &lt;w:tcPr&gt;
              &lt;w:tcBorders&gt;
                &lt;w:bottom w:val="single" w:sz="12" w:space="0" w:color="000000" /&gt;
                &lt;w:tl2br w:val="none" w:sz="0" w:space="0" w:color="auto" /&gt;
                &lt;w:tr2bl w:val="none" w:sz="0" w:space="0" w:color="auto" /&gt;
              &lt;/w:tcBorders&gt;
            &lt;/w:tcPr&gt;
          &lt;/w:tblStylePr&gt;
          &lt;w:tblStylePr w:type="lastRow"&gt;
            &lt;w:rPr&gt;
              &lt;w:b /&gt;
              &lt;w:bCs /&gt;
              &lt;w:color w:val="auto" /&gt;
            &lt;/w:rPr&gt;
            &lt;w:tblPr /&gt;
            &lt;w:tcPr&gt;
              &lt;w:tcBorders&gt;
                &lt;w:top w:val="single" w:sz="6" w:space="0" w:color="000000" /&gt;
                &lt;w:tl2br w:val="none" w:sz="0" w:space="0" w:color="auto" /&gt;
                &lt;w:tr2bl w:val="none" w:sz="0" w:space="0" w:color="auto" /&gt;
              &lt;/w:tcBorders&gt;
            &lt;/w:tcPr&gt;
          &lt;/w:tblStylePr&gt;
          &lt;w:tblStylePr w:type="firstCol"&gt;
            &lt;w:rPr&gt;
              &lt;w:b /&gt;
              &lt;w:bCs /&gt;
            &lt;/w:rPr&gt;
            &lt;w:tblPr /&gt;
            &lt;w:tcPr&gt;
              &lt;w:tcBorders&gt;
                &lt;w:right w:val="single" w:sz="12" w:space="0" w:color="000000" /&gt;
                &lt;w:tl2br w:val="none" w:sz="0" w:space="0" w:color="auto" /&gt;
                &lt;w:tr2bl w:val="none" w:sz="0" w:space="0" w:color="auto" /&gt;
              &lt;/w:tcBorders&gt;
            &lt;/w:tcPr&gt;
          &lt;/w:tblStylePr&gt;
          &lt;w:tblStylePr w:type="lastCol"&gt;
            &lt;w:rPr&gt;
              &lt;w:b /&gt;
              &lt;w:bCs /&gt;
            &lt;/w:rPr&gt;
            &lt;w:tblPr /&gt;
            &lt;w:tcPr&gt;
              &lt;w:tcBorders&gt;
                &lt;w:left w:val="single" w:sz="6" w:space="0" w:color="000000" /&gt;
                &lt;w:tl2br w:val="none" w:sz="0" w:space="0" w:color="auto" /&gt;
                &lt;w:tr2bl w:val="none" w:sz="0" w:space="0" w:color="auto" /&gt;
              &lt;/w:tcBorders&gt;
            &lt;/w:tcPr&gt;
          &lt;/w:tblStylePr&gt;
          &lt;w:tblStylePr w:type="neCell"&gt;
            &lt;w:rPr&gt;
              &lt;w:b /&gt;
              &lt;w:bCs /&gt;
            &lt;/w:rPr&gt;
            &lt;w:tblPr /&gt;
            &lt;w:tcPr&gt;
              &lt;w:tcBorders&gt;
                &lt;w:left w:val="none" w:sz="0" w:space="0" w:color="auto" /&gt;
                &lt;w:tl2br w:val="none" w:sz="0" w:space="0" w:color="auto" /&gt;
                &lt;w:tr2bl w:val="none" w:sz="0" w:space="0" w:color="auto" /&gt;
              &lt;/w:tcBorders&gt;
            &lt;/w:tcPr&gt;
          &lt;/w:tblStylePr&gt;
          &lt;w:tblStylePr w:type="swCell"&gt;
            &lt;w:rPr&gt;
              &lt;w:b /&gt;
              &lt;w:bCs /&gt;
            &lt;/w:rPr&gt;
            &lt;w:tblPr /&gt;
            &lt;w:tcPr&gt;
              &lt;w:tcBorders&gt;
                &lt;w:top w:val="none" w:sz="0" w:space="0" w:color="auto" /&gt;
                &lt;w:tl2br w:val="none" w:sz="0" w:space="0" w:color="auto" /&gt;
                &lt;w:tr2bl w:val="none" w:sz="0" w:space="0" w:color="auto" /&gt;
              &lt;/w:tcBorders&gt;
            &lt;/w:tcPr&gt;
          &lt;/w:tblStylePr&gt;
        &lt;/w:style&gt;
        &lt;w:style w:type="table" w:styleId="TableSimple3"&gt;
          &lt;w:name w:val="Table Simple 3" /&gt;
          &lt;w:basedOn w:val="TableNormal" /&gt;
          &lt;w:semiHidden /&gt;
          &lt;w:unhideWhenUsed /&gt;
          &lt;w:pPr&gt;
            &lt;w:spacing w:before="120" w:after="120" w:line="280" w:lineRule="atLeast" /&gt;
          &lt;/w:pPr&gt;
          &lt;w:tblPr&gt;
            &lt;w:tblBorders&gt;
              &lt;w:top w:val="single" w:sz="12" w:space="0" w:color="000000" /&gt;
              &lt;w:left w:val="single" w:sz="12" w:space="0" w:color="000000" /&gt;
              &lt;w:bottom w:val="single" w:sz="12" w:space="0" w:color="000000" /&gt;
              &lt;w:right w:val="single" w:sz="12" w:space="0" w:color="000000" /&gt;
            &lt;/w:tblBorders&gt;
          &lt;/w:tblPr&gt;
          &lt;w:tcPr&gt;
            &lt;w:shd w:val="clear" w:color="auto" w:fill="auto" /&gt;
          &lt;/w:tcPr&gt;
          &lt;w:tblStylePr w:type="firstRow"&gt;
            &lt;w:rPr&gt;
              &lt;w:b /&gt;
              &lt;w:bCs /&gt;
              &lt;w:color w:val="FFFFFF" /&gt;
            &lt;/w:rPr&gt;
            &lt;w:tblPr /&gt;
            &lt;w:tcPr&gt;
              &lt;w:tcBorders&gt;
                &lt;w:tl2br w:val="none" w:sz="0" w:space="0" w:color="auto" /&gt;
                &lt;w:tr2bl w:val="none" w:sz="0" w:space="0" w:color="auto" /&gt;
              &lt;/w:tcBorders&gt;
              &lt;w:shd w:val="solid" w:color="000000" w:fill="FFFFFF" /&gt;
            &lt;/w:tcPr&gt;
          &lt;/w:tblStylePr&gt;
        &lt;/w:style&gt;
        &lt;w:style w:type="table" w:styleId="TableSubtle1"&gt;
          &lt;w:name w:val="Table Subtle 1" /&gt;
          &lt;w:basedOn w:val="TableNormal" /&gt;
          &lt;w:semiHidden /&gt;
          &lt;w:unhideWhenUsed /&gt;
          &lt;w:pPr&gt;
            &lt;w:spacing w:before="120" w:after="120" w:line="280" w:lineRule="atLeast" /&gt;
          &lt;/w:pPr&gt;
          &lt;w:tblPr&gt;
            &lt;w:tblStyleRowBandSize w:val="1" /&gt;
          &lt;/w:tblPr&gt;
          &lt;w:tblStylePr w:type="firstRow"&gt;
            &lt;w:tblPr /&gt;
            &lt;w:tcPr&gt;
              &lt;w:tcBorders&gt;
                &lt;w:top w:val="single" w:sz="6" w:space="0" w:color="000000" /&gt;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&lt;w:shd w:val="pct25" w:color="800080" w:fill="FFFFFF" /&gt;
            &lt;/w:tcPr&gt;
          &lt;/w:tblStylePr&gt;
          &lt;w:tblStylePr w:type="firstCol"&gt;
            &lt;w:tblPr /&gt;
            &lt;w:tcPr&gt;
              &lt;w:tcBorders&gt;
                &lt;w:right w:val="single" w:sz="12" w:space="0" w:color="000000" /&gt;
                &lt;w:tl2br w:val="none" w:sz="0" w:space="0" w:color="auto" /&gt;
                &lt;w:tr2bl w:val="none" w:sz="0" w:space="0" w:color="auto" /&gt;
              &lt;/w:tcBorders&gt;
            &lt;/w:tcPr&gt;
          &lt;/w:tblStylePr&gt;
          &lt;w:tblStylePr w:type="lastCol"&gt;
            &lt;w:tblPr /&gt;
            &lt;w:tcPr&gt;
              &lt;w:tcBorders&gt;
                &lt;w:left w:val="single" w:sz="12" w:space="0" w:color="000000" /&gt;
                &lt;w:tl2br w:val="none" w:sz="0" w:space="0" w:color="auto" /&gt;
                &lt;w:tr2bl w:val="none" w:sz="0" w:space="0" w:color="auto" /&gt;
              &lt;/w:tcBorders&gt;
            &lt;/w:tcPr&gt;
          &lt;/w:tblStylePr&gt;
          &lt;w:tblStylePr w:type="band1Horz"&gt;
            &lt;w:tblPr /&gt;
            &lt;w:tcPr&gt;
              &lt;w:tcBorders&gt;
                &lt;w:bottom w:val="single" w:sz="6"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w:styleId="TableSubtle2"&gt;
          &lt;w:name w:val="Table Subtle 2" /&gt;
          &lt;w:basedOn w:val="TableNormal" /&gt;
          &lt;w:semiHidden /&gt;
          &lt;w:unhideWhenUsed /&gt;
          &lt;w:pPr&gt;
            &lt;w:spacing w:before="120" w:after="120" w:line="280" w:lineRule="atLeast" /&gt;
          &lt;/w:pPr&gt;
          &lt;w:tblPr&gt;
            &lt;w:tblBorders&gt;
              &lt;w:left w:val="single" w:sz="6" w:space="0" w:color="000000" /&gt;
              &lt;w:right w:val="single" w:sz="6" w:space="0" w:color="000000" /&gt;
            &lt;/w:tblBorders&gt;
          &lt;/w:tblPr&gt;
          &lt;w:tblStylePr w:type="firstRow"&gt;
            &lt;w:tblPr /&gt;
            &lt;w:tcPr&gt;
              &lt;w:tcBorders&gt;
                &lt;w:bottom w:val="single" w:sz="12" w:space="0" w:color="000000" /&gt;
                &lt;w:tl2br w:val="none" w:sz="0" w:space="0" w:color="auto" /&gt;
                &lt;w:tr2bl w:val="none" w:sz="0" w:space="0" w:color="auto" /&gt;
              &lt;/w:tcBorders&gt;
            &lt;/w:tcPr&gt;
          &lt;/w:tblStylePr&gt;
          &lt;w:tblStylePr w:type="lastRow"&gt;
            &lt;w:tblPr /&gt;
            &lt;w:tcPr&gt;
              &lt;w:tcBorders&gt;
                &lt;w:top w:val="single" w:sz="12" w:space="0" w:color="000000" /&gt;
                &lt;w:tl2br w:val="none" w:sz="0" w:space="0" w:color="auto" /&gt;
                &lt;w:tr2bl w:val="none" w:sz="0" w:space="0" w:color="auto" /&gt;
              &lt;/w:tcBorders&gt;
            &lt;/w:tcPr&gt;
          &lt;/w:tblStylePr&gt;
          &lt;w:tblStylePr w:type="firstCol"&gt;
            &lt;w:tblPr /&gt;
            &lt;w:tcPr&gt;
              &lt;w:tcBorders&gt;
                &lt;w:right w:val="single" w:sz="12" w:space="0" w:color="000000" /&gt;
                &lt;w:tl2br w:val="none" w:sz="0" w:space="0" w:color="auto" /&gt;
                &lt;w:tr2bl w:val="none" w:sz="0" w:space="0" w:color="auto" /&gt;
              &lt;/w:tcBorders&gt;
              &lt;w:shd w:val="pct25" w:color="008000" w:fill="FFFFFF" /&gt;
            &lt;/w:tcPr&gt;
          &lt;/w:tblStylePr&gt;
          &lt;w:tblStylePr w:type="lastCol"&gt;
            &lt;w:tblPr /&gt;
            &lt;w:tcPr&gt;
              &lt;w:tcBorders&gt;
                &lt;w:left w:val="single" w:sz="12" w:space="0" w:color="000000" /&gt;
                &lt;w:tl2br w:val="none" w:sz="0" w:space="0" w:color="auto" /&gt;
                &lt;w:tr2bl w:val="none" w:sz="0" w:space="0" w:color="auto" /&gt;
              &lt;/w:tcBorders&gt;
              &lt;w:shd w:val="pct25" w:color="808000" w:fill="FFFFFF" /&gt;
            &lt;/w:tcPr&gt;
          &lt;/w:tblStylePr&gt;
          &lt;w:tblStylePr w:type="neCell"&gt;
            &lt;w:rPr&gt;
              &lt;w:b /&gt;
              &lt;w:bCs /&gt;
            &lt;/w:rPr&gt;
            &lt;w:tblPr /&gt;
            &lt;w:tcPr&gt;
              &lt;w:tcBorders&gt;
                &lt;w:tl2br w:val="none" w:sz="0" w:space="0" w:color="auto" /&gt;
                &lt;w:tr2bl w:val="none" w:sz="0" w:space="0" w:color="auto" /&gt;
              &lt;/w:tcBorders&gt;
            &lt;/w:tcPr&gt;
          &lt;/w:tblStylePr&gt;
          &lt;w:tblStylePr w:type="swCell"&gt;
            &lt;w:rPr&gt;
              &lt;w:b /&gt;
              &lt;w:bCs /&gt;
            &lt;/w:rPr&gt;
            &lt;w:tblPr /&gt;
            &lt;w:tcPr&gt;
              &lt;w:tcBorders&gt;
                &lt;w:tl2br w:val="none" w:sz="0" w:space="0" w:color="auto" /&gt;
                &lt;w:tr2bl w:val="none" w:sz="0" w:space="0" w:color="auto" /&gt;
              &lt;/w:tcBorders&gt;
            &lt;/w:tcPr&gt;
          &lt;/w:tblStylePr&gt;
        &lt;/w:style&gt;
        &lt;w:style w:type="table" w:styleId="TableTheme"&gt;
          &lt;w:name w:val="Table Theme" /&gt;
          &lt;w:basedOn w:val="TableNormal" /&gt;
          &lt;w:semiHidden /&gt;
          &lt;w:unhideWhenUsed /&gt;
          &lt;w:pPr&gt;
            &lt;w:spacing w:before="120" w:after="120" w:line="280" w:lineRule="atLeast" /&gt;
          &lt;/w:pPr&gt;
          &lt;w:tblPr&gt;
            &lt;w:tblBorders&gt;
              &lt;w:top w:val="single" w:sz="4" w:space="0" w:color="auto" /&gt;
              &lt;w:left w:val="single" w:sz="4" w:space="0" w:color="auto" /&gt;
              &lt;w:bottom w:val="single" w:sz="4" w:space="0" w:color="auto" /&gt;
              &lt;w:right w:val="single" w:sz="4" w:space="0" w:color="auto" /&gt;
              &lt;w:insideH w:val="single" w:sz="4" w:space="0" w:color="auto" /&gt;
              &lt;w:insideV w:val="single" w:sz="4" w:space="0" w:color="auto" /&gt;
            &lt;/w:tblBorders&gt;
          &lt;/w:tblPr&gt;
        &lt;/w:style&gt;
        &lt;w:style w:type="table" w:styleId="TableWeb1"&gt;
          &lt;w:name w:val="Table Web 1" /&gt;
          &lt;w:basedOn w:val="TableNormal" /&gt;
          &lt;w:semiHidden /&gt;
          &lt;w:unhideWhenUsed /&gt;
          &lt;w:pPr&gt;
            &lt;w:spacing w:before="120" w:after="120" w:line="280" w:lineRule="atLeast" /&gt;
          &lt;/w:pPr&gt;
          &lt;w:tblPr&gt;
            &lt;w:tblCellSpacing w:w="20" w:type="dxa" /&gt;
            &lt;w:tblBorders&gt;
              &lt;w:top w:val="outset" w:sz="6" w:space="0" w:color="auto" /&gt;
              &lt;w:left w:val="outset" w:sz="6" w:space="0" w:color="auto" /&gt;
              &lt;w:bottom w:val="outset" w:sz="6" w:space="0" w:color="auto" /&gt;
              &lt;w:right w:val="outset" w:sz="6"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w:styleId="TableWeb2"&gt;
          &lt;w:name w:val="Table Web 2" /&gt;
          &lt;w:basedOn w:val="TableNormal" /&gt;
          &lt;w:semiHidden /&gt;
          &lt;w:unhideWhenUsed /&gt;
          &lt;w:pPr&gt;
            &lt;w:spacing w:before="120" w:after="120" w:line="280" w:lineRule="atLeast" /&gt;
          &lt;/w:pPr&gt;
          &lt;w:tblPr&gt;
            &lt;w:tblCellSpacing w:w="20" w:type="dxa" /&gt;
            &lt;w:tblBorders&gt;
              &lt;w:top w:val="inset" w:sz="6" w:space="0" w:color="auto" /&gt;
              &lt;w:left w:val="inset" w:sz="6" w:space="0" w:color="auto" /&gt;
              &lt;w:bottom w:val="inset" w:sz="6" w:space="0" w:color="auto" /&gt;
              &lt;w:right w:val="inset" w:sz="6" w:space="0" w:color="auto" /&gt;
              &lt;w:insideH w:val="inset" w:sz="6" w:space="0" w:color="auto" /&gt;
              &lt;w:insideV w:val="inset"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w:type="table" w:styleId="TableWeb3"&gt;
          &lt;w:name w:val="Table Web 3" /&gt;
          &lt;w:basedOn w:val="TableNormal" /&gt;
          &lt;w:semiHidden /&gt;
          &lt;w:unhideWhenUsed /&gt;
          &lt;w:pPr&gt;
            &lt;w:spacing w:before="120" w:after="120" w:line="280" w:lineRule="atLeast" /&gt;
          &lt;/w:pPr&gt;
          &lt;w:tblPr&gt;
            &lt;w:tblCellSpacing w:w="20" w:type="dxa" /&gt;
            &lt;w:tblBorders&gt;
              &lt;w:top w:val="outset" w:sz="24" w:space="0" w:color="auto" /&gt;
              &lt;w:left w:val="outset" w:sz="24" w:space="0" w:color="auto" /&gt;
              &lt;w:bottom w:val="outset" w:sz="24" w:space="0" w:color="auto" /&gt;
              &lt;w:right w:val="outset" w:sz="24" w:space="0" w:color="auto" /&gt;
              &lt;w:insideH w:val="outset" w:sz="6" w:space="0" w:color="auto" /&gt;
              &lt;w:insideV w:val="outset" w:sz="6" w:space="0" w:color="auto" /&gt;
            &lt;/w:tblBorders&gt;
          &lt;/w:tblPr&gt;
          &lt;w:trPr&gt;
            &lt;w:tblCellSpacing w:w="20" w:type="dxa" /&gt;
          &lt;/w:trPr&gt;
          &lt;w:tcPr&gt;
            &lt;w:shd w:val="clear" w:color="auto" w:fill="auto" /&gt;
          &lt;/w:tcPr&gt;
          &lt;w:tblStylePr w:type="firstRow"&gt;
            &lt;w:rPr&gt;
              &lt;w:color w:val="auto" /&gt;
            &lt;/w:rPr&gt;
            &lt;w:tblPr /&gt;
            &lt;w:tcPr&gt;
              &lt;w:tcBorders&gt;
                &lt;w:tl2br w:val="none" w:sz="0" w:space="0" w:color="auto" /&gt;
                &lt;w:tr2bl w:val="none" w:sz="0" w:space="0" w:color="auto" /&gt;
              &lt;/w:tcBorders&gt;
            &lt;/w:tcPr&gt;
          &lt;/w:tblStylePr&gt;
        &lt;/w:style&gt;
        &lt;w:style w:type="paragraph" w:styleId="TOAHeading"&gt;
          &lt;w:name w:val="toa heading" /&gt;
          &lt;w:basedOn w:val="Normal" /&gt;
          &lt;w:next w:val="Normal" /&gt;
          &lt;w:semiHidden /&gt;
          &lt;w:unhideWhenUsed /&gt;
          &lt;w:rPr&gt;
            &lt;w:rFonts w:asciiTheme="majorHAnsi" w:eastAsiaTheme="majorEastAsia" w:hAnsiTheme="majorHAnsi" w:cstheme="majorBidi" /&gt;
            &lt;w:b /&gt;
            &lt;w:bCs /&gt;
            &lt;w:szCs w:val="24" /&gt;
          &lt;/w:rPr&gt;
        &lt;/w:style&gt;
        &lt;w:style w:type="paragraph" w:customStyle="1" w:styleId="Text"&gt;
          &lt;w:name w:val="Text" /&gt;
          &lt;w:basedOn w:val="Normal" /&gt;
          &lt;w:link w:val="TextChar" /&gt;
          &lt;w:pPr&gt;
            &lt;w:spacing w:before="0" w:after="240" w:line="300" w:lineRule="auto" /&gt;
          &lt;/w:pPr&gt;
          &lt;w:rPr&gt;
            &lt;w:rFonts w:eastAsia="Times New Roman" w:cs="Times New Roman" /&gt;
            &lt;w:kern w:val="24" /&gt;
            &lt;w:szCs w:val="24" /&gt;
            &lt;w:lang w:eastAsia="ja-JP" /&gt;
          &lt;/w:rPr&gt;
        &lt;/w:style&gt;
        &lt;w:style w:type="character" w:customStyle="1" w:styleId="TextChar"&gt;
          &lt;w:name w:val="Text Char" /&gt;
          &lt;w:link w:val="Text" /&gt;
          &lt;w:rPr&gt;
            &lt;w:rFonts w:eastAsia="Times New Roman" /&gt;
            &lt;w:kern w:val="24" /&gt;
            &lt;w:sz w:val="24" /&gt;
            &lt;w:szCs w:val="24" /&gt;
            &lt;w:lang w:eastAsia="ja-JP" /&gt;
          &lt;/w:rPr&gt;
        &lt;/w:style&gt;
        &lt;w:style w:type="paragraph" w:customStyle="1" w:styleId="TableHeadings"&gt;
          &lt;w:name w:val="Table Headings" /&gt;
          &lt;w:basedOn w:val="Text" /&gt;
          &lt;w:pPr&gt;
            &lt;w:keepNext /&gt;
            &lt;w:spacing w:before="40" w:after="40" w:line="240" w:lineRule="auto" /&gt;
            &lt;w:jc w:val="center" /&gt;
          &lt;/w:pPr&gt;
          &lt;w:rPr&gt;
            &lt;w:b /&gt;
          &lt;/w:rPr&gt;
        &lt;/w:style&gt;
        &lt;w:style w:type="character" w:customStyle="1" w:styleId="ListParagraphChar"&gt;
          &lt;w:name w:val="List Paragraph Char" /&gt;
          &lt;w:basedOn w:val="DefaultParagraphFont" /&gt;
          &lt;w:link w:val="ListParagraph" /&gt;
          &lt;w:uiPriority w:val="34" /&gt;
          &lt;w:locked /&gt;
          &lt;w:rPr&gt;
            &lt;w:rFonts w:eastAsia="Times New Roman" /&gt;
            &lt;w:sz w:val="24" /&gt;
            &lt;w:szCs w:val="24" /&gt;
          &lt;/w:rPr&gt;
        &lt;/w:style&gt;
      &lt;/w:styles&gt;
    &lt;/pkg:xmlData&gt;
  &lt;/pkg:part&gt;
  &lt;pkg:part pkg:name="/word/numbering.xml" pkg:contentType="application/vnd.openxmlformats-officedocument.wordprocessingml.numbering+xml"&gt;
    &lt;pkg:xmlData&gt;
      &lt;w:numbering mc:Ignorable="w14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xmlns:wps="http://schemas.microsoft.com/office/word/2010/wordprocessingShape"&gt;
        &lt;w:abstractNum w:abstractNumId="0"&gt;
          &lt;w:nsid w:val="FFFFFF7C" /&gt;
          &lt;w:multiLevelType w:val="singleLevel" /&gt;
          &lt;w:tmpl w:val="099CEC46" /&gt;
          &lt;w:lvl w:ilvl="0"&gt;
            &lt;w:start w:val="1" /&gt;
            &lt;w:numFmt w:val="decimal" /&gt;
            &lt;w:pStyle w:val="ListNumber5" /&gt;
            &lt;w:lvlText w:val="%1." /&gt;
            &lt;w:lvlJc w:val="left" /&gt;
            &lt;w:pPr&gt;
              &lt;w:tabs&gt;
                &lt;w:tab w:val="num" w:pos="1800" /&gt;
              &lt;/w:tabs&gt;
              &lt;w:ind w:left="1800" w:hanging="360" /&gt;
            &lt;/w:pPr&gt;
          &lt;/w:lvl&gt;
        &lt;/w:abstractNum&gt;
        &lt;w:abstractNum w:abstractNumId="1"&gt;
          &lt;w:nsid w:val="FFFFFF7D" /&gt;
          &lt;w:multiLevelType w:val="singleLevel" /&gt;
          &lt;w:tmpl w:val="01FA2F5A" /&gt;
          &lt;w:lvl w:ilvl="0"&gt;
            &lt;w:start w:val="1" /&gt;
            &lt;w:numFmt w:val="decimal" /&gt;
            &lt;w:pStyle w:val="ListNumber4" /&gt;
            &lt;w:lvlText w:val="%1." /&gt;
            &lt;w:lvlJc w:val="left" /&gt;
            &lt;w:pPr&gt;
              &lt;w:tabs&gt;
                &lt;w:tab w:val="num" w:pos="1440" /&gt;
              &lt;/w:tabs&gt;
              &lt;w:ind w:left="1440" w:hanging="360" /&gt;
            &lt;/w:pPr&gt;
          &lt;/w:lvl&gt;
        &lt;/w:abstractNum&gt;
        &lt;w:abstractNum w:abstractNumId="2"&gt;
          &lt;w:nsid w:val="FFFFFF7E" /&gt;
          &lt;w:multiLevelType w:val="singleLevel" /&gt;
          &lt;w:tmpl w:val="36AE0290" /&gt;
          &lt;w:lvl w:ilvl="0"&gt;
            &lt;w:start w:val="1" /&gt;
            &lt;w:numFmt w:val="decimal" /&gt;
            &lt;w:pStyle w:val="ListNumber3" /&gt;
            &lt;w:lvlText w:val="%1." /&gt;
            &lt;w:lvlJc w:val="left" /&gt;
            &lt;w:pPr&gt;
              &lt;w:tabs&gt;
                &lt;w:tab w:val="num" w:pos="1080" /&gt;
              &lt;/w:tabs&gt;
              &lt;w:ind w:left="1080" w:hanging="360" /&gt;
            &lt;/w:pPr&gt;
          &lt;/w:lvl&gt;
        &lt;/w:abstractNum&gt;
        &lt;w:abstractNum w:abstractNumId="3"&gt;
          &lt;w:nsid w:val="FFFFFF7F" /&gt;
          &lt;w:multiLevelType w:val="singleLevel" /&gt;
          &lt;w:tmpl w:val="AE94ECAE" /&gt;
          &lt;w:lvl w:ilvl="0"&gt;
            &lt;w:start w:val="1" /&gt;
            &lt;w:numFmt w:val="decimal" /&gt;
            &lt;w:pStyle w:val="ListNumber2" /&gt;
            &lt;w:lvlText w:val="%1." /&gt;
            &lt;w:lvlJc w:val="left" /&gt;
            &lt;w:pPr&gt;
              &lt;w:tabs&gt;
                &lt;w:tab w:val="num" w:pos="720" /&gt;
              &lt;/w:tabs&gt;
              &lt;w:ind w:left="720" w:hanging="360" /&gt;
            &lt;/w:pPr&gt;
          &lt;/w:lvl&gt;
        &lt;/w:abstractNum&gt;
        &lt;w:abstractNum w:abstractNumId="4"&gt;
          &lt;w:nsid w:val="FFFFFF80" /&gt;
          &lt;w:multiLevelType w:val="singleLevel" /&gt;
          &lt;w:tmpl w:val="CED67F02" /&gt;
          &lt;w:lvl w:ilvl="0"&gt;
            &lt;w:start w:val="1" /&gt;
            &lt;w:numFmt w:val="bullet" /&gt;
            &lt;w:pStyle w:val="ListBullet5" /&gt;
            &lt;w:lvlText w:val="" /&gt;
            &lt;w:lvlJc w:val="left" /&gt;
            &lt;w:pPr&gt;
              &lt;w:tabs&gt;
                &lt;w:tab w:val="num" w:pos="1800" /&gt;
              &lt;/w:tabs&gt;
              &lt;w:ind w:left="1800" w:hanging="360" /&gt;
            &lt;/w:pPr&gt;
            &lt;w:rPr&gt;
              &lt;w:rFonts w:ascii="Symbol" w:hAnsi="Symbol" w:hint="default" /&gt;
            &lt;/w:rPr&gt;
          &lt;/w:lvl&gt;
        &lt;/w:abstractNum&gt;
        &lt;w:abstractNum w:abstractNumId="5"&gt;
          &lt;w:nsid w:val="FFFFFF81" /&gt;
          &lt;w:multiLevelType w:val="singleLevel" /&gt;
          &lt;w:tmpl w:val="D4C2BE8E" /&gt;
          &lt;w:lvl w:ilvl="0"&gt;
            &lt;w:start w:val="1" /&gt;
            &lt;w:numFmt w:val="bullet" /&gt;
            &lt;w:pStyle w:val="ListBullet4" /&gt;
            &lt;w:lvlText w:val="" /&gt;
            &lt;w:lvlJc w:val="left" /&gt;
            &lt;w:pPr&gt;
              &lt;w:tabs&gt;
                &lt;w:tab w:val="num" w:pos="1440" /&gt;
              &lt;/w:tabs&gt;
              &lt;w:ind w:left="1440" w:hanging="360" /&gt;
            &lt;/w:pPr&gt;
            &lt;w:rPr&gt;
              &lt;w:rFonts w:ascii="Symbol" w:hAnsi="Symbol" w:hint="default" /&gt;
            &lt;/w:rPr&gt;
          &lt;/w:lvl&gt;
        &lt;/w:abstractNum&gt;
        &lt;w:abstractNum w:abstractNumId="6"&gt;
          &lt;w:nsid w:val="FFFFFF82" /&gt;
          &lt;w:multiLevelType w:val="singleLevel" /&gt;
          &lt;w:tmpl w:val="EDFA492A" /&gt;
          &lt;w:lvl w:ilvl="0"&gt;
            &lt;w:start w:val="1" /&gt;
            &lt;w:numFmt w:val="bullet" /&gt;
            &lt;w:pStyle w:val="ListBullet3" /&gt;
            &lt;w:lvlText w:val="" /&gt;
            &lt;w:lvlJc w:val="left" /&gt;
            &lt;w:pPr&gt;
              &lt;w:tabs&gt;
                &lt;w:tab w:val="num" w:pos="1080" /&gt;
              &lt;/w:tabs&gt;
              &lt;w:ind w:left="1080" w:hanging="360" /&gt;
            &lt;/w:pPr&gt;
            &lt;w:rPr&gt;
              &lt;w:rFonts w:ascii="Symbol" w:hAnsi="Symbol" w:hint="default" /&gt;
            &lt;/w:rPr&gt;
          &lt;/w:lvl&gt;
        &lt;/w:abstractNum&gt;
        &lt;w:abstractNum w:abstractNumId="7"&gt;
          &lt;w:nsid w:val="FFFFFF83" /&gt;
          &lt;w:multiLevelType w:val="singleLevel" /&gt;
          &lt;w:tmpl w:val="F57E6798" /&gt;
          &lt;w:lvl w:ilvl="0"&gt;
            &lt;w:start w:val="1" /&gt;
            &lt;w:numFmt w:val="bullet" /&gt;
            &lt;w:pStyle w:val="ListBullet2" /&gt;
            &lt;w:lvlText w:val="" /&gt;
            &lt;w:lvlJc w:val="left" /&gt;
            &lt;w:pPr&gt;
              &lt;w:tabs&gt;
                &lt;w:tab w:val="num" w:pos="720" /&gt;
              &lt;/w:tabs&gt;
              &lt;w:ind w:left="720" w:hanging="360" /&gt;
            &lt;/w:pPr&gt;
            &lt;w:rPr&gt;
              &lt;w:rFonts w:ascii="Symbol" w:hAnsi="Symbol" w:hint="default" /&gt;
            &lt;/w:rPr&gt;
          &lt;/w:lvl&gt;
        &lt;/w:abstractNum&gt;
        &lt;w:abstractNum w:abstractNumId="8"&gt;
          &lt;w:nsid w:val="FFFFFF88" /&gt;
          &lt;w:multiLevelType w:val="singleLevel" /&gt;
          &lt;w:tmpl w:val="C4A0C6A2" /&gt;
          &lt;w:lvl w:ilvl="0"&gt;
            &lt;w:start w:val="1" /&gt;
            &lt;w:numFmt w:val="decimal" /&gt;
            &lt;w:lvlText w:val="%1." /&gt;
            &lt;w:lvlJc w:val="left" /&gt;
            &lt;w:pPr&gt;
              &lt;w:tabs&gt;
                &lt;w:tab w:val="num" w:pos="360" /&gt;
              &lt;/w:tabs&gt;
              &lt;w:ind w:left="360" w:hanging="360" /&gt;
            &lt;/w:pPr&gt;
          &lt;/w:lvl&gt;
        &lt;/w:abstractNum&gt;
        &lt;w:abstractNum w:abstractNumId="9"&gt;
          &lt;w:nsid w:val="00B24F4A" /&gt;
          &lt;w:multiLevelType w:val="multilevel" /&gt;
          &lt;w:tmpl w:val="E49CC518" /&gt;
          &lt;w:lvl w:ilvl="0"&gt;
            &lt;w:start w:val="1" /&gt;
            &lt;w:numFmt w:val="decimal" /&gt;
            &lt;w:lvlText w:val="%1." /&gt;
            &lt;w:lvlJc w:val="left" /&gt;
            &lt;w:pPr&gt;
              &lt;w:ind w:left="3338" w:hanging="360" /&gt;
            &lt;/w:pPr&gt;
            &lt;w:rPr&gt;
              &lt;w:rFonts w:ascii="Times New Roman" w:hAnsi="Times New Roman" w:hint="default" /&gt;
              &lt;w:b /&gt;
              &lt;w:i w:val="0" /&gt;
              &lt;w:caps w:val="0" /&gt;
              &lt;w:strike w:val="0" /&gt;
              &lt;w:dstrike w:val="0" /&gt;
              &lt;w:snapToGrid w:val="0" /&gt;
              &lt;w:vanish w:val="0" /&gt;
              &lt;w:color w:val="auto" /&gt;
              &lt;w:spacing w:val="0" /&gt;
              &lt;w:w w:val="100" /&gt;
              &lt;w:kern w:val="0" /&gt;
              &lt;w:position w:val="0" /&gt;
              &lt;w:sz w:val="32" /&gt;
              &lt;w:u w:val="none" /&gt;
              &lt;w:vertAlign w:val="baseline" /&gt;
            &lt;/w:rPr&gt;
          &lt;/w:lvl&gt;
          &lt;w:lvl w:ilvl="1"&gt;
            &lt;w:start w:val="1" /&gt;
            &lt;w:numFmt w:val="decimal" /&gt;
            &lt;w:lvlText w:val="%1.%2." /&gt;
            &lt;w:lvlJc w:val="left" /&gt;
            &lt;w:pPr&gt;
              &lt;w:tabs&gt;
                &lt;w:tab w:val="num" w:pos="720" /&gt;
              &lt;/w:tabs&gt;
              &lt;w:ind w:left="720" w:hanging="720"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&lt;w:effect w:val="none" /&gt;
              &lt;w:vertAlign w:val="baseline" /&gt;
            &lt;/w:rPr&gt;
          &lt;/w:lvl&gt;
          &lt;w:lvl w:ilvl="2"&gt;
            &lt;w:start w:val="1" /&gt;
            &lt;w:numFmt w:val="decimal" /&gt;
            &lt;w:lvlText w:val="%1.%2.%3." /&gt;
            &lt;w:lvlJc w:val="left" /&gt;
            &lt;w:pPr&gt;
              &lt;w:tabs&gt;
                &lt;w:tab w:val="num" w:pos="3738" /&gt;
              &lt;/w:tabs&gt;
              &lt;w:ind w:left="3738" w:hanging="902"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w:val="28" /&gt;
              &lt;w:u w:val="none" /&gt;
              &lt;w:vertAlign w:val="baseline" /&gt;
            &lt;/w:rPr&gt;
          &lt;/w:lvl&gt;
          &lt;w:lvl w:ilvl="3"&gt;
            &lt;w:start w:val="1" /&gt;
            &lt;w:numFmt w:val="decimal" /&gt;
            &lt;w:lvlText w:val="%1.%2.%3.%4." /&gt;
            &lt;w:lvlJc w:val="left" /&gt;
            &lt;w:pPr&gt;
              &lt;w:tabs&gt;
                &lt;w:tab w:val="num" w:pos="1009" /&gt;
              &lt;/w:tabs&gt;
              &lt;w:ind w:left="1009" w:hanging="1009"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w:ilvl="4"&gt;
            &lt;w:start w:val="1" /&gt;
            &lt;w:numFmt w:val="decimal" /&gt;
            &lt;w:lvlText w:val="%1.%2.%3.%4.%5." /&gt;
            &lt;w:lvlJc w:val="left" /&gt;
            &lt;w:pPr&gt;
              &lt;w:tabs&gt;
                &lt;w:tab w:val="num" w:pos="1168" /&gt;
              &lt;/w:tabs&gt;
              &lt;w:ind w:left="1168" w:hanging="1168"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w:val="24" /&gt;
              &lt;w:u w:val="none" /&gt;
              &lt;w:vertAlign w:val="baseline" /&gt;
            &lt;/w:rPr&gt;
          &lt;/w:lvl&gt;
          &lt;w:lvl w:ilvl="5"&gt;
            &lt;w:start w:val="1" /&gt;
            &lt;w:numFmt w:val="decimal" /&gt;
            &lt;w:lvlText w:val="%1.%2.%3.%4.%5.%6." /&gt;
            &lt;w:lvlJc w:val="left" /&gt;
            &lt;w:pPr&gt;
              &lt;w:tabs&gt;
                &lt;w:tab w:val="num" w:pos="1355" /&gt;
              &lt;/w:tabs&gt;
              &lt;w:ind w:left="1355" w:hanging="1355"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w:ilvl="6"&gt;
            &lt;w:start w:val="1" /&gt;
            &lt;w:numFmt w:val="decimal" /&gt;
            &lt;w:pStyle w:val="Heading7" /&gt;
            &lt;w:lvlText w:val="%1.%2.%3.%4.%5.%6.%7." /&gt;
            &lt;w:lvlJc w:val="left" /&gt;
            &lt;w:pPr&gt;
              &lt;w:tabs&gt;
                &lt;w:tab w:val="num" w:pos="1531" /&gt;
              &lt;/w:tabs&gt;
              &lt;w:ind w:left="1531" w:hanging="1531"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w:val="22" /&gt;
              &lt;w:u w:val="none" /&gt;
              &lt;w:vertAlign w:val="baseline" /&gt;
            &lt;/w:rPr&gt;
          &lt;/w:lvl&gt;
          &lt;w:lvl w:ilvl="7"&gt;
            &lt;w:start w:val="1" /&gt;
            &lt;w:numFmt w:val="decimal" /&gt;
            &lt;w:pStyle w:val="Heading8" /&gt;
            &lt;w:lvlText w:val="%1.%2.%3.%4.%5.%6.%7.%8." /&gt;
            &lt;w:lvlJc w:val="left" /&gt;
            &lt;w:pPr&gt;
              &lt;w:tabs&gt;
                &lt;w:tab w:val="num" w:pos="1758" /&gt;
              &lt;/w:tabs&gt;
              &lt;w:ind w:left="1758" w:hanging="1758" /&gt;
            &lt;/w:pPr&gt;
            &lt;w:rPr&gt;
              &lt;w:rFonts w:ascii="Arial" w:eastAsia="MS Gothic" w:hAnsi="Arial" w:cs="Times New Roman" w:hint="default" /&gt;
              &lt;w:b /&gt;
              &lt;w:i w:val="0"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&lt;w:lvl w:ilvl="8"&gt;
            &lt;w:start w:val="1" /&gt;
            &lt;w:numFmt w:val="decimal" /&gt;
            &lt;w:pStyle w:val="Heading9" /&gt;
            &lt;w:lvlText w:val="%1.%2.%3.%4.%5.%6.%7.%8.%9." /&gt;
            &lt;w:lvlJc w:val="left" /&gt;
            &lt;w:pPr&gt;
              &lt;w:tabs&gt;
                &lt;w:tab w:val="num" w:pos="1985" /&gt;
              &lt;/w:tabs&gt;
              &lt;w:ind w:left="1985" w:hanging="1985" /&gt;
            &lt;/w:pPr&gt;
            &lt;w:rPr&gt;
              &lt;w:rFonts w:ascii="Arial" w:eastAsia="MS Gothic" w:hAnsi="Arial" w:cs="Times New Roman" w:hint="default" /&gt;
              &lt;w:b /&gt;
              &lt;w:i /&gt;
              &lt;w:caps w:val="0" /&gt;
              &lt;w:strike w:val="0" /&gt;
              &lt;w:dstrike w:val="0" /&gt;
              &lt;w:snapToGrid w:val="0" /&gt;
              &lt;w:vanish w:val="0" /&gt;
              &lt;w:color w:val="auto" /&gt;
              &lt;w:spacing w:val="0" /&gt;
              &lt;w:w w:val="100" /&gt;
              &lt;w:kern w:val="0" /&gt;
              &lt;w:position w:val="0" /&gt;
              &lt;w:sz w:val="21" /&gt;
              &lt;w:u w:val="none" /&gt;
              &lt;w:vertAlign w:val="baseline" /&gt;
            &lt;/w:rPr&gt;
          &lt;/w:lvl&gt;
        &lt;/w:abstractNum&gt;
        &lt;w:abstractNum w:abstractNumId="10"&gt;
          &lt;w:nsid w:val="01043306" /&gt;
          &lt;w:multiLevelType w:val="multilevel" /&gt;
          &lt;w:tmpl w:val="41A85F48" /&gt;
          &lt;w:lvl w:ilvl="0"&gt;
            &lt;w:start w:val="1" /&gt;
            &lt;w:numFmt w:val="bullet" /&gt;
            &lt;w:lvlText w:val="" /&gt;
            &lt;w:lvlJc w:val="left" /&gt;
            &lt;w:pPr&gt;
              &lt;w:tabs&gt;
                &lt;w:tab w:val="num" w:pos="720" /&gt;
              &lt;/w:tabs&gt;
              &lt;w:ind w:left="720" w:hanging="360" /&gt;
            &lt;/w:pPr&gt;
            &lt;w:rPr&gt;
              &lt;w:rFonts w:ascii="Symbol" w:hAnsi="Symbol"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w:abstractNumId="11"&gt;
          &lt;w:nsid w:val="02BE53DE" /&gt;
          &lt;w:multiLevelType w:val="hybridMultilevel" /&gt;
          &lt;w:tmpl w:val="C848FB64" /&gt;
          &lt;w:lvl w:ilvl="0" w:tplc="BCC8ED2E"&gt;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w:abstractNumId="12"&gt;
          &lt;w:nsid w:val="07D6403F" /&gt;
          &lt;w:multiLevelType w:val="hybridMultilevel" /&gt;
          &lt;w:tmpl w:val="D4F8AF14" /&gt;
          &lt;w:lvl w:ilvl="0" w:tplc="97DAF9BC"&gt;
            &lt;w:start w:val="1" /&gt;
            &lt;w:numFmt w:val="bullet" /&gt;
            &lt;w:lvlText w:val="" /&gt;
            &lt;w:lvlJc w:val="left" /&gt;
            &lt;w:pPr&gt;
              &lt;w:ind w:left="720" w:hanging="360" /&gt;
            &lt;/w:pPr&gt;
            &lt;w:rPr&gt;
              &lt;w:rFonts w:ascii="Symbol" w:hAnsi="Symbol" w:hint="default" /&gt;
              &lt;w:color w:val="auto"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w:abstractNumId="13"&gt;
          &lt;w:nsid w:val="0B5267F0" /&gt;
          &lt;w:multiLevelType w:val="hybridMultilevel" /&gt;
          &lt;w:tmpl w:val="7992709C" /&gt;
          &lt;w:lvl w:ilvl="0" w:tplc="EAD0C812"&gt;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w:abstractNumId="14"&gt;
          &lt;w:nsid w:val="0DED7971" /&gt;
          &lt;w:multiLevelType w:val="hybridMultilevel" /&gt;
          &lt;w:tmpl w:val="93B2828E" /&gt;
          &lt;w:lvl w:ilvl="0" w:tplc="BC4AEF8E"&gt;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w:abstractNumId="15"&gt;
          &lt;w:nsid w:val="0EBA3226" /&gt;
          &lt;w:multiLevelType w:val="hybridMultilevel" /&gt;
          &lt;w:tmpl w:val="3F561DA0" /&gt;
          &lt;w:lvl w:ilvl="0" w:tplc="EDA6C29A"&gt;
            &lt;w:start w:val="6"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w:abstractNumId="16"&gt;
          &lt;w:nsid w:val="0F4E5AC4" /&gt;
          &lt;w:multiLevelType w:val="singleLevel" /&gt;
          &lt;w:tmpl w:val="62E445DA" /&gt;
          &lt;w:lvl w:ilvl="0"&gt;
            &lt;w:start w:val="1" /&gt;
            &lt;w:numFmt w:val="decimal" /&gt;
            &lt;w:lvlText w:val="%1." /&gt;
            &lt;w:lvlJc w:val="left" /&gt;
            &lt;w:pPr&gt;
              &lt;w:tabs&gt;
                &lt;w:tab w:val="num" w:pos="432" /&gt;
              &lt;/w:tabs&gt;
              &lt;w:ind w:left="432" w:hanging="432" /&gt;
            &lt;/w:pPr&gt;
            &lt;w:rPr&gt;
              &lt;w:rFonts w:hint="default" /&gt;
            &lt;/w:rPr&gt;
          &lt;/w:lvl&gt;
        &lt;/w:abstractNum&gt;
        &lt;w:abstractNum w:abstractNumId="17"&gt;
          &lt;w:nsid w:val="104F4ABA" /&gt;
          &lt;w:multiLevelType w:val="hybridMultilevel" /&gt;
          &lt;w:tmpl w:val="F152626E" /&gt;
          &lt;w:lvl w:ilvl="0" w:tplc="04090003"&gt;
            &lt;w:start w:val="1" /&gt;
            &lt;w:numFmt w:val="bullet" /&gt;
            &lt;w:lvlText w:val="o" /&gt;
            &lt;w:lvlJc w:val="left" /&gt;
            &lt;w:pPr&gt;
              &lt;w:ind w:left="1080" w:hanging="360" /&gt;
            &lt;/w:pPr&gt;
            &lt;w:rPr&gt;
              &lt;w:rFonts w:ascii="Courier New" w:hAnsi="Courier New" w:cs="Courier New"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w:abstractNumId="18"&gt;
          &lt;w:nsid w:val="13490AF4" /&gt;
          &lt;w:multiLevelType w:val="hybridMultilevel" /&gt;
          &lt;w:tmpl w:val="61DEFBCC" /&gt;
          &lt;w:lvl w:ilvl="0" w:tplc="77A6A24A"&gt;
            &lt;w:start w:val="1" /&gt;
            &lt;w:numFmt w:val="bullet" /&gt;
            &lt;w:lvlText w:val="" /&gt;
            &lt;w:lvlJc w:val="left" /&gt;
            &lt;w:pPr&gt;
              &lt;w:ind w:left="720" w:hanging="360" /&gt;
            &lt;/w:pPr&gt;
            &lt;w:rPr&gt;
              &lt;w:rFonts w:ascii="Symbol" w:hAnsi="Symbol" w:hint="default" /&gt;
              &lt;w:color w:val="auto"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w:abstractNumId="19"&gt;
          &lt;w:nsid w:val="13514FC7" /&gt;
          &lt;w:multiLevelType w:val="singleLevel" /&gt;
          &lt;w:tmpl w:val="1A9414BA" /&gt;
          &lt;w:lvl w:ilvl="0"&gt;
            &lt;w:start w:val="1" /&gt;
            &lt;w:numFmt w:val="lowerLetter" /&gt;
            &lt;w:pStyle w:val="listalpha" /&gt;
            &lt;w:lvlText w:val="%1." /&gt;
            &lt;w:lvlJc w:val="left" /&gt;
            &lt;w:pPr&gt;
              &lt;w:tabs&gt;
                &lt;w:tab w:val="num" w:pos="432" /&gt;
              &lt;/w:tabs&gt;
              &lt;w:ind w:left="432" w:hanging="432" /&gt;
            &lt;/w:pPr&gt;
            &lt;w:rPr&gt;
              &lt;w:rFonts w:ascii="Times New Roman" w:hAnsi="Times New Roman" w:cs="Times New Roman" w:hint="default" /&gt;
            &lt;/w:rPr&gt;
          &lt;/w:lvl&gt;
        &lt;/w:abstractNum&gt;
        &lt;w:abstractNum w:abstractNumId="20"&gt;
          &lt;w:nsid w:val="151C77D2" /&gt;
          &lt;w:multiLevelType w:val="hybridMultilevel" /&gt;
          &lt;w:tmpl w:val="10F87182" /&gt;
          &lt;w:lvl w:ilvl="0" w:tplc="04090001"&gt;
            &lt;w:start w:val="1" /&gt;
            &lt;w:numFmt w:val="bullet" /&gt;
            &lt;w:lvlText w:val="" /&gt;
            &lt;w:lvlJc w:val="left" /&gt;
            &lt;w:pPr&gt;
              &lt;w:ind w:left="1440" w:hanging="360" /&gt;
            &lt;/w:pPr&gt;
            &lt;w:rPr&gt;
              &lt;w:rFonts w:ascii="Symbol" w:hAnsi="Symbol" w:hint="default" /&gt;
            &lt;/w:rPr&gt;
          &lt;/w:lvl&gt;
          &lt;w:lvl w:ilvl="1" w:tplc="04090003" w:tentative="1"&gt;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w:abstractNumId="21"&gt;
          &lt;w:nsid w:val="153A0E1D"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w:abstractNumId="22"&gt;
          &lt;w:nsid w:val="16125948" /&gt;
          &lt;w:multiLevelType w:val="hybridMultilevel" /&gt;
          &lt;w:tmpl w:val="EE9A2992" /&gt;
          &lt;w:lvl w:ilvl="0" w:tplc="E346BA9A"&gt;
            &lt;w:start w:val="1" /&gt;
            &lt;w:numFmt w:val="bullet" /&gt;
            &lt;w:lvlText w:val="" /&gt;
            &lt;w:lvlJc w:val="left" /&gt;
            &lt;w:pPr&gt;
              &lt;w:ind w:left="1440" w:hanging="360" /&gt;
            &lt;/w:pPr&gt;
            &lt;w:rPr&gt;
              &lt;w:rFonts w:ascii="Symbol" w:hAnsi="Symbol" w:hint="default" /&gt;
              &lt;w:sz w:val="24"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w:abstractNumId="23"&gt;
          &lt;w:nsid w:val="1C082410" /&gt;
          &lt;w:multiLevelType w:val="hybridMultilevel" /&gt;
          &lt;w:tmpl w:val="D5F235DA"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w:abstractNumId="24"&gt;
          &lt;w:nsid w:val="1C3D7F2F" /&gt;
          &lt;w:multiLevelType w:val="hybridMultilevel" /&gt;
          &lt;w:tmpl w:val="269445F8"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w:abstractNumId="25"&gt;
          &lt;w:nsid w:val="1D4D390B" /&gt;
          &lt;w:multiLevelType w:val="hybridMultilevel" /&gt;
          &lt;w:tmpl w:val="253E2E92" /&gt;
          &lt;w:lvl w:ilvl="0" w:tplc="04090001"&gt;
            &lt;w:start w:val="1" /&gt;
            &lt;w:numFmt w:val="bullet" /&gt;
            &lt;w:lvlText w:val="" /&gt;
            &lt;w:lvlJc w:val="left" /&gt;
            &lt;w:pPr&gt;
              &lt;w:ind w:left="1080" w:hanging="360" /&gt;
            &lt;/w:pPr&gt;
            &lt;w:rPr&gt;
              &lt;w:rFonts w:ascii="Symbol" w:hAnsi="Symbol" w:hint="default" /&gt;
            &lt;/w:rPr&gt;
          &lt;/w:lvl&gt;
          &lt;w:lvl w:ilvl="1" w:tplc="04090003"&gt;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w:abstractNumId="26"&gt;
          &lt;w:nsid w:val="1E183F31" /&gt;
          &lt;w:multiLevelType w:val="hybridMultilevel" /&gt;
          &lt;w:tmpl w:val="A590F580" /&gt;
          &lt;w:lvl w:ilvl="0" w:tplc="04090001"&gt;
            &lt;w:start w:val="1" /&gt;
            &lt;w:numFmt w:val="bullet" /&gt;
            &lt;w:lvlText w:val="" /&gt;
            &lt;w:lvlJc w:val="left" /&gt;
            &lt;w:pPr&gt;
              &lt;w:ind w:left="2250"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w:abstractNumId="27"&gt;
          &lt;w:nsid w:val="1E4329B0" /&gt;
          &lt;w:multiLevelType w:val="hybridMultilevel" /&gt;
          &lt;w:tmpl w:val="1D78E608"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w:abstractNumId="28"&gt;
          &lt;w:nsid w:val="1EC94193" /&gt;
          &lt;w:multiLevelType w:val="hybridMultilevel" /&gt;
          &lt;w:tmpl w:val="DECCDEE4"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w:abstractNumId="29"&gt;
          &lt;w:nsid w:val="1FF81BC6" /&gt;
          &lt;w:multiLevelType w:val="hybridMultilevel" /&gt;
          &lt;w:tmpl w:val="B23AF288"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w:abstractNumId="30"&gt;
          &lt;w:nsid w:val="22206345" /&gt;
          &lt;w:multiLevelType w:val="hybridMultilevel" /&gt;
          &lt;w:tmpl w:val="1EC8693E"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w:abstractNumId="31"&gt;
          &lt;w:nsid w:val="252E197A" /&gt;
          &lt;w:multiLevelType w:val="hybridMultilevel" /&gt;
          &lt;w:tmpl w:val="0A5E13A0" /&gt;
          &lt;w:lvl w:ilvl="0" w:tplc="04090001"&gt;
            &lt;w:start w:val="1" /&gt;
            &lt;w:numFmt w:val="bullet" /&gt;
            &lt;w:lvlText w:val="" /&gt;
            &lt;w:lvlJc w:val="left" /&gt;
            &lt;w:pPr&gt;
              &lt;w:ind w:left="774" w:hanging="360" /&gt;
            &lt;/w:pPr&gt;
            &lt;w:rPr&gt;
              &lt;w:rFonts w:ascii="Symbol" w:hAnsi="Symbol" w:hint="default" /&gt;
            &lt;/w:rPr&gt;
          &lt;/w:lvl&gt;
          &lt;w:lvl w:ilvl="1" w:tplc="04090003" w:tentative="1"&gt;
            &lt;w:start w:val="1" /&gt;
            &lt;w:numFmt w:val="bullet" /&gt;
            &lt;w:lvlText w:val="o" /&gt;
            &lt;w:lvlJc w:val="left" /&gt;
            &lt;w:pPr&gt;
              &lt;w:ind w:left="1494" w:hanging="360" /&gt;
            &lt;/w:pPr&gt;
            &lt;w:rPr&gt;
              &lt;w:rFonts w:ascii="Courier New" w:hAnsi="Courier New" w:cs="Courier New" w:hint="default" /&gt;
            &lt;/w:rPr&gt;
          &lt;/w:lvl&gt;
          &lt;w:lvl w:ilvl="2" w:tplc="04090005" w:tentative="1"&gt;
            &lt;w:start w:val="1" /&gt;
            &lt;w:numFmt w:val="bullet" /&gt;
            &lt;w:lvlText w:val="" /&gt;
            &lt;w:lvlJc w:val="left" /&gt;
            &lt;w:pPr&gt;
              &lt;w:ind w:left="2214" w:hanging="360" /&gt;
            &lt;/w:pPr&gt;
            &lt;w:rPr&gt;
              &lt;w:rFonts w:ascii="Wingdings" w:hAnsi="Wingdings" w:hint="default" /&gt;
            &lt;/w:rPr&gt;
          &lt;/w:lvl&gt;
          &lt;w:lvl w:ilvl="3" w:tplc="04090001" w:tentative="1"&gt;
            &lt;w:start w:val="1" /&gt;
            &lt;w:numFmt w:val="bullet" /&gt;
            &lt;w:lvlText w:val="" /&gt;
            &lt;w:lvlJc w:val="left" /&gt;
            &lt;w:pPr&gt;
              &lt;w:ind w:left="2934" w:hanging="360" /&gt;
            &lt;/w:pPr&gt;
            &lt;w:rPr&gt;
              &lt;w:rFonts w:ascii="Symbol" w:hAnsi="Symbol" w:hint="default" /&gt;
            &lt;/w:rPr&gt;
          &lt;/w:lvl&gt;
          &lt;w:lvl w:ilvl="4" w:tplc="04090003" w:tentative="1"&gt;
            &lt;w:start w:val="1" /&gt;
            &lt;w:numFmt w:val="bullet" /&gt;
            &lt;w:lvlText w:val="o" /&gt;
            &lt;w:lvlJc w:val="left" /&gt;
            &lt;w:pPr&gt;
              &lt;w:ind w:left="3654" w:hanging="360" /&gt;
            &lt;/w:pPr&gt;
            &lt;w:rPr&gt;
              &lt;w:rFonts w:ascii="Courier New" w:hAnsi="Courier New" w:cs="Courier New" w:hint="default" /&gt;
            &lt;/w:rPr&gt;
          &lt;/w:lvl&gt;
          &lt;w:lvl w:ilvl="5" w:tplc="04090005" w:tentative="1"&gt;
            &lt;w:start w:val="1" /&gt;
            &lt;w:numFmt w:val="bullet" /&gt;
            &lt;w:lvlText w:val="" /&gt;
            &lt;w:lvlJc w:val="left" /&gt;
            &lt;w:pPr&gt;
              &lt;w:ind w:left="4374" w:hanging="360" /&gt;
            &lt;/w:pPr&gt;
            &lt;w:rPr&gt;
              &lt;w:rFonts w:ascii="Wingdings" w:hAnsi="Wingdings" w:hint="default" /&gt;
            &lt;/w:rPr&gt;
          &lt;/w:lvl&gt;
          &lt;w:lvl w:ilvl="6" w:tplc="04090001" w:tentative="1"&gt;
            &lt;w:start w:val="1" /&gt;
            &lt;w:numFmt w:val="bullet" /&gt;
            &lt;w:lvlText w:val="" /&gt;
            &lt;w:lvlJc w:val="left" /&gt;
            &lt;w:pPr&gt;
              &lt;w:ind w:left="5094" w:hanging="360" /&gt;
            &lt;/w:pPr&gt;
            &lt;w:rPr&gt;
              &lt;w:rFonts w:ascii="Symbol" w:hAnsi="Symbol" w:hint="default" /&gt;
            &lt;/w:rPr&gt;
          &lt;/w:lvl&gt;
          &lt;w:lvl w:ilvl="7" w:tplc="04090003" w:tentative="1"&gt;
            &lt;w:start w:val="1" /&gt;
            &lt;w:numFmt w:val="bullet" /&gt;
            &lt;w:lvlText w:val="o" /&gt;
            &lt;w:lvlJc w:val="left" /&gt;
            &lt;w:pPr&gt;
              &lt;w:ind w:left="5814" w:hanging="360" /&gt;
            &lt;/w:pPr&gt;
            &lt;w:rPr&gt;
              &lt;w:rFonts w:ascii="Courier New" w:hAnsi="Courier New" w:cs="Courier New" w:hint="default" /&gt;
            &lt;/w:rPr&gt;
          &lt;/w:lvl&gt;
          &lt;w:lvl w:ilvl="8" w:tplc="04090005" w:tentative="1"&gt;
            &lt;w:start w:val="1" /&gt;
            &lt;w:numFmt w:val="bullet" /&gt;
            &lt;w:lvlText w:val="" /&gt;
            &lt;w:lvlJc w:val="left" /&gt;
            &lt;w:pPr&gt;
              &lt;w:ind w:left="6534" w:hanging="360" /&gt;
            &lt;/w:pPr&gt;
            &lt;w:rPr&gt;
              &lt;w:rFonts w:ascii="Wingdings" w:hAnsi="Wingdings" w:hint="default" /&gt;
            &lt;/w:rPr&gt;
          &lt;/w:lvl&gt;
        &lt;/w:abstractNum&gt;
        &lt;w:abstractNum w:abstractNumId="32"&gt;
          &lt;w:nsid w:val="2ADC020B" /&gt;
          &lt;w:multiLevelType w:val="hybridMultilevel" /&gt;
          &lt;w:tmpl w:val="33C6A7A8" /&gt;
          &lt;w:lvl w:ilvl="0" w:tplc="45A67E58"&gt;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w:abstractNumId="33"&gt;
          &lt;w:nsid w:val="2E0A6A0D" /&gt;
          &lt;w:multiLevelType w:val="hybridMultilevel" /&gt;
          &lt;w:tmpl w:val="BDB4322E"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w:abstractNumId="34"&gt;
          &lt;w:nsid w:val="3035190D" /&gt;
          &lt;w:multiLevelType w:val="singleLevel" /&gt;
          &lt;w:tmpl w:val="6EA66680" /&gt;
          &lt;w:lvl w:ilvl="0"&gt;
            &lt;w:start w:val="1" /&gt;
            &lt;w:numFmt w:val="bullet" /&gt;
            &lt;w:pStyle w:val="listbull" /&gt;
            &lt;w:lvlText w:val="" /&gt;
            &lt;w:lvlJc w:val="left" /&gt;
            &lt;w:pPr&gt;
              &lt;w:tabs&gt;
                &lt;w:tab w:val="num" w:pos="432" /&gt;
              &lt;/w:tabs&gt;
              &lt;w:ind w:left="432" w:hanging="432" /&gt;
            &lt;/w:pPr&gt;
            &lt;w:rPr&gt;
              &lt;w:rFonts w:ascii="Symbol" w:hAnsi="Symbol" w:cs="Symbol" w:hint="default" /&gt;
            &lt;/w:rPr&gt;
          &lt;/w:lvl&gt;
        &lt;/w:abstractNum&gt;
        &lt;w:abstractNum w:abstractNumId="35"&gt;
          &lt;w:nsid w:val="30D2285D" /&gt;
          &lt;w:multiLevelType w:val="hybridMultilevel" /&gt;
          &lt;w:tmpl w:val="57C8F9DA"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w:abstractNumId="36"&gt;
          &lt;w:nsid w:val="325E7691" /&gt;
          &lt;w:multiLevelType w:val="hybridMultilevel" /&gt;
          &lt;w:tmpl w:val="E2405C84"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w:abstractNumId="37"&gt;
          &lt;w:nsid w:val="34DC298A" /&gt;
          &lt;w:multiLevelType w:val="hybridMultilevel" /&gt;
          &lt;w:tmpl w:val="BC36D8CE" /&gt;
          &lt;w:lvl w:ilvl="0" w:tplc="E3E8E542"&gt;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w:abstractNumId="38"&gt;
          &lt;w:nsid w:val="36367896" /&gt;
          &lt;w:multiLevelType w:val="hybridMultilevel" /&gt;
          &lt;w:tmpl w:val="DE202B96"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w:abstractNumId="39"&gt;
          &lt;w:nsid w:val="36AA652D" /&gt;
          &lt;w:multiLevelType w:val="hybridMultilevel" /&gt;
          &lt;w:tmpl w:val="94A860E4"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w:abstractNumId="40"&gt;
          &lt;w:nsid w:val="370444DC" /&gt;
          &lt;w:multiLevelType w:val="hybridMultilevel" /&gt;
          &lt;w:tmpl w:val="FE580AF0" /&gt;
          &lt;w:lvl w:ilvl="0" w:tplc="04090001"&gt;
            &lt;w:start w:val="1" /&gt;
            &lt;w:numFmt w:val="decimal" /&gt;
            &lt;w:lvlText w:val="%1." /&gt;
            &lt;w:lvlJc w:val="left" /&gt;
            &lt;w:pPr&gt;
              &lt;w:ind w:left="720" w:hanging="360" /&gt;
            &lt;/w:pPr&gt;
            &lt;w:rPr&gt;
              &lt;w:rFonts w:hint="default" /&gt;
              &lt;w:color w:val="auto"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w:abstractNumId="41"&gt;
          &lt;w:nsid w:val="39036AC8" /&gt;
          &lt;w:multiLevelType w:val="hybridMultilevel" /&gt;
          &lt;w:tmpl w:val="8E446F00"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w:abstractNumId="42"&gt;
          &lt;w:nsid w:val="39813A87" /&gt;
          &lt;w:multiLevelType w:val="hybridMultilevel" /&gt;
          &lt;w:tmpl w:val="8DE06DCE"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w:abstractNumId="43"&gt;
          &lt;w:nsid w:val="3A1D1A41" /&gt;
          &lt;w:multiLevelType w:val="multilevel" /&gt;
          &lt;w:tmpl w:val="0409001F" /&gt;
          &lt;w:styleLink w:val="111111" /&gt;
          &lt;w:lvl w:ilvl="0"&gt;
            &lt;w:start w:val="1" /&gt;
            &lt;w:numFmt w:val="decimal" /&gt;
            &lt;w:lvlText w:val="%1." /&gt;
            &lt;w:lvlJc w:val="left" /&gt;
            &lt;w:pPr&gt;
              &lt;w:ind w:left="360" w:hanging="360" /&gt;
            &lt;/w:pPr&gt;
          &lt;/w:lvl&gt;
          &lt;w:lvl w:ilvl="1"&gt;
            &lt;w:start w:val="1" /&gt;
            &lt;w:numFmt w:val="decimal" /&gt;
            &lt;w:lvlText w:val="%1.%2." /&gt;
            &lt;w:lvlJc w:val="left" /&gt;
            &lt;w:pPr&gt;
              &lt;w:ind w:left="792" w:hanging="432" /&gt;
            &lt;/w:pPr&gt;
          &lt;/w:lvl&gt;
          &lt;w:lvl w:ilvl="2"&gt;
            &lt;w:start w:val="1" /&gt;
            &lt;w:numFmt w:val="decimal" /&gt;
            &lt;w:lvlText w:val="%1.%2.%3." /&gt;
            &lt;w:lvlJc w:val="left" /&gt;
            &lt;w:pPr&gt;
              &lt;w:ind w:left="1224" w:hanging="504" /&gt;
            &lt;/w:pPr&gt;
          &lt;/w:lvl&gt;
          &lt;w:lvl w:ilvl="3"&gt;
            &lt;w:start w:val="1" /&gt;
            &lt;w:numFmt w:val="decimal" /&gt;
            &lt;w:lvlText w:val="%1.%2.%3.%4." /&gt;
            &lt;w:lvlJc w:val="left" /&gt;
            &lt;w:pPr&gt;
              &lt;w:ind w:left="1728" w:hanging="648" /&gt;
            &lt;/w:pPr&gt;
          &lt;/w:lvl&gt;
          &lt;w:lvl w:ilvl="4"&gt;
            &lt;w:start w:val="1" /&gt;
            &lt;w:numFmt w:val="decimal" /&gt;
            &lt;w:lvlText w:val="%1.%2.%3.%4.%5." /&gt;
            &lt;w:lvlJc w:val="left" /&gt;
            &lt;w:pPr&gt;
              &lt;w:ind w:left="2232" w:hanging="792" /&gt;
            &lt;/w:pPr&gt;
          &lt;/w:lvl&gt;
          &lt;w:lvl w:ilvl="5"&gt;
            &lt;w:start w:val="1" /&gt;
            &lt;w:numFmt w:val="decimal" /&gt;
            &lt;w:lvlText w:val="%1.%2.%3.%4.%5.%6." /&gt;
            &lt;w:lvlJc w:val="left" /&gt;
            &lt;w:pPr&gt;
              &lt;w:ind w:left="2736" w:hanging="936" /&gt;
            &lt;/w:pPr&gt;
          &lt;/w:lvl&gt;
          &lt;w:lvl w:ilvl="6"&gt;
            &lt;w:start w:val="1" /&gt;
            &lt;w:numFmt w:val="decimal" /&gt;
            &lt;w:lvlText w:val="%1.%2.%3.%4.%5.%6.%7." /&gt;
            &lt;w:lvlJc w:val="left" /&gt;
            &lt;w:pPr&gt;
              &lt;w:ind w:left="3240" w:hanging="1080" /&gt;
            &lt;/w:pPr&gt;
          &lt;/w:lvl&gt;
          &lt;w:lvl w:ilvl="7"&gt;
            &lt;w:start w:val="1" /&gt;
            &lt;w:numFmt w:val="decimal" /&gt;
            &lt;w:lvlText w:val="%1.%2.%3.%4.%5.%6.%7.%8." /&gt;
            &lt;w:lvlJc w:val="left" /&gt;
            &lt;w:pPr&gt;
              &lt;w:ind w:left="3744" w:hanging="1224" /&gt;
            &lt;/w:pPr&gt;
          &lt;/w:lvl&gt;
          &lt;w:lvl w:ilvl="8"&gt;
            &lt;w:start w:val="1" /&gt;
            &lt;w:numFmt w:val="decimal" /&gt;
            &lt;w:lvlText w:val="%1.%2.%3.%4.%5.%6.%7.%8.%9." /&gt;
            &lt;w:lvlJc w:val="left" /&gt;
            &lt;w:pPr&gt;
              &lt;w:ind w:left="4320" w:hanging="1440" /&gt;
            &lt;/w:pPr&gt;
          &lt;/w:lvl&gt;
        &lt;/w:abstractNum&gt;
        &lt;w:abstractNum w:abstractNumId="44"&gt;
          &lt;w:nsid w:val="3AF504A6" /&gt;
          &lt;w:multiLevelType w:val="hybridMultilevel" /&gt;
          &lt;w:tmpl w:val="11C88C66"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w:abstractNumId="45"&gt;
          &lt;w:nsid w:val="3BFE4B2A" /&gt;
          &lt;w:multiLevelType w:val="hybridMultilevel" /&gt;
          &lt;w:tmpl w:val="0D68D196" /&gt;
          &lt;w:lvl w:ilvl="0" w:tplc="04090001"&gt;
            &lt;w:start w:val="1" /&gt;
            &lt;w:numFmt w:val="bullet" /&gt;
            &lt;w:lvlText w:val="" /&gt;
            &lt;w:lvlJc w:val="left" /&gt;
            &lt;w:pPr&gt;
              &lt;w:tabs&gt;
                &lt;w:tab w:val="num" w:pos="360" /&gt;
              &lt;/w:tabs&gt;
              &lt;w:ind w:left="288" w:hanging="288" /&gt;
            &lt;/w:pPr&gt;
            &lt;w:rPr&gt;
              &lt;w:rFonts w:ascii="Symbol" w:hAnsi="Symbol" w:hint="default" /&gt;
            &lt;/w:rPr&gt;
          &lt;/w:lvl&gt;
          &lt;w:lvl w:ilvl="1" w:tplc="04090003" w:tentative="1"&gt;
            &lt;w:start w:val="1" /&gt;
            &lt;w:numFmt w:val="bullet" /&gt;
            &lt;w:lvlText w:val="o" /&gt;
            &lt;w:lvlJc w:val="left" /&gt;
            &lt;w:pPr&gt;
              &lt;w:tabs&gt;
                &lt;w:tab w:val="num" w:pos="1440" /&gt;
              &lt;/w:tabs&gt;
              &lt;w:ind w:left="1440" w:hanging="360" /&gt;
            &lt;/w:pPr&gt;
            &lt;w:rPr&gt;
              &lt;w:rFonts w:ascii="Courier New" w:hAnsi="Courier New" w:hint="default" /&gt;
            &lt;/w:rPr&gt;
          &lt;/w:lvl&gt;
          &lt;w:lvl w:ilvl="2" w:tplc="04090005" w:tentative="1"&gt;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w:tplc="04090001" w:tentative="1"&gt;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w:tplc="04090003" w:tentative="1"&gt;
            &lt;w:start w:val="1" /&gt;
            &lt;w:numFmt w:val="bullet" /&gt;
            &lt;w:lvlText w:val="o" /&gt;
            &lt;w:lvlJc w:val="left" /&gt;
            &lt;w:pPr&gt;
              &lt;w:tabs&gt;
                &lt;w:tab w:val="num" w:pos="3600" /&gt;
              &lt;/w:tabs&gt;
              &lt;w:ind w:left="3600" w:hanging="360" /&gt;
            &lt;/w:pPr&gt;
            &lt;w:rPr&gt;
              &lt;w:rFonts w:ascii="Courier New" w:hAnsi="Courier New" w:hint="default" /&gt;
            &lt;/w:rPr&gt;
          &lt;/w:lvl&gt;
          &lt;w:lvl w:ilvl="5" w:tplc="04090005" w:tentative="1"&gt;
            &lt;w:start w:val="1" /&gt;
            &lt;w:numFmt w:val="bullet" /&gt;
            &lt;w:lvlText w:val="" /&gt;
            &lt;w:lvlJc w:val="left" /&gt;
            &lt;w:pPr&gt;
              &lt;w:tabs&gt;
                &lt;w:tab w:val="num" w:pos="4320" /&gt;
              &lt;/w:tabs&gt;
              &lt;w:ind w:left="4320" w:hanging="360" /&gt;
            &lt;/w:pPr&gt;
            &lt;w:rPr&gt;
              &lt;w:rFonts w:ascii="Wingdings" w:hAnsi="Wingdings" w:hint="default" /&gt;
            &lt;/w:rPr&gt;
          &lt;/w:lvl&gt;
          &lt;w:lvl w:ilvl="6" w:tplc="04090001" w:tentative="1"&gt;
            &lt;w:start w:val="1" /&gt;
            &lt;w:numFmt w:val="bullet" /&gt;
            &lt;w:lvlText w:val="" /&gt;
            &lt;w:lvlJc w:val="left" /&gt;
            &lt;w:pPr&gt;
              &lt;w:tabs&gt;
                &lt;w:tab w:val="num" w:pos="5040" /&gt;
              &lt;/w:tabs&gt;
              &lt;w:ind w:left="5040" w:hanging="360" /&gt;
            &lt;/w:pPr&gt;
            &lt;w:rPr&gt;
              &lt;w:rFonts w:ascii="Symbol" w:hAnsi="Symbol" w:hint="default" /&gt;
            &lt;/w:rPr&gt;
          &lt;/w:lvl&gt;
          &lt;w:lvl w:ilvl="7" w:tplc="04090003" w:tentative="1"&gt;
            &lt;w:start w:val="1" /&gt;
            &lt;w:numFmt w:val="bullet" /&gt;
            &lt;w:lvlText w:val="o" /&gt;
            &lt;w:lvlJc w:val="left" /&gt;
            &lt;w:pPr&gt;
              &lt;w:tabs&gt;
                &lt;w:tab w:val="num" w:pos="5760" /&gt;
              &lt;/w:tabs&gt;
              &lt;w:ind w:left="5760" w:hanging="360" /&gt;
            &lt;/w:pPr&gt;
            &lt;w:rPr&gt;
              &lt;w:rFonts w:ascii="Courier New" w:hAnsi="Courier New" w:hint="default" /&gt;
            &lt;/w:rPr&gt;
          &lt;/w:lvl&gt;
          &lt;w:lvl w:ilvl="8" w:tplc="04090005" w:tentative="1"&gt;
            &lt;w:start w:val="1" /&gt;
            &lt;w:numFmt w:val="bullet" /&gt;
            &lt;w:lvlText w:val="" /&gt;
            &lt;w:lvlJc w:val="left" /&gt;
            &lt;w:pPr&gt;
              &lt;w:tabs&gt;
                &lt;w:tab w:val="num" w:pos="6480" /&gt;
              &lt;/w:tabs&gt;
              &lt;w:ind w:left="6480" w:hanging="360" /&gt;
            &lt;/w:pPr&gt;
            &lt;w:rPr&gt;
              &lt;w:rFonts w:ascii="Wingdings" w:hAnsi="Wingdings" w:hint="default" /&gt;
            &lt;/w:rPr&gt;
          &lt;/w:lvl&gt;
        &lt;/w:abstractNum&gt;
        &lt;w:abstractNum w:abstractNumId="46"&gt;
          &lt;w:nsid w:val="3DD01B05" /&gt;
          &lt;w:multiLevelType w:val="hybridMultilevel" /&gt;
          &lt;w:tmpl w:val="C7E2CA84" /&gt;
          &lt;w:lvl w:ilvl="0" w:tplc="0409000F"&gt;
            &lt;w:start w:val="1" /&gt;
            &lt;w:numFmt w:val="decimal" /&gt;
            &lt;w:lvlText w:val="Appendix %1." /&gt;
            &lt;w:lvlJc w:val="left" /&gt;
            &lt;w:pPr&gt;
              &lt;w:ind w:left="720" w:hanging="360" /&gt;
            &lt;/w:pPr&gt;
            &lt;w:rPr&gt;
              &lt;w:rFonts w:hint="default" /&gt;
              &lt;w:color w:val="0000FF"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w:abstractNumId="47"&gt;
          &lt;w:nsid w:val="4042575F" /&gt;
          &lt;w:multiLevelType w:val="hybridMultilevel" /&gt;
          &lt;w:tmpl w:val="6516694A"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w:abstractNumId="48"&gt;
          &lt;w:nsid w:val="40803AE9" /&gt;
          &lt;w:multiLevelType w:val="hybridMultilevel" /&gt;
          &lt;w:tmpl w:val="556C6946" /&gt;
          &lt;w:lvl w:ilvl="0" w:tplc="04090001"&gt;
            &lt;w:start w:val="1" /&gt;
            &lt;w:numFmt w:val="bullet" /&gt;
            &lt;w:lvlText w:val="" /&gt;
            &lt;w:lvlJc w:val="left" /&gt;
            &lt;w:pPr&gt;
              &lt;w:ind w:left="360" w:hanging="360" /&gt;
            &lt;/w:pPr&gt;
            &lt;w:rPr&gt;
              &lt;w:rFonts w:ascii="Symbol" w:hAnsi="Symbol" w:hint="default" /&gt;
            &lt;/w:rPr&gt;
          &lt;/w:lvl&gt;
          &lt;w:lvl w:ilvl="1" w:tplc="04090001"&gt;
            &lt;w:start w:val="1" /&gt;
            &lt;w:numFmt w:val="bullet" /&gt;
            &lt;w:lvlText w:val="" /&gt;
            &lt;w:lvlJc w:val="left" /&gt;
            &lt;w:pPr&gt;
              &lt;w:ind w:left="1080" w:hanging="360" /&gt;
            &lt;/w:pPr&gt;
            &lt;w:rPr&gt;
              &lt;w:rFonts w:ascii="Symbol" w:hAnsi="Symbol"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w:abstractNumId="49"&gt;
          &lt;w:nsid w:val="410C2F53" /&gt;
          &lt;w:multiLevelType w:val="hybridMultilevel" /&gt;
          &lt;w:tmpl w:val="5A12E084" /&gt;
          &lt;w:lvl w:ilvl="0" w:tplc="CB12182E"&gt;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w:abstractNumId="50"&gt;
          &lt;w:nsid w:val="43401EC0" /&gt;
          &lt;w:multiLevelType w:val="singleLevel" /&gt;
          &lt;w:tmpl w:val="2C62F932" /&gt;
          &lt;w:lvl w:ilvl="0"&gt;
            &lt;w:start w:val="1" /&gt;
            &lt;w:numFmt w:val="bullet" /&gt;
            &lt;w:pStyle w:val="listindentbull" /&gt;
            &lt;w:lvlText w:val="" /&gt;
            &lt;w:lvlJc w:val="left" /&gt;
            &lt;w:pPr&gt;
              &lt;w:tabs&gt;
                &lt;w:tab w:val="num" w:pos="864" /&gt;
              &lt;/w:tabs&gt;
              &lt;w:ind w:left="864" w:hanging="432" /&gt;
            &lt;/w:pPr&gt;
            &lt;w:rPr&gt;
              &lt;w:rFonts w:ascii="Symbol" w:hAnsi="Symbol" w:cs="Symbol" w:hint="default" /&gt;
              &lt;w:color w:val="auto" /&gt;
            &lt;/w:rPr&gt;
          &lt;/w:lvl&gt;
        &lt;/w:abstractNum&gt;
        &lt;w:abstractNum w:abstractNumId="51"&gt;
          &lt;w:nsid w:val="45157467" /&gt;
          &lt;w:multiLevelType w:val="hybridMultilevel" /&gt;
          &lt;w:tmpl w:val="45C62AA2" /&gt;
          &lt;w:lvl w:ilvl="0" w:tplc="44FA8D1C"&gt;
            &lt;w:start w:val="1" /&gt;
            &lt;w:numFmt w:val="decimal" /&gt;
            &lt;w:lvlText w:val="%1." /&gt;
            &lt;w:lvlJc w:val="left" /&gt;
            &lt;w:pPr&gt;
              &lt;w:ind w:left="786" w:hanging="360" /&gt;
            &lt;/w:pPr&gt;
            &lt;w:rPr&gt;
              &lt;w:rFonts w:hint="default" /&gt;
            &lt;/w:rPr&gt;
          &lt;/w:lvl&gt;
          &lt;w:lvl w:ilvl="1" w:tplc="E8E68730"&gt;
            &lt;w:start w:val="1" /&gt;
            &lt;w:numFmt w:val="lowerLetter" /&gt;
            &lt;w:lvlText w:val="%2." /&gt;
            &lt;w:lvlJc w:val="left" /&gt;
            &lt;w:pPr&gt;
              &lt;w:ind w:left="1440" w:hanging="360" /&gt;
            &lt;/w:pPr&gt;
          &lt;/w:lvl&gt;
          &lt;w:lvl w:ilvl="2" w:tplc="A57895DE" w:tentative="1"&gt;
            &lt;w:start w:val="1" /&gt;
            &lt;w:numFmt w:val="lowerRoman" /&gt;
            &lt;w:lvlText w:val="%3." /&gt;
            &lt;w:lvlJc w:val="right" /&gt;
            &lt;w:pPr&gt;
              &lt;w:ind w:left="2160" w:hanging="180" /&gt;
            &lt;/w:pPr&gt;
          &lt;/w:lvl&gt;
          &lt;w:lvl w:ilvl="3" w:tplc="FC4A47B2" w:tentative="1"&gt;
            &lt;w:start w:val="1" /&gt;
            &lt;w:numFmt w:val="decimal" /&gt;
            &lt;w:lvlText w:val="%4." /&gt;
            &lt;w:lvlJc w:val="left" /&gt;
            &lt;w:pPr&gt;
              &lt;w:ind w:left="2880" w:hanging="360" /&gt;
            &lt;/w:pPr&gt;
          &lt;/w:lvl&gt;
          &lt;w:lvl w:ilvl="4" w:tplc="E7289BB0" w:tentative="1"&gt;
            &lt;w:start w:val="1" /&gt;
            &lt;w:numFmt w:val="lowerLetter" /&gt;
            &lt;w:lvlText w:val="%5." /&gt;
            &lt;w:lvlJc w:val="left" /&gt;
            &lt;w:pPr&gt;
              &lt;w:ind w:left="3600" w:hanging="360" /&gt;
            &lt;/w:pPr&gt;
          &lt;/w:lvl&gt;
          &lt;w:lvl w:ilvl="5" w:tplc="3E12A0F6" w:tentative="1"&gt;
            &lt;w:start w:val="1" /&gt;
            &lt;w:numFmt w:val="lowerRoman" /&gt;
            &lt;w:lvlText w:val="%6." /&gt;
            &lt;w:lvlJc w:val="right" /&gt;
            &lt;w:pPr&gt;
              &lt;w:ind w:left="4320" w:hanging="180" /&gt;
            &lt;/w:pPr&gt;
          &lt;/w:lvl&gt;
          &lt;w:lvl w:ilvl="6" w:tplc="831C63CC" w:tentative="1"&gt;
            &lt;w:start w:val="1" /&gt;
            &lt;w:numFmt w:val="decimal" /&gt;
            &lt;w:lvlText w:val="%7." /&gt;
            &lt;w:lvlJc w:val="left" /&gt;
            &lt;w:pPr&gt;
              &lt;w:ind w:left="5040" w:hanging="360" /&gt;
            &lt;/w:pPr&gt;
          &lt;/w:lvl&gt;
          &lt;w:lvl w:ilvl="7" w:tplc="23583832" w:tentative="1"&gt;
            &lt;w:start w:val="1" /&gt;
            &lt;w:numFmt w:val="lowerLetter" /&gt;
            &lt;w:lvlText w:val="%8." /&gt;
            &lt;w:lvlJc w:val="left" /&gt;
            &lt;w:pPr&gt;
              &lt;w:ind w:left="5760" w:hanging="360" /&gt;
            &lt;/w:pPr&gt;
          &lt;/w:lvl&gt;
          &lt;w:lvl w:ilvl="8" w:tplc="2C8AFB8C" w:tentative="1"&gt;
            &lt;w:start w:val="1" /&gt;
            &lt;w:numFmt w:val="lowerRoman" /&gt;
            &lt;w:lvlText w:val="%9." /&gt;
            &lt;w:lvlJc w:val="right" /&gt;
            &lt;w:pPr&gt;
              &lt;w:ind w:left="6480" w:hanging="180" /&gt;
            &lt;/w:pPr&gt;
          &lt;/w:lvl&gt;
        &lt;/w:abstractNum&gt;
        &lt;w:abstractNum w:abstractNumId="52"&gt;
          &lt;w:nsid w:val="47C64BA4" /&gt;
          &lt;w:multiLevelType w:val="hybridMultilevel" /&gt;
          &lt;w:tmpl w:val="335A5D68" /&gt;
          &lt;w:lvl w:ilvl="0" w:tplc="1FDECD82"&gt;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w:abstractNumId="53"&gt;
          &lt;w:nsid w:val="483609D1" /&gt;
          &lt;w:multiLevelType w:val="hybridMultilevel" /&gt;
          &lt;w:tmpl w:val="797E58CE"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w:abstractNumId="54"&gt;
          &lt;w:nsid w:val="48565AC2" /&gt;
          &lt;w:multiLevelType w:val="hybridMultilevel" /&gt;
          &lt;w:tmpl w:val="FAB81BA4"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w:abstractNumId="55"&gt;
          &lt;w:nsid w:val="4C9838FD" /&gt;
          &lt;w:multiLevelType w:val="hybridMultilevel" /&gt;
          &lt;w:tmpl w:val="F40E7ADA"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w:abstractNumId="56"&gt;
          &lt;w:nsid w:val="4D1B4F5D" /&gt;
          &lt;w:multiLevelType w:val="hybridMultilevel" /&gt;
          &lt;w:tmpl w:val="E11808A8"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w:abstractNumId="57"&gt;
          &lt;w:nsid w:val="4E97420C" /&gt;
          &lt;w:multiLevelType w:val="hybridMultilevel" /&gt;
          &lt;w:tmpl w:val="8D740B24" /&gt;
          &lt;w:lvl w:ilvl="0" w:tplc="04090001"&gt;
            &lt;w:start w:val="1" /&gt;
            &lt;w:numFmt w:val="bullet" /&gt;
            &lt;w:lvlText w:val="" /&gt;
            &lt;w:lvlJc w:val="left" /&gt;
            &lt;w:pPr&gt;
              &lt;w:ind w:left="720" w:hanging="360" /&gt;
            &lt;/w:pPr&gt;
            &lt;w:rPr&gt;
              &lt;w:rFonts w:ascii="Symbol" w:hAnsi="Symbol" w:hint="default" /&gt;
            &lt;/w:rPr&gt;
          &lt;/w:lvl&gt;
          &lt;w:lvl w:ilvl="1" w:tplc="04090003" w:tentative="1"&gt;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w:abstractNumId="58"&gt;
          &lt;w:nsid w:val="50186FA2" /&gt;
          &lt;w:multiLevelType w:val="hybridMultilevel" /&gt;
          &lt;w:tmpl w:val="97E0D722" /&gt;
          &lt;w:lvl w:ilvl="0" w:tplc="04090001"&gt;
            &lt;w:start w:val="1" /&gt;
            &lt;w:numFmt w:val="bullet" /&gt;
            &lt;w:lvlText w:val="" /&gt;
            &lt;w:lvlJc w:val="left" /&gt;
            &lt;w:pPr&gt;
              &lt;w:ind w:left="2160"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w:tplc="04090005"&gt;
            &lt;w:start w:val="1" /&gt;
            &lt;w:numFmt w:val="bullet" /&gt;
            &lt;w:lvlText w:val="" /&gt;
            &lt;w:lvlJc w:val="left" /&gt;
            &lt;w:pPr&gt;
              &lt;w:ind w:left="2160" w:hanging="360" /&gt;
            &lt;/w:pPr&gt;
            &lt;w:rPr&gt;
              &lt;w:rFonts w:ascii="Wingdings" w:hAnsi="Wingdings" w:hint="default" /&gt;
            &lt;/w:rPr&gt;
          &lt;/w:lvl&gt;
          &lt;w:lvl w:ilvl="3" w:tplc="04090001"&gt;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w:abstractNumId="59"&gt;
          &lt;w:nsid w:val="508430E8" /&gt;
          &lt;w:multiLevelType w:val="hybridMultilevel" /&gt;
          &lt;w:tmpl w:val="9F5AACF2" /&gt;
          &lt;w:lvl w:ilvl="0" w:tplc="04090001"&gt;
            &lt;w:start w:val="1" /&gt;
            &lt;w:numFmt w:val="bullet" /&gt;
            &lt;w:lvlText w:val="" /&gt;
            &lt;w:lvlJc w:val="left" /&gt;
            &lt;w:pPr&gt;
              &lt;w:ind w:left="360" w:hanging="360" /&gt;
            &lt;/w:pPr&gt;
            &lt;w:rPr&gt;
              &lt;w:rFonts w:ascii="Symbol" w:hAnsi="Symbol" w:hint="default" /&gt;
            &lt;/w:rPr&gt;
          &lt;/w:lvl&gt;
          &lt;w:lvl w:ilvl="1" w:tplc="04090003"&gt;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w:abstractNumId="60"&gt;
          &lt;w:nsid w:val="50D71CF5" /&gt;
          &lt;w:multiLevelType w:val="hybridMultilevel" /&gt;
          &lt;w:tmpl w:val="29342CA0" /&gt;
          &lt;w:lvl w:ilvl="0" w:tplc="F6C81EBE"&gt;
            &lt;w:start w:val="1" /&gt;
            &lt;w:numFmt w:val="decimal" /&gt;
            &lt;w:lvlText w:val="%1." /&gt;
            &lt;w:lvlJc w:val="left" /&gt;
            &lt;w:pPr&gt;
              &lt;w:ind w:left="720" w:hanging="360" /&gt;
            &lt;/w:pPr&gt;
            &lt;w:rPr&gt;
              &lt;w:rFonts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w:abstractNumId="61"&gt;
          &lt;w:nsid w:val="51AC7A1A" /&gt;
          &lt;w:multiLevelType w:val="multilevel" /&gt;
          &lt;w:tmpl w:val="04090023" /&gt;
          &lt;w:styleLink w:val="ArticleSection" /&gt;
          &lt;w:lvl w:ilvl="0"&gt;
            &lt;w:start w:val="1" /&gt;
            &lt;w:numFmt w:val="upperRoman" /&gt;
            &lt;w:lvlText w:val="Article %1." /&gt;
            &lt;w:lvlJc w:val="left" /&gt;
            &lt;w:pPr&gt;
              &lt;w:ind w:left="0" w:firstLine="0" /&gt;
            &lt;/w:pPr&gt;
          &lt;/w:lvl&gt;
          &lt;w:lvl w:ilvl="1"&gt;
            &lt;w:start w:val="1" /&gt;
            &lt;w:numFmt w:val="decimalZero" /&gt;
            &lt;w:isLgl /&gt;
            &lt;w:lvlText w:val="Section %1.%2" /&gt;
            &lt;w:lvlJc w:val="left" /&gt;
            &lt;w:pPr&gt;
              &lt;w:ind w:left="0" w:firstLine="0" /&gt;
            &lt;/w:pPr&gt;
          &lt;/w:lvl&gt;
          &lt;w:lvl w:ilvl="2"&gt;
            &lt;w:start w:val="1" /&gt;
            &lt;w:numFmt w:val="lowerLetter" /&gt;
            &lt;w:lvlText w:val="(%3)" /&gt;
            &lt;w:lvlJc w:val="left" /&gt;
            &lt;w:pPr&gt;
              &lt;w:ind w:left="720" w:hanging="432" /&gt;
            &lt;/w:pPr&gt;
          &lt;/w:lvl&gt;
          &lt;w:lvl w:ilvl="3"&gt;
            &lt;w:start w:val="1" /&gt;
            &lt;w:numFmt w:val="lowerRoman" /&gt;
            &lt;w:lvlText w:val="(%4)" /&gt;
            &lt;w:lvlJc w:val="right" /&gt;
            &lt;w:pPr&gt;
              &lt;w:ind w:left="864" w:hanging="144" /&gt;
            &lt;/w:pPr&gt;
          &lt;/w:lvl&gt;
          &lt;w:lvl w:ilvl="4"&gt;
            &lt;w:start w:val="1" /&gt;
            &lt;w:numFmt w:val="decimal" /&gt;
            &lt;w:lvlText w:val="%5)" /&gt;
            &lt;w:lvlJc w:val="left" /&gt;
            &lt;w:pPr&gt;
              &lt;w:ind w:left="1008" w:hanging="432" /&gt;
            &lt;/w:pPr&gt;
          &lt;/w:lvl&gt;
          &lt;w:lvl w:ilvl="5"&gt;
            &lt;w:start w:val="1" /&gt;
            &lt;w:numFmt w:val="lowerLetter" /&gt;
            &lt;w:lvlText w:val="%6)" /&gt;
            &lt;w:lvlJc w:val="left" /&gt;
            &lt;w:pPr&gt;
              &lt;w:ind w:left="1152" w:hanging="432" /&gt;
            &lt;/w:pPr&gt;
          &lt;/w:lvl&gt;
          &lt;w:lvl w:ilvl="6"&gt;
            &lt;w:start w:val="1" /&gt;
            &lt;w:numFmt w:val="lowerRoman" /&gt;
            &lt;w:lvlText w:val="%7)" /&gt;
            &lt;w:lvlJc w:val="right" /&gt;
            &lt;w:pPr&gt;
              &lt;w:ind w:left="1296" w:hanging="288" /&gt;
            &lt;/w:pPr&gt;
          &lt;/w:lvl&gt;
          &lt;w:lvl w:ilvl="7"&gt;
            &lt;w:start w:val="1" /&gt;
            &lt;w:numFmt w:val="lowerLetter" /&gt;
            &lt;w:lvlText w:val="%8." /&gt;
            &lt;w:lvlJc w:val="left" /&gt;
            &lt;w:pPr&gt;
              &lt;w:ind w:left="1440" w:hanging="432" /&gt;
            &lt;/w:pPr&gt;
          &lt;/w:lvl&gt;
          &lt;w:lvl w:ilvl="8"&gt;
            &lt;w:start w:val="1" /&gt;
            &lt;w:numFmt w:val="lowerRoman" /&gt;
            &lt;w:lvlText w:val="%9." /&gt;
            &lt;w:lvlJc w:val="right" /&gt;
            &lt;w:pPr&gt;
              &lt;w:ind w:left="1584" w:hanging="144" /&gt;
            &lt;/w:pPr&gt;
          &lt;/w:lvl&gt;
        &lt;/w:abstractNum&gt;
        &lt;w:abstractNum w:abstractNumId="62"&gt;
          &lt;w:nsid w:val="52BA6B2A" /&gt;
          &lt;w:multiLevelType w:val="hybridMultilevel" /&gt;
          &lt;w:tmpl w:val="F434EF28"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w:abstractNumId="63"&gt;
          &lt;w:nsid w:val="54ED3DED" /&gt;
          &lt;w:multiLevelType w:val="hybridMultilevel" /&gt;
          &lt;w:tmpl w:val="9B9C2F48" /&gt;
          &lt;w:lvl w:ilvl="0" w:tplc="04090001"&gt;
            &lt;w:start w:val="1" /&gt;
            &lt;w:numFmt w:val="bullet" /&gt;
            &lt;w:lvlText w:val="" /&gt;
            &lt;w:lvlJc w:val="left" /&gt;
            &lt;w:pPr&gt;
              &lt;w:ind w:left="360" w:hanging="360" /&gt;
            &lt;/w:pPr&gt;
            &lt;w:rPr&gt;
              &lt;w:rFonts w:ascii="Symbol" w:hAnsi="Symbol" w:hint="default" /&gt;
            &lt;/w:rPr&gt;
          &lt;/w:lvl&gt;
          &lt;w:lvl w:ilvl="1" w:tplc="04090003" w:tentative="1"&gt;
            &lt;w:start w:val="1" /&gt;
            &lt;w:numFmt w:val="bullet" /&gt;
            &lt;w:lvlText w:val="o" /&gt;
            &lt;w:lvlJc w:val="left" /&gt;
            &lt;w:pPr&gt;
              &lt;w:ind w:left="1080" w:hanging="360" /&gt;
            &lt;/w:pPr&gt;
            &lt;w:rPr&gt;
              &lt;w:rFonts w:ascii="Courier New" w:hAnsi="Courier New" w:cs="Courier New" w:hint="default" /&gt;
            &lt;/w:rPr&gt;
          &lt;/w:lvl&gt;
          &lt;w:lvl w:ilvl="2" w:tplc="04090005" w:tentative="1"&gt;
            &lt;w:start w:val="1" /&gt;
            &lt;w:numFmt w:val="bullet" /&gt;
            &lt;w:lvlText w:val="" /&gt;
            &lt;w:lvlJc w:val="left" /&gt;
            &lt;w:pPr&gt;
              &lt;w:ind w:left="1800" w:hanging="360" /&gt;
            &lt;/w:pPr&gt;
            &lt;w:rPr&gt;
              &lt;w:rFonts w:ascii="Wingdings" w:hAnsi="Wingdings" w:hint="default" /&gt;
            &lt;/w:rPr&gt;
          &lt;/w:lvl&gt;
          &lt;w:lvl w:ilvl="3" w:tplc="04090001" w:tentative="1"&gt;
            &lt;w:start w:val="1" /&gt;
            &lt;w:numFmt w:val="bullet" /&gt;
            &lt;w:lvlText w:val="" /&gt;
            &lt;w:lvlJc w:val="left" /&gt;
            &lt;w:pPr&gt;
              &lt;w:ind w:left="2520" w:hanging="360" /&gt;
            &lt;/w:pPr&gt;
            &lt;w:rPr&gt;
              &lt;w:rFonts w:ascii="Symbol" w:hAnsi="Symbol" w:hint="default" /&gt;
            &lt;/w:rPr&gt;
          &lt;/w:lvl&gt;
          &lt;w:lvl w:ilvl="4" w:tplc="04090003" w:tentative="1"&gt;
            &lt;w:start w:val="1" /&gt;
            &lt;w:numFmt w:val="bullet" /&gt;
            &lt;w:lvlText w:val="o" /&gt;
            &lt;w:lvlJc w:val="left" /&gt;
            &lt;w:pPr&gt;
              &lt;w:ind w:left="3240" w:hanging="360" /&gt;
            &lt;/w:pPr&gt;
            &lt;w:rPr&gt;
              &lt;w:rFonts w:ascii="Courier New" w:hAnsi="Courier New" w:cs="Courier New" w:hint="default" /&gt;
            &lt;/w:rPr&gt;
          &lt;/w:lvl&gt;
          &lt;w:lvl w:ilvl="5" w:tplc="04090005" w:tentative="1"&gt;
            &lt;w:start w:val="1" /&gt;
            &lt;w:numFmt w:val="bullet" /&gt;
            &lt;w:lvlText w:val="" /&gt;
            &lt;w:lvlJc w:val="left" /&gt;
            &lt;w:pPr&gt;
              &lt;w:ind w:left="3960" w:hanging="360" /&gt;
            &lt;/w:pPr&gt;
            &lt;w:rPr&gt;
              &lt;w:rFonts w:ascii="Wingdings" w:hAnsi="Wingdings" w:hint="default" /&gt;
            &lt;/w:rPr&gt;
          &lt;/w:lvl&gt;
          &lt;w:lvl w:ilvl="6" w:tplc="04090001" w:tentative="1"&gt;
            &lt;w:start w:val="1" /&gt;
            &lt;w:numFmt w:val="bullet" /&gt;
            &lt;w:lvlText w:val="" /&gt;
            &lt;w:lvlJc w:val="left" /&gt;
            &lt;w:pPr&gt;
              &lt;w:ind w:left="4680" w:hanging="360" /&gt;
            &lt;/w:pPr&gt;
            &lt;w:rPr&gt;
              &lt;w:rFonts w:ascii="Symbol" w:hAnsi="Symbol" w:hint="default" /&gt;
            &lt;/w:rPr&gt;
          &lt;/w:lvl&gt;
          &lt;w:lvl w:ilvl="7" w:tplc="04090003" w:tentative="1"&gt;
            &lt;w:start w:val="1" /&gt;
            &lt;w:numFmt w:val="bullet" /&gt;
            &lt;w:lvlText w:val="o" /&gt;
            &lt;w:lvlJc w:val="left" /&gt;
            &lt;w:pPr&gt;
              &lt;w:ind w:left="5400" w:hanging="360" /&gt;
            &lt;/w:pPr&gt;
            &lt;w:rPr&gt;
              &lt;w:rFonts w:ascii="Courier New" w:hAnsi="Courier New" w:cs="Courier New" w:hint="default" /&gt;
            &lt;/w:rPr&gt;
          &lt;/w:lvl&gt;
          &lt;w:lvl w:ilvl="8" w:tplc="04090005"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w:abstractNumId="64"&gt;
          &lt;w:nsid w:val="55BE2694" /&gt;
          &lt;w:multiLevelType w:val="hybridMultilevel" /&gt;
          &lt;w:tmpl w:val="4C467E8C" /&gt;
          &lt;w:lvl w:ilvl="0" w:tplc="16146F14"&gt;
            &lt;w:start w:val="2"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w:abstractNumId="65"&gt;
          &lt;w:nsid w:val="57A35B24" /&gt;
          &lt;w:multiLevelType w:val="hybridMultilevel" /&gt;
          &lt;w:tmpl w:val="CBAAAF40" /&gt;
          &lt;w:lvl w:ilvl="0" w:tplc="04090001"&gt;
            &lt;w:start w:val="1" /&gt;
            &lt;w:numFmt w:val="decimal" /&gt;
            &lt;w:lvlText w:val="%1." /&gt;
            &lt;w:lvlJc w:val="left" /&gt;
            &lt;w:pPr&gt;
              &lt;w:ind w:left="720" w:hanging="360" /&gt;
            &lt;/w:pPr&gt;
            &lt;w:rPr&gt;
              &lt;w:rFonts w:hint="default" /&gt;
              &lt;w:sz w:val="24"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w:abstractNumId="66"&gt;
          &lt;w:nsid w:val="5AB926F7" /&gt;
          &lt;w:multiLevelType w:val="hybridMultilevel" /&gt;
          &lt;w:tmpl w:val="335CD016" /&gt;
          &lt;w:lvl w:ilvl="0" w:tplc="04090001"&gt;
            &lt;w:start w:val="1" /&gt;
            &lt;w:numFmt w:val="bullet" /&gt;
            &lt;w:lvlText w:val="" /&gt;
            &lt;w:lvlJc w:val="left" /&gt;
            &lt;w:pPr&gt;
              &lt;w:ind w:left="1170" w:hanging="360" /&gt;
            &lt;/w:pPr&gt;
            &lt;w:rPr&gt;
              &lt;w:rFonts w:ascii="Symbol" w:hAnsi="Symbol" w:hint="default" /&gt;
            &lt;/w:rPr&gt;
          &lt;/w:lvl&gt;
          &lt;w:lvl w:ilvl="1" w:tplc="04090003" w:tentative="1"&gt;
            &lt;w:start w:val="1" /&gt;
            &lt;w:numFmt w:val="bullet" /&gt;
            &lt;w:lvlText w:val="o" /&gt;
            &lt;w:lvlJc w:val="left" /&gt;
            &lt;w:pPr&gt;
              &lt;w:ind w:left="1890" w:hanging="360" /&gt;
            &lt;/w:pPr&gt;
            &lt;w:rPr&gt;
              &lt;w:rFonts w:ascii="Courier New" w:hAnsi="Courier New" w:cs="Courier New" w:hint="default" /&gt;
            &lt;/w:rPr&gt;
          &lt;/w:lvl&gt;
          &lt;w:lvl w:ilvl="2" w:tplc="04090005" w:tentative="1"&gt;
            &lt;w:start w:val="1" /&gt;
            &lt;w:numFmt w:val="bullet" /&gt;
            &lt;w:lvlText w:val="" /&gt;
            &lt;w:lvlJc w:val="left" /&gt;
            &lt;w:pPr&gt;
              &lt;w:ind w:left="2610" w:hanging="360" /&gt;
            &lt;/w:pPr&gt;
            &lt;w:rPr&gt;
              &lt;w:rFonts w:ascii="Wingdings" w:hAnsi="Wingdings" w:hint="default" /&gt;
            &lt;/w:rPr&gt;
          &lt;/w:lvl&gt;
          &lt;w:lvl w:ilvl="3" w:tplc="04090001" w:tentative="1"&gt;
            &lt;w:start w:val="1" /&gt;
            &lt;w:numFmt w:val="bullet" /&gt;
            &lt;w:lvlText w:val="" /&gt;
            &lt;w:lvlJc w:val="left" /&gt;
            &lt;w:pPr&gt;
              &lt;w:ind w:left="3330" w:hanging="360" /&gt;
            &lt;/w:pPr&gt;
            &lt;w:rPr&gt;
              &lt;w:rFonts w:ascii="Symbol" w:hAnsi="Symbol" w:hint="default" /&gt;
            &lt;/w:rPr&gt;
          &lt;/w:lvl&gt;
          &lt;w:lvl w:ilvl="4" w:tplc="04090003" w:tentative="1"&gt;
            &lt;w:start w:val="1" /&gt;
            &lt;w:numFmt w:val="bullet" /&gt;
            &lt;w:lvlText w:val="o" /&gt;
            &lt;w:lvlJc w:val="left" /&gt;
            &lt;w:pPr&gt;
              &lt;w:ind w:left="4050" w:hanging="360" /&gt;
            &lt;/w:pPr&gt;
            &lt;w:rPr&gt;
              &lt;w:rFonts w:ascii="Courier New" w:hAnsi="Courier New" w:cs="Courier New" w:hint="default" /&gt;
            &lt;/w:rPr&gt;
          &lt;/w:lvl&gt;
          &lt;w:lvl w:ilvl="5" w:tplc="04090005" w:tentative="1"&gt;
            &lt;w:start w:val="1" /&gt;
            &lt;w:numFmt w:val="bullet" /&gt;
            &lt;w:lvlText w:val="" /&gt;
            &lt;w:lvlJc w:val="left" /&gt;
            &lt;w:pPr&gt;
              &lt;w:ind w:left="4770" w:hanging="360" /&gt;
            &lt;/w:pPr&gt;
            &lt;w:rPr&gt;
              &lt;w:rFonts w:ascii="Wingdings" w:hAnsi="Wingdings" w:hint="default" /&gt;
            &lt;/w:rPr&gt;
          &lt;/w:lvl&gt;
          &lt;w:lvl w:ilvl="6" w:tplc="04090001" w:tentative="1"&gt;
            &lt;w:start w:val="1" /&gt;
            &lt;w:numFmt w:val="bullet" /&gt;
            &lt;w:lvlText w:val="" /&gt;
            &lt;w:lvlJc w:val="left" /&gt;
            &lt;w:pPr&gt;
              &lt;w:ind w:left="5490" w:hanging="360" /&gt;
            &lt;/w:pPr&gt;
            &lt;w:rPr&gt;
              &lt;w:rFonts w:ascii="Symbol" w:hAnsi="Symbol" w:hint="default" /&gt;
            &lt;/w:rPr&gt;
          &lt;/w:lvl&gt;
          &lt;w:lvl w:ilvl="7" w:tplc="04090003" w:tentative="1"&gt;
            &lt;w:start w:val="1" /&gt;
            &lt;w:numFmt w:val="bullet" /&gt;
            &lt;w:lvlText w:val="o" /&gt;
            &lt;w:lvlJc w:val="left" /&gt;
            &lt;w:pPr&gt;
              &lt;w:ind w:left="6210" w:hanging="360" /&gt;
            &lt;/w:pPr&gt;
            &lt;w:rPr&gt;
              &lt;w:rFonts w:ascii="Courier New" w:hAnsi="Courier New" w:cs="Courier New" w:hint="default" /&gt;
            &lt;/w:rPr&gt;
          &lt;/w:lvl&gt;
          &lt;w:lvl w:ilvl="8" w:tplc="04090005" w:tentative="1"&gt;
            &lt;w:start w:val="1" /&gt;
            &lt;w:numFmt w:val="bullet" /&gt;
            &lt;w:lvlText w:val="" /&gt;
            &lt;w:lvlJc w:val="left" /&gt;
            &lt;w:pPr&gt;
              &lt;w:ind w:left="6930" w:hanging="360" /&gt;
            &lt;/w:pPr&gt;
            &lt;w:rPr&gt;
              &lt;w:rFonts w:ascii="Wingdings" w:hAnsi="Wingdings" w:hint="default" /&gt;
            &lt;/w:rPr&gt;
          &lt;/w:lvl&gt;
        &lt;/w:abstractNum&gt;
        &lt;w:abstractNum w:abstractNumId="67"&gt;
          &lt;w:nsid w:val="5DA00DD0" /&gt;
          &lt;w:multiLevelType w:val="hybridMultilevel" /&gt;
          &lt;w:tmpl w:val="0854D2EE" /&gt;
          &lt;w:lvl w:ilvl="0" w:tplc="D80248E6"&gt;
            &lt;w:start w:val="1" /&gt;
            &lt;w:numFmt w:val="bullet" /&gt;
            &lt;w:lvlText w:val="" /&gt;
            &lt;w:lvlJc w:val="left" /&gt;
            &lt;w:pPr&gt;
              &lt;w:ind w:left="360" w:hanging="360" /&gt;
            &lt;/w:pPr&gt;
            &lt;w:rPr&gt;
              &lt;w:rFonts w:ascii="Symbol" w:hAnsi="Symbol" w:hint="default" /&gt;
            &lt;/w:rPr&gt;
          &lt;/w:lvl&gt;
          &lt;w:lvl w:ilvl="1" w:tplc="04090019" w:tentative="1"&gt;
            &lt;w:start w:val="1" /&gt;
            &lt;w:numFmt w:val="bullet" /&gt;
            &lt;w:lvlText w:val="o" /&gt;
            &lt;w:lvlJc w:val="left" /&gt;
            &lt;w:pPr&gt;
              &lt;w:ind w:left="1080" w:hanging="360" /&gt;
            &lt;/w:pPr&gt;
            &lt;w:rPr&gt;
              &lt;w:rFonts w:ascii="Courier New" w:hAnsi="Courier New" w:cs="Courier New" w:hint="default" /&gt;
            &lt;/w:rPr&gt;
          &lt;/w:lvl&gt;
          &lt;w:lvl w:ilvl="2" w:tplc="0409001B" w:tentative="1"&gt;
            &lt;w:start w:val="1" /&gt;
            &lt;w:numFmt w:val="bullet" /&gt;
            &lt;w:lvlText w:val="" /&gt;
            &lt;w:lvlJc w:val="left" /&gt;
            &lt;w:pPr&gt;
              &lt;w:ind w:left="1800" w:hanging="360" /&gt;
            &lt;/w:pPr&gt;
            &lt;w:rPr&gt;
              &lt;w:rFonts w:ascii="Wingdings" w:hAnsi="Wingdings" w:hint="default" /&gt;
            &lt;/w:rPr&gt;
          &lt;/w:lvl&gt;
          &lt;w:lvl w:ilvl="3" w:tplc="0409000F" w:tentative="1"&gt;
            &lt;w:start w:val="1" /&gt;
            &lt;w:numFmt w:val="bullet" /&gt;
            &lt;w:lvlText w:val="" /&gt;
            &lt;w:lvlJc w:val="left" /&gt;
            &lt;w:pPr&gt;
              &lt;w:ind w:left="2520" w:hanging="360" /&gt;
            &lt;/w:pPr&gt;
            &lt;w:rPr&gt;
              &lt;w:rFonts w:ascii="Symbol" w:hAnsi="Symbol" w:hint="default" /&gt;
            &lt;/w:rPr&gt;
          &lt;/w:lvl&gt;
          &lt;w:lvl w:ilvl="4" w:tplc="04090019" w:tentative="1"&gt;
            &lt;w:start w:val="1" /&gt;
            &lt;w:numFmt w:val="bullet" /&gt;
            &lt;w:lvlText w:val="o" /&gt;
            &lt;w:lvlJc w:val="left" /&gt;
            &lt;w:pPr&gt;
              &lt;w:ind w:left="3240" w:hanging="360" /&gt;
            &lt;/w:pPr&gt;
            &lt;w:rPr&gt;
              &lt;w:rFonts w:ascii="Courier New" w:hAnsi="Courier New" w:cs="Courier New" w:hint="default" /&gt;
            &lt;/w:rPr&gt;
          &lt;/w:lvl&gt;
          &lt;w:lvl w:ilvl="5" w:tplc="0409001B" w:tentative="1"&gt;
            &lt;w:start w:val="1" /&gt;
            &lt;w:numFmt w:val="bullet" /&gt;
            &lt;w:lvlText w:val="" /&gt;
            &lt;w:lvlJc w:val="left" /&gt;
            &lt;w:pPr&gt;
              &lt;w:ind w:left="3960" w:hanging="360" /&gt;
            &lt;/w:pPr&gt;
            &lt;w:rPr&gt;
              &lt;w:rFonts w:ascii="Wingdings" w:hAnsi="Wingdings" w:hint="default" /&gt;
            &lt;/w:rPr&gt;
          &lt;/w:lvl&gt;
          &lt;w:lvl w:ilvl="6" w:tplc="0409000F" w:tentative="1"&gt;
            &lt;w:start w:val="1" /&gt;
            &lt;w:numFmt w:val="bullet" /&gt;
            &lt;w:lvlText w:val="" /&gt;
            &lt;w:lvlJc w:val="left" /&gt;
            &lt;w:pPr&gt;
              &lt;w:ind w:left="4680" w:hanging="360" /&gt;
            &lt;/w:pPr&gt;
            &lt;w:rPr&gt;
              &lt;w:rFonts w:ascii="Symbol" w:hAnsi="Symbol" w:hint="default" /&gt;
            &lt;/w:rPr&gt;
          &lt;/w:lvl&gt;
          &lt;w:lvl w:ilvl="7" w:tplc="04090019" w:tentative="1"&gt;
            &lt;w:start w:val="1" /&gt;
            &lt;w:numFmt w:val="bullet" /&gt;
            &lt;w:lvlText w:val="o" /&gt;
            &lt;w:lvlJc w:val="left" /&gt;
            &lt;w:pPr&gt;
              &lt;w:ind w:left="5400" w:hanging="360" /&gt;
            &lt;/w:pPr&gt;
            &lt;w:rPr&gt;
              &lt;w:rFonts w:ascii="Courier New" w:hAnsi="Courier New" w:cs="Courier New" w:hint="default" /&gt;
            &lt;/w:rPr&gt;
          &lt;/w:lvl&gt;
          &lt;w:lvl w:ilvl="8" w:tplc="0409001B" w:tentative="1"&gt;
            &lt;w:start w:val="1" /&gt;
            &lt;w:numFmt w:val="bullet" /&gt;
            &lt;w:lvlText w:val="" /&gt;
            &lt;w:lvlJc w:val="left" /&gt;
            &lt;w:pPr&gt;
              &lt;w:ind w:left="6120" w:hanging="360" /&gt;
            &lt;/w:pPr&gt;
            &lt;w:rPr&gt;
              &lt;w:rFonts w:ascii="Wingdings" w:hAnsi="Wingdings" w:hint="default" /&gt;
            &lt;/w:rPr&gt;
          &lt;/w:lvl&gt;
        &lt;/w:abstractNum&gt;
        &lt;w:abstractNum w:abstractNumId="68"&gt;
          &lt;w:nsid w:val="5F2A1ABE" /&gt;
          &lt;w:multiLevelType w:val="singleLevel" /&gt;
          &lt;w:tmpl w:val="B686D922" /&gt;
          &lt;w:lvl w:ilvl="0"&gt;
            &lt;w:start w:val="1" /&gt;
            &lt;w:numFmt w:val="bullet" /&gt;
            &lt;w:lvlText w:val="" /&gt;
            &lt;w:lvlJc w:val="left" /&gt;
            &lt;w:pPr&gt;
              &lt;w:tabs&gt;
                &lt;w:tab w:val="num" w:pos="432" /&gt;
              &lt;/w:tabs&gt;
              &lt;w:ind w:left="432" w:hanging="432" /&gt;
            &lt;/w:pPr&gt;
            &lt;w:rPr&gt;
              &lt;w:rFonts w:ascii="Symbol" w:hAnsi="Symbol" w:hint="default" /&gt;
            &lt;/w:rPr&gt;
          &lt;/w:lvl&gt;
        &lt;/w:abstractNum&gt;
        &lt;w:abstractNum w:abstractNumId="69"&gt;
          &lt;w:nsid w:val="5F3A6F28" /&gt;
          &lt;w:multiLevelType w:val="hybridMultilevel" /&gt;
          &lt;w:tmpl w:val="E83CD1AC" /&gt;
          &lt;w:lvl w:ilvl="0" w:tplc="668440E6"&gt;
            &lt;w:start w:val="1" /&gt;
            &lt;w:numFmt w:val="bullet" /&gt;
            &lt;w:lvlText w:val="" /&gt;
            &lt;w:lvlJc w:val="left" /&gt;
            &lt;w:pPr&gt;
              &lt;w:ind w:left="720" w:hanging="360" /&gt;
            &lt;/w:pPr&gt;
            &lt;w:rPr&gt;
              &lt;w:rFonts w:ascii="Symbol" w:hAnsi="Symbol" w:hint="default" /&gt;
            &lt;/w:rPr&gt;
          &lt;/w:lvl&gt;
          &lt;w:lvl w:ilvl="1" w:tplc="0978B978" w:tentative="1"&gt;
            &lt;w:start w:val="1" /&gt;
            &lt;w:numFmt w:val="bullet" /&gt;
            &lt;w:lvlText w:val="o" /&gt;
            &lt;w:lvlJc w:val="left" /&gt;
            &lt;w:pPr&gt;
              &lt;w:ind w:left="1440" w:hanging="360" /&gt;
            &lt;/w:pPr&gt;
            &lt;w:rPr&gt;
              &lt;w:rFonts w:ascii="Courier New" w:hAnsi="Courier New" w:cs="Courier New" w:hint="default" /&gt;
            &lt;/w:rPr&gt;
          &lt;/w:lvl&gt;
          &lt;w:lvl w:ilvl="2" w:tplc="DA220670" w:tentative="1"&gt;
            &lt;w:start w:val="1" /&gt;
            &lt;w:numFmt w:val="bullet" /&gt;
            &lt;w:lvlText w:val="" /&gt;
            &lt;w:lvlJc w:val="left" /&gt;
            &lt;w:pPr&gt;
              &lt;w:ind w:left="2160" w:hanging="360" /&gt;
            &lt;/w:pPr&gt;
            &lt;w:rPr&gt;
              &lt;w:rFonts w:ascii="Wingdings" w:hAnsi="Wingdings" w:hint="default" /&gt;
            &lt;/w:rPr&gt;
          &lt;/w:lvl&gt;
          &lt;w:lvl w:ilvl="3" w:tplc="519064CA" w:tentative="1"&gt;
            &lt;w:start w:val="1" /&gt;
            &lt;w:numFmt w:val="bullet" /&gt;
            &lt;w:lvlText w:val="" /&gt;
            &lt;w:lvlJc w:val="left" /&gt;
            &lt;w:pPr&gt;
              &lt;w:ind w:left="2880" w:hanging="360" /&gt;
            &lt;/w:pPr&gt;
            &lt;w:rPr&gt;
              &lt;w:rFonts w:ascii="Symbol" w:hAnsi="Symbol" w:hint="default" /&gt;
            &lt;/w:rPr&gt;
          &lt;/w:lvl&gt;
          &lt;w:lvl w:ilvl="4" w:tplc="0F523118" w:tentative="1"&gt;
            &lt;w:start w:val="1" /&gt;
            &lt;w:numFmt w:val="bullet" /&gt;
            &lt;w:lvlText w:val="o" /&gt;
            &lt;w:lvlJc w:val="left" /&gt;
            &lt;w:pPr&gt;
              &lt;w:ind w:left="3600" w:hanging="360" /&gt;
            &lt;/w:pPr&gt;
            &lt;w:rPr&gt;
              &lt;w:rFonts w:ascii="Courier New" w:hAnsi="Courier New" w:cs="Courier New" w:hint="default" /&gt;
            &lt;/w:rPr&gt;
          &lt;/w:lvl&gt;
          &lt;w:lvl w:ilvl="5" w:tplc="E70EB0C2" w:tentative="1"&gt;
            &lt;w:start w:val="1" /&gt;
            &lt;w:numFmt w:val="bullet" /&gt;
            &lt;w:lvlText w:val="" /&gt;
            &lt;w:lvlJc w:val="left" /&gt;
            &lt;w:pPr&gt;
              &lt;w:ind w:left="4320" w:hanging="360" /&gt;
            &lt;/w:pPr&gt;
            &lt;w:rPr&gt;
              &lt;w:rFonts w:ascii="Wingdings" w:hAnsi="Wingdings" w:hint="default" /&gt;
            &lt;/w:rPr&gt;
          &lt;/w:lvl&gt;
          &lt;w:lvl w:ilvl="6" w:tplc="975E649C" w:tentative="1"&gt;
            &lt;w:start w:val="1" /&gt;
            &lt;w:numFmt w:val="bullet" /&gt;
            &lt;w:lvlText w:val="" /&gt;
            &lt;w:lvlJc w:val="left" /&gt;
            &lt;w:pPr&gt;
              &lt;w:ind w:left="5040" w:hanging="360" /&gt;
            &lt;/w:pPr&gt;
            &lt;w:rPr&gt;
              &lt;w:rFonts w:ascii="Symbol" w:hAnsi="Symbol" w:hint="default" /&gt;
            &lt;/w:rPr&gt;
          &lt;/w:lvl&gt;
          &lt;w:lvl w:ilvl="7" w:tplc="360E2CA4" w:tentative="1"&gt;
            &lt;w:start w:val="1" /&gt;
            &lt;w:numFmt w:val="bullet" /&gt;
            &lt;w:lvlText w:val="o" /&gt;
            &lt;w:lvlJc w:val="left" /&gt;
            &lt;w:pPr&gt;
              &lt;w:ind w:left="5760" w:hanging="360" /&gt;
            &lt;/w:pPr&gt;
            &lt;w:rPr&gt;
              &lt;w:rFonts w:ascii="Courier New" w:hAnsi="Courier New" w:cs="Courier New" w:hint="default" /&gt;
            &lt;/w:rPr&gt;
          &lt;/w:lvl&gt;
          &lt;w:lvl w:ilvl="8" w:tplc="EB9C83BC" w:tentative="1"&gt;
            &lt;w:start w:val="1" /&gt;
            &lt;w:numFmt w:val="bullet" /&gt;
            &lt;w:lvlText w:val="" /&gt;
            &lt;w:lvlJc w:val="left" /&gt;
            &lt;w:pPr&gt;
              &lt;w:ind w:left="6480" w:hanging="360" /&gt;
            &lt;/w:pPr&gt;
            &lt;w:rPr&gt;
              &lt;w:rFonts w:ascii="Wingdings" w:hAnsi="Wingdings" w:hint="default" /&gt;
            &lt;/w:rPr&gt;
          &lt;/w:lvl&gt;
        &lt;/w:abstractNum&gt;
        &lt;w:abstractNum w:abstractNumId="70"&gt;
          &lt;w:nsid w:val="611227B5" /&gt;
          &lt;w:multiLevelType w:val="hybridMultilevel" /&gt;
          &lt;w:tmpl w:val="DD861FAE" /&gt;
          &lt;w:lvl w:ilvl="0" w:tplc="04090001"&gt;
            &lt;w:start w:val="1" /&gt;
            &lt;w:numFmt w:val="decimal" /&gt;
            &lt;w:lvlText w:val="%1." /&gt;
            &lt;w:lvlJc w:val="left" /&gt;
            &lt;w:pPr&gt;
              &lt;w:tabs&gt;
                &lt;w:tab w:val="num" w:pos="432" /&gt;
              &lt;/w:tabs&gt;
              &lt;w:ind w:left="432" w:hanging="432" /&gt;
            &lt;/w:pPr&gt;
            &lt;w:rPr&gt;
              &lt;w:rFonts w:ascii="Times New Roman" w:hAnsi="Times New Roman" w:hint="default" /&gt;
              &lt;w:sz w:val="22" /&gt;
            &lt;/w:rPr&gt;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w:abstractNumId="71"&gt;
          &lt;w:nsid w:val="62DB3D68" /&gt;
          &lt;w:multiLevelType w:val="hybridMultilevel" /&gt;
          &lt;w:tmpl w:val="3286A04E" /&gt;
          &lt;w:lvl w:ilvl="0" w:tplc="AF42F0A2"&gt;
            &lt;w:start w:val="1" /&gt;
            &lt;w:numFmt w:val="bullet" /&gt;
            &lt;w:lvlText w:val="·" /&gt;
            &lt;w:lvlJc w:val="left" /&gt;
            &lt;w:pPr&gt;
              &lt;w:tabs&gt;
                &lt;w:tab w:val="num" w:pos="173" /&gt;
              &lt;/w:tabs&gt;
              &lt;w:ind w:left="173" w:firstLine="0" /&gt;
            &lt;/w:pPr&gt;
            &lt;w:rPr&gt;
              &lt;w:rFonts w:ascii="Symbol" w:hAnsi="Symbol" w:hint="default" /&gt;
              &lt;w:color w:val="auto" /&gt;
            &lt;/w:rPr&gt;
          &lt;/w:lvl&gt;
          &lt;w:lvl w:ilvl="1" w:tplc="0EFC342C"&gt;
            &lt;w:start w:val="1" /&gt;
            &lt;w:numFmt w:val="bullet" /&gt;
            &lt;w:lvlText w:val="o" /&gt;
            &lt;w:lvlJc w:val="left" /&gt;
            &lt;w:pPr&gt;
              &lt;w:tabs&gt;
                &lt;w:tab w:val="num" w:pos="1440" /&gt;
              &lt;/w:tabs&gt;
              &lt;w:ind w:left="1440" w:hanging="360" /&gt;
            &lt;/w:pPr&gt;
            &lt;w:rPr&gt;
              &lt;w:rFonts w:ascii="Courier New" w:hAnsi="Courier New" w:cs="Courier New" w:hint="default" /&gt;
            &lt;/w:rPr&gt;
          &lt;/w:lvl&gt;
          &lt;w:lvl w:ilvl="2" w:tplc="CF00D720"&gt;
            &lt;w:start w:val="1" /&gt;
            &lt;w:numFmt w:val="bullet" /&gt;
            &lt;w:lvlText w:val="" /&gt;
            &lt;w:lvlJc w:val="left" /&gt;
            &lt;w:pPr&gt;
              &lt;w:tabs&gt;
                &lt;w:tab w:val="num" w:pos="2160" /&gt;
              &lt;/w:tabs&gt;
              &lt;w:ind w:left="2160" w:hanging="360" /&gt;
            &lt;/w:pPr&gt;
            &lt;w:rPr&gt;
              &lt;w:rFonts w:ascii="Wingdings" w:hAnsi="Wingdings" w:hint="default" /&gt;
            &lt;/w:rPr&gt;
          &lt;/w:lvl&gt;
          &lt;w:lvl w:ilvl="3" w:tplc="849AA462"&gt;
            &lt;w:start w:val="1" /&gt;
            &lt;w:numFmt w:val="bullet" /&gt;
            &lt;w:lvlText w:val="" /&gt;
            &lt;w:lvlJc w:val="left" /&gt;
            &lt;w:pPr&gt;
              &lt;w:tabs&gt;
                &lt;w:tab w:val="num" w:pos="2880" /&gt;
              &lt;/w:tabs&gt;
              &lt;w:ind w:left="2880" w:hanging="360" /&gt;
            &lt;/w:pPr&gt;
            &lt;w:rPr&gt;
              &lt;w:rFonts w:ascii="Symbol" w:hAnsi="Symbol" w:hint="default" /&gt;
            &lt;/w:rPr&gt;
          &lt;/w:lvl&gt;
          &lt;w:lvl w:ilvl="4" w:tplc="E16A4628"&gt;
            &lt;w:start w:val="1" /&gt;
            &lt;w:numFmt w:val="decimal" /&gt;
            &lt;w:lvlText w:val="%5." /&gt;
            &lt;w:lvlJc w:val="left" /&gt;
            &lt;w:pPr&gt;
              &lt;w:tabs&gt;
                &lt;w:tab w:val="num" w:pos="3600" /&gt;
              &lt;/w:tabs&gt;
              &lt;w:ind w:left="3600" w:hanging="360" /&gt;
            &lt;/w:pPr&gt;
          &lt;/w:lvl&gt;
          &lt;w:lvl w:ilvl="5" w:tplc="F86869C0"&gt;
            &lt;w:start w:val="1" /&gt;
            &lt;w:numFmt w:val="decimal" /&gt;
            &lt;w:lvlText w:val="%6." /&gt;
            &lt;w:lvlJc w:val="left" /&gt;
            &lt;w:pPr&gt;
              &lt;w:tabs&gt;
                &lt;w:tab w:val="num" w:pos="4320" /&gt;
              &lt;/w:tabs&gt;
              &lt;w:ind w:left="4320" w:hanging="360" /&gt;
            &lt;/w:pPr&gt;
          &lt;/w:lvl&gt;
          &lt;w:lvl w:ilvl="6" w:tplc="78FCBDCA"&gt;
            &lt;w:start w:val="1" /&gt;
            &lt;w:numFmt w:val="decimal" /&gt;
            &lt;w:lvlText w:val="%7." /&gt;
            &lt;w:lvlJc w:val="left" /&gt;
            &lt;w:pPr&gt;
              &lt;w:tabs&gt;
                &lt;w:tab w:val="num" w:pos="5040" /&gt;
              &lt;/w:tabs&gt;
              &lt;w:ind w:left="5040" w:hanging="360" /&gt;
            &lt;/w:pPr&gt;
          &lt;/w:lvl&gt;
          &lt;w:lvl w:ilvl="7" w:tplc="A4561F82"&gt;
            &lt;w:start w:val="1" /&gt;
            &lt;w:numFmt w:val="decimal" /&gt;
            &lt;w:lvlText w:val="%8." /&gt;
            &lt;w:lvlJc w:val="left" /&gt;
            &lt;w:pPr&gt;
              &lt;w:tabs&gt;
                &lt;w:tab w:val="num" w:pos="5760" /&gt;
              &lt;/w:tabs&gt;
              &lt;w:ind w:left="5760" w:hanging="360" /&gt;
            &lt;/w:pPr&gt;
          &lt;/w:lvl&gt;
          &lt;w:lvl w:ilvl="8" w:tplc="37F04E72"&gt;
            &lt;w:start w:val="1" /&gt;
            &lt;w:numFmt w:val="decimal" /&gt;
            &lt;w:lvlText w:val="%9." /&gt;
            &lt;w:lvlJc w:val="left" /&gt;
            &lt;w:pPr&gt;
              &lt;w:tabs&gt;
                &lt;w:tab w:val="num" w:pos="6480" /&gt;
              &lt;/w:tabs&gt;
              &lt;w:ind w:left="6480" w:hanging="360" /&gt;
            &lt;/w:pPr&gt;
          &lt;/w:lvl&gt;
        &lt;/w:abstractNum&gt;
        &lt;w:abstractNum w:abstractNumId="72"&gt;
          &lt;w:nsid w:val="6353386C" /&gt;
          &lt;w:multiLevelType w:val="hybridMultilevel" /&gt;
          &lt;w:tmpl w:val="97004FE4" /&gt;
          &lt;w:lvl w:ilvl="0" w:tplc="04090001"&gt;
            &lt;w:start w:val="1" /&gt;
            &lt;w:numFmt w:val="bullet" /&gt;
            &lt;w:lvlText w:val="" /&gt;
            &lt;w:lvlJc w:val="left" /&gt;
            &lt;w:pPr&gt;
              &lt;w:ind w:left="1080" w:hanging="360" /&gt;
            &lt;/w:pPr&gt;
            &lt;w:rPr&gt;
              &lt;w:rFonts w:ascii="Symbol" w:hAnsi="Symbol" w:hint="default" /&gt;
            &lt;/w:rPr&gt;
          &lt;/w:lvl&gt;
          &lt;w:lvl w:ilvl="1" w:tplc="E8E68730"&gt;
            &lt;w:start w:val="1" /&gt;
            &lt;w:numFmt w:val="lowerLetter" /&gt;
            &lt;w:lvlText w:val="%2." /&gt;
            &lt;w:lvlJc w:val="left" /&gt;
            &lt;w:pPr&gt;
              &lt;w:ind w:left="1800" w:hanging="360" /&gt;
            &lt;/w:pPr&gt;
          &lt;/w:lvl&gt;
          &lt;w:lvl w:ilvl="2" w:tplc="A57895DE" w:tentative="1"&gt;
            &lt;w:start w:val="1" /&gt;
            &lt;w:numFmt w:val="lowerRoman" /&gt;
            &lt;w:lvlText w:val="%3." /&gt;
            &lt;w:lvlJc w:val="right" /&gt;
            &lt;w:pPr&gt;
              &lt;w:ind w:left="2520" w:hanging="180" /&gt;
            &lt;/w:pPr&gt;
          &lt;/w:lvl&gt;
          &lt;w:lvl w:ilvl="3" w:tplc="FC4A47B2" w:tentative="1"&gt;
            &lt;w:start w:val="1" /&gt;
            &lt;w:numFmt w:val="decimal" /&gt;
            &lt;w:lvlText w:val="%4." /&gt;
            &lt;w:lvlJc w:val="left" /&gt;
            &lt;w:pPr&gt;
              &lt;w:ind w:left="3240" w:hanging="360" /&gt;
            &lt;/w:pPr&gt;
          &lt;/w:lvl&gt;
          &lt;w:lvl w:ilvl="4" w:tplc="E7289BB0" w:tentative="1"&gt;
            &lt;w:start w:val="1" /&gt;
            &lt;w:numFmt w:val="lowerLetter" /&gt;
            &lt;w:lvlText w:val="%5." /&gt;
            &lt;w:lvlJc w:val="left" /&gt;
            &lt;w:pPr&gt;
              &lt;w:ind w:left="3960" w:hanging="360" /&gt;
            &lt;/w:pPr&gt;
          &lt;/w:lvl&gt;
          &lt;w:lvl w:ilvl="5" w:tplc="3E12A0F6" w:tentative="1"&gt;
            &lt;w:start w:val="1" /&gt;
            &lt;w:numFmt w:val="lowerRoman" /&gt;
            &lt;w:lvlText w:val="%6." /&gt;
            &lt;w:lvlJc w:val="right" /&gt;
            &lt;w:pPr&gt;
              &lt;w:ind w:left="4680" w:hanging="180" /&gt;
            &lt;/w:pPr&gt;
          &lt;/w:lvl&gt;
          &lt;w:lvl w:ilvl="6" w:tplc="831C63CC" w:tentative="1"&gt;
            &lt;w:start w:val="1" /&gt;
            &lt;w:numFmt w:val="decimal" /&gt;
            &lt;w:lvlText w:val="%7." /&gt;
            &lt;w:lvlJc w:val="left" /&gt;
            &lt;w:pPr&gt;
              &lt;w:ind w:left="5400" w:hanging="360" /&gt;
            &lt;/w:pPr&gt;
          &lt;/w:lvl&gt;
          &lt;w:lvl w:ilvl="7" w:tplc="23583832" w:tentative="1"&gt;
            &lt;w:start w:val="1" /&gt;
            &lt;w:numFmt w:val="lowerLetter" /&gt;
            &lt;w:lvlText w:val="%8." /&gt;
            &lt;w:lvlJc w:val="left" /&gt;
            &lt;w:pPr&gt;
              &lt;w:ind w:left="6120" w:hanging="360" /&gt;
            &lt;/w:pPr&gt;
          &lt;/w:lvl&gt;
          &lt;w:lvl w:ilvl="8" w:tplc="2C8AFB8C" w:tentative="1"&gt;
            &lt;w:start w:val="1" /&gt;
            &lt;w:numFmt w:val="lowerRoman" /&gt;
            &lt;w:lvlText w:val="%9." /&gt;
            &lt;w:lvlJc w:val="right" /&gt;
            &lt;w:pPr&gt;
              &lt;w:ind w:left="6840" w:hanging="180" /&gt;
            &lt;/w:pPr&gt;
          &lt;/w:lvl&gt;
        &lt;/w:abstractNum&gt;
        &lt;w:abstractNum w:abstractNumId="73"&gt;
          &lt;w:nsid w:val="63AC76B8" /&gt;
          &lt;w:multiLevelType w:val="hybridMultilevel" /&gt;
          &lt;w:tmpl w:val="1A964626" /&gt;
          &lt;w:lvl w:ilvl="0" w:tplc="04090001"&gt;
            &lt;w:start w:val="1" /&gt;
            &lt;w:numFmt w:val="bullet" /&gt;
            &lt;w:lvlText w:val="" /&gt;
            &lt;w:lvlJc w:val="left" /&gt;
            &lt;w:pPr&gt;
              &lt;w:ind w:left="1440" w:hanging="360" /&gt;
            &lt;/w:pPr&gt;
            &lt;w:rPr&gt;
              &lt;w:rFonts w:ascii="Symbol" w:hAnsi="Symbol" w:hint="default" /&gt;
            &lt;/w:rPr&gt;
          &lt;/w:lvl&gt;
          &lt;w:lvl w:ilvl="1" w:tplc="04090003"&gt;
            &lt;w:start w:val="1" /&gt;
            &lt;w:numFmt w:val="bullet" /&gt;
            &lt;w:lvlText w:val="o" /&gt;
            &lt;w:lvlJc w:val="left" /&gt;
            &lt;w:pPr&gt;
              &lt;w:ind w:left="2160" w:hanging="360" /&gt;
            &lt;/w:pPr&gt;
            &lt;w:rPr&gt;
              &lt;w:rFonts w:ascii="Courier New" w:hAnsi="Courier New" w:cs="Courier New" w:hint="default" /&gt;
            &lt;/w:rPr&gt;
          &lt;/w:lvl&gt;
          &lt;w:lvl w:ilvl="2" w:tplc="04090005" w:tentative="1"&gt;
            &lt;w:start w:val="1" /&gt;
            &lt;w:numFmt w:val="bullet" /&gt;
            &lt;w:lvlText w:val="" /&gt;
            &lt;w:lvlJc w:val="left" /&gt;
            &lt;w:pPr&gt;
              &lt;w:ind w:left="2880" w:hanging="360" /&gt;
            &lt;/w:pPr&gt;
            &lt;w:rPr&gt;
              &lt;w:rFonts w:ascii="Wingdings" w:hAnsi="Wingdings" w:hint="default" /&gt;
            &lt;/w:rPr&gt;
          &lt;/w:lvl&gt;
          &lt;w:lvl w:ilvl="3" w:tplc="04090001" w:tentative="1"&gt;
            &lt;w:start w:val="1" /&gt;
            &lt;w:numFmt w:val="bullet" /&gt;
            &lt;w:lvlText w:val="" /&gt;
            &lt;w:lvlJc w:val="left" /&gt;
            &lt;w:pPr&gt;
              &lt;w:ind w:left="3600" w:hanging="360" /&gt;
            &lt;/w:pPr&gt;
            &lt;w:rPr&gt;
              &lt;w:rFonts w:ascii="Symbol" w:hAnsi="Symbol" w:hint="default" /&gt;
            &lt;/w:rPr&gt;
          &lt;/w:lvl&gt;
          &lt;w:lvl w:ilvl="4" w:tplc="04090003" w:tentative="1"&gt;
            &lt;w:start w:val="1" /&gt;
            &lt;w:numFmt w:val="bullet" /&gt;
            &lt;w:lvlText w:val="o" /&gt;
            &lt;w:lvlJc w:val="left" /&gt;
            &lt;w:pPr&gt;
              &lt;w:ind w:left="4320" w:hanging="360" /&gt;
            &lt;/w:pPr&gt;
            &lt;w:rPr&gt;
              &lt;w:rFonts w:ascii="Courier New" w:hAnsi="Courier New" w:cs="Courier New" w:hint="default" /&gt;
            &lt;/w:rPr&gt;
          &lt;/w:lvl&gt;
          &lt;w:lvl w:ilvl="5" w:tplc="04090005" w:tentative="1"&gt;
            &lt;w:start w:val="1" /&gt;
            &lt;w:numFmt w:val="bullet" /&gt;
            &lt;w:lvlText w:val="" /&gt;
            &lt;w:lvlJc w:val="left" /&gt;
            &lt;w:pPr&gt;
              &lt;w:ind w:left="5040" w:hanging="360" /&gt;
            &lt;/w:pPr&gt;
            &lt;w:rPr&gt;
              &lt;w:rFonts w:ascii="Wingdings" w:hAnsi="Wingdings" w:hint="default" /&gt;
            &lt;/w:rPr&gt;
          &lt;/w:lvl&gt;
          &lt;w:lvl w:ilvl="6" w:tplc="04090001" w:tentative="1"&gt;
            &lt;w:start w:val="1" /&gt;
            &lt;w:numFmt w:val="bullet" /&gt;
            &lt;w:lvlText w:val="" /&gt;
            &lt;w:lvlJc w:val="left" /&gt;
            &lt;w:pPr&gt;
              &lt;w:ind w:left="5760" w:hanging="360" /&gt;
            &lt;/w:pPr&gt;
            &lt;w:rPr&gt;
              &lt;w:rFonts w:ascii="Symbol" w:hAnsi="Symbol" w:hint="default" /&gt;
            &lt;/w:rPr&gt;
          &lt;/w:lvl&gt;
          &lt;w:lvl w:ilvl="7" w:tplc="04090003" w:tentative="1"&gt;
            &lt;w:start w:val="1" /&gt;
            &lt;w:numFmt w:val="bullet" /&gt;
            &lt;w:lvlText w:val="o" /&gt;
            &lt;w:lvlJc w:val="left" /&gt;
            &lt;w:pPr&gt;
              &lt;w:ind w:left="6480" w:hanging="360" /&gt;
            &lt;/w:pPr&gt;
            &lt;w:rPr&gt;
              &lt;w:rFonts w:ascii="Courier New" w:hAnsi="Courier New" w:cs="Courier New" w:hint="default" /&gt;
            &lt;/w:rPr&gt;
          &lt;/w:lvl&gt;
          &lt;w:lvl w:ilvl="8" w:tplc="04090005" w:tentative="1"&gt;
            &lt;w:start w:val="1" /&gt;
            &lt;w:numFmt w:val="bullet" /&gt;
            &lt;w:lvlText w:val="" /&gt;
            &lt;w:lvlJc w:val="left" /&gt;
            &lt;w:pPr&gt;
              &lt;w:ind w:left="7200" w:hanging="360" /&gt;
            &lt;/w:pPr&gt;
            &lt;w:rPr&gt;
              &lt;w:rFonts w:ascii="Wingdings" w:hAnsi="Wingdings" w:hint="default" /&gt;
            &lt;/w:rPr&gt;
          &lt;/w:lvl&gt;
        &lt;/w:abstractNum&gt;
        &lt;w:abstractNum w:abstractNumId="74"&gt;
          &lt;w:nsid w:val="63DC4716" /&gt;
          &lt;w:multiLevelType w:val="hybridMultilevel" /&gt;
          &lt;w:tmpl w:val="3A288F9A" /&gt;
          &lt;w:lvl w:ilvl="0" w:tplc="B1769F9E"&gt;
            &lt;w:start w:val="1" /&gt;
            &lt;w:numFmt w:val="lowerLetter" /&gt;
            &lt;w:lvlText w:val="%1." /&gt;
            &lt;w:lvlJc w:val="left" /&gt;
            &lt;w:pPr&gt;
              &lt;w:ind w:left="720" w:hanging="360" /&gt;
            &lt;/w:pPr&gt;
          &lt;/w:lvl&gt;
          &lt;w:lvl w:ilvl="1" w:tplc="04090003" w:tentative="1"&gt;
            &lt;w:start w:val="1" /&gt;
            &lt;w:numFmt w:val="lowerLetter" /&gt;
            &lt;w:lvlText w:val="%2." /&gt;
            &lt;w:lvlJc w:val="left" /&gt;
            &lt;w:pPr&gt;
              &lt;w:ind w:left="1440" w:hanging="360" /&gt;
            &lt;/w:pPr&gt;
          &lt;/w:lvl&gt;
          &lt;w:lvl w:ilvl="2" w:tplc="04090005" w:tentative="1"&gt;
            &lt;w:start w:val="1" /&gt;
            &lt;w:numFmt w:val="lowerRoman" /&gt;
            &lt;w:lvlText w:val="%3." /&gt;
            &lt;w:lvlJc w:val="right" /&gt;
            &lt;w:pPr&gt;
              &lt;w:ind w:left="2160" w:hanging="180" /&gt;
            &lt;/w:pPr&gt;
          &lt;/w:lvl&gt;
          &lt;w:lvl w:ilvl="3" w:tplc="04090001" w:tentative="1"&gt;
            &lt;w:start w:val="1" /&gt;
            &lt;w:numFmt w:val="decimal" /&gt;
            &lt;w:lvlText w:val="%4." /&gt;
            &lt;w:lvlJc w:val="left" /&gt;
            &lt;w:pPr&gt;
              &lt;w:ind w:left="2880" w:hanging="360" /&gt;
            &lt;/w:pPr&gt;
          &lt;/w:lvl&gt;
          &lt;w:lvl w:ilvl="4" w:tplc="04090003" w:tentative="1"&gt;
            &lt;w:start w:val="1" /&gt;
            &lt;w:numFmt w:val="lowerLetter" /&gt;
            &lt;w:lvlText w:val="%5." /&gt;
            &lt;w:lvlJc w:val="left" /&gt;
            &lt;w:pPr&gt;
              &lt;w:ind w:left="3600" w:hanging="360" /&gt;
            &lt;/w:pPr&gt;
          &lt;/w:lvl&gt;
          &lt;w:lvl w:ilvl="5" w:tplc="04090005" w:tentative="1"&gt;
            &lt;w:start w:val="1" /&gt;
            &lt;w:numFmt w:val="lowerRoman" /&gt;
            &lt;w:lvlText w:val="%6." /&gt;
            &lt;w:lvlJc w:val="right" /&gt;
            &lt;w:pPr&gt;
              &lt;w:ind w:left="4320" w:hanging="180" /&gt;
            &lt;/w:pPr&gt;
          &lt;/w:lvl&gt;
          &lt;w:lvl w:ilvl="6" w:tplc="04090001" w:tentative="1"&gt;
            &lt;w:start w:val="1" /&gt;
            &lt;w:numFmt w:val="decimal" /&gt;
            &lt;w:lvlText w:val="%7." /&gt;
            &lt;w:lvlJc w:val="left" /&gt;
            &lt;w:pPr&gt;
              &lt;w:ind w:left="5040" w:hanging="360" /&gt;
            &lt;/w:pPr&gt;
          &lt;/w:lvl&gt;
          &lt;w:lvl w:ilvl="7" w:tplc="04090003" w:tentative="1"&gt;
            &lt;w:start w:val="1" /&gt;
            &lt;w:numFmt w:val="lowerLetter" /&gt;
            &lt;w:lvlText w:val="%8." /&gt;
            &lt;w:lvlJc w:val="left" /&gt;
            &lt;w:pPr&gt;
              &lt;w:ind w:left="5760" w:hanging="360" /&gt;
            &lt;/w:pPr&gt;
          &lt;/w:lvl&gt;
          &lt;w:lvl w:ilvl="8" w:tplc="04090005" w:tentative="1"&gt;
            &lt;w:start w:val="1" /&gt;
            &lt;w:numFmt w:val="lowerRoman" /&gt;
            &lt;w:lvlText w:val="%9." /&gt;
            &lt;w:lvlJc w:val="right" /&gt;
            &lt;w:pPr&gt;
              &lt;w:ind w:left="6480" w:hanging="180" /&gt;
            &lt;/w:pPr&gt;
          &lt;/w:lvl&gt;
        &lt;/w:abstractNum&gt;
        &lt;w:abstractNum w:abstractNumId="75"&gt;
          &lt;w:nsid w:val="641A1632" /&gt;
          &lt;w:multiLevelType w:val="hybridMultilevel" /&gt;
          &lt;w:tmpl w:val="EFDC5884"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w:abstractNumId="76"&gt;
          &lt;w:nsid w:val="656C3793" /&gt;
          &lt;w:multiLevelType w:val="multilevel" /&gt;
          &lt;w:tmpl w:val="FC68BD5E" /&gt;
          &lt;w:lvl w:ilvl="0"&gt;
            &lt;w:start w:val="1" /&gt;
            &lt;w:numFmt w:val="decimal" /&gt;
            &lt;w:pStyle w:val="Heading1" /&gt;
            &lt;w:lvlText w:val="%1."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w:ilvl="1"&gt;
            &lt;w:start w:val="1" /&gt;
            &lt;w:numFmt w:val="decimal" /&gt;
            &lt;w:pStyle w:val="Heading2" /&gt;
            &lt;w:lvlText w:val="%1.%2." /&gt;
            &lt;w:lvlJc w:val="left" /&gt;
            &lt;w:pPr&gt;
              &lt;w:ind w:left="1260"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w:ilvl="2"&gt;
            &lt;w:start w:val="1" /&gt;
            &lt;w:numFmt w:val="decimal" /&gt;
            &lt;w:pStyle w:val="Heading3" /&gt;
            &lt;w:lvlText w:val="%1.%2.%3." /&gt;
            &lt;w:lvlJc w:val="left" /&gt;
            &lt;w:pPr&gt;
              &lt;w:ind w:left="1080" w:hanging="1080" /&gt;
            &lt;/w:pPr&gt;
            &lt;w:rPr&gt;
              &lt;w:rFonts w:ascii="Times New Roman" w:hAnsi="Times New Roman" /&gt;
              &lt;w:b /&gt;
              &lt;w:bCs w:val="0" /&gt;
              &lt;w:i w:val="0" /&gt;
              &lt;w:iCs w:val="0" /&gt;
              &lt;w:caps w:val="0" /&gt;
              &lt;w:smallCaps w:val="0" /&gt;
              &lt;w:strike w:val="0" /&gt;
              &lt;w:dstrike w:val="0" /&gt;
              &lt;w:noProof w:val="0" /&gt;
              &lt;w:vanish w:val="0" /&gt;
              &lt;w:color w:val="000000" /&gt;
              &lt;w:spacing w:val="0" /&gt;
              &lt;w:kern w:val="0" /&gt;
              &lt;w:position w:val="0" /&gt;
              &lt;w:u w:val="none" /&gt;
              &lt;w:effect w:val="none" /&gt;
              &lt;w:vertAlign w:val="baseline" /&gt;
              &lt;w:em w:val="none" /&gt;
              &lt;w:specVanish w:val="0" /&gt;
            &lt;/w:rPr&gt;
          &lt;/w:lvl&gt;
          &lt;w:lvl w:ilvl="3"&gt;
            &lt;w:start w:val="1" /&gt;
            &lt;w:numFmt w:val="decimal" /&gt;
            &lt;w:pStyle w:val="Heading4" /&gt;
            &lt;w:lvlText w:val="%1.%2.%3.%4." /&gt;
            &lt;w:lvlJc w:val="left" /&gt;
            &lt;w:pPr&gt;
              &lt;w:ind w:left="1080" w:hanging="1080" /&gt;
            &lt;/w:pPr&gt;
            &lt;w:rPr&gt;
              &lt;w:rFonts w:hint="default" /&gt;
            &lt;/w:rPr&gt;
          &lt;/w:lvl&gt;
          &lt;w:lvl w:ilvl="4"&gt;
            &lt;w:start w:val="1" /&gt;
            &lt;w:numFmt w:val="decimal" /&gt;
            &lt;w:pStyle w:val="Heading5" /&gt;
            &lt;w:lvlText w:val="%1.%2.%3.%4.%5." /&gt;
            &lt;w:lvlJc w:val="left" /&gt;
            &lt;w:pPr&gt;
              &lt;w:tabs&gt;
                &lt;w:tab w:val="num" w:pos="1080" /&gt;
              &lt;/w:tabs&gt;
              &lt;w:ind w:left="1080" w:hanging="1080" /&gt;
            &lt;/w:pPr&gt;
            &lt;w:rPr&gt;
              &lt;w:rFonts w:hint="default" /&gt;
            &lt;/w:rPr&gt;
          &lt;/w:lvl&gt;
          &lt;w:lvl w:ilvl="5"&gt;
            &lt;w:start w:val="1" /&gt;
            &lt;w:numFmt w:val="decimal" /&gt;
            &lt;w:pStyle w:val="Heading6" /&gt;
            &lt;w:lvlText w:val="%1.%2.%3.%4.%5.%6." /&gt;
            &lt;w:lvlJc w:val="left" /&gt;
            &lt;w:pPr&gt;
              &lt;w:tabs&gt;
                &lt;w:tab w:val="num" w:pos="1080" /&gt;
              &lt;/w:tabs&gt;
              &lt;w:ind w:left="1080" w:hanging="1080" /&gt;
            &lt;/w:pPr&gt;
            &lt;w:rPr&gt;
              &lt;w:rFonts w:hint="default" /&gt;
            &lt;/w:rPr&gt;
          &lt;/w:lvl&gt;
          &lt;w:lvl w:ilvl="6"&gt;
            &lt;w:start w:val="1" /&gt;
            &lt;w:numFmt w:val="decimal" /&gt;
            &lt;w:lvlText w:val="%1.%2.%3.%4.%5.%6.%7." /&gt;
            &lt;w:lvlJc w:val="left" /&gt;
            &lt;w:pPr&gt;
              &lt;w:ind w:left="3240" w:hanging="1080" /&gt;
            &lt;/w:pPr&gt;
            &lt;w:rPr&gt;
              &lt;w:rFonts w:hint="default" /&gt;
            &lt;/w:rPr&gt;
          &lt;/w:lvl&gt;
          &lt;w:lvl w:ilvl="7"&gt;
            &lt;w:start w:val="1" /&gt;
            &lt;w:numFmt w:val="decimal" /&gt;
            &lt;w:lvlText w:val="%1.%2.%3.%4.%5.%6.%7.%8." /&gt;
            &lt;w:lvlJc w:val="left" /&gt;
            &lt;w:pPr&gt;
              &lt;w:ind w:left="3744" w:hanging="1224" /&gt;
            &lt;/w:pPr&gt;
            &lt;w:rPr&gt;
              &lt;w:rFonts w:hint="default" /&gt;
            &lt;/w:rPr&gt;
          &lt;/w:lvl&gt;
          &lt;w:lvl w:ilvl="8"&gt;
            &lt;w:start w:val="1" /&gt;
            &lt;w:numFmt w:val="decimal" /&gt;
            &lt;w:lvlText w:val="%1.%2.%3.%4.%5.%6.%7.%8.%9." /&gt;
            &lt;w:lvlJc w:val="left" /&gt;
            &lt;w:pPr&gt;
              &lt;w:ind w:left="4320" w:hanging="1440" /&gt;
            &lt;/w:pPr&gt;
            &lt;w:rPr&gt;
              &lt;w:rFonts w:hint="default" /&gt;
            &lt;/w:rPr&gt;
          &lt;/w:lvl&gt;
        &lt;/w:abstractNum&gt;
        &lt;w:abstractNum w:abstractNumId="77"&gt;
          &lt;w:nsid w:val="65E0129D" /&gt;
          &lt;w:multiLevelType w:val="hybridMultilevel" /&gt;
          &lt;w:tmpl w:val="A1500B7A"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w:abstractNumId="78"&gt;
          &lt;w:nsid w:val="6AF17F6D" /&gt;
          &lt;w:multiLevelType w:val="multilevel" /&gt;
          &lt;w:tmpl w:val="0409001D" /&gt;
          &lt;w:styleLink w:val="1ai" /&gt;
          &lt;w:lvl w:ilvl="0"&gt;
            &lt;w:start w:val="1" /&gt;
            &lt;w:numFmt w:val="decimal" /&gt;
            &lt;w:lvlText w:val="%1)" /&gt;
            &lt;w:lvlJc w:val="left" /&gt;
            &lt;w:pPr&gt;
              &lt;w:ind w:left="360" w:hanging="360" /&gt;
            &lt;/w:pPr&gt;
          &lt;/w:lvl&gt;
          &lt;w:lvl w:ilvl="1"&gt;
            &lt;w:start w:val="1" /&gt;
            &lt;w:numFmt w:val="lowerLetter" /&gt;
            &lt;w:lvlText w:val="%2)" /&gt;
            &lt;w:lvlJc w:val="left" /&gt;
            &lt;w:pPr&gt;
              &lt;w:ind w:left="720" w:hanging="360" /&gt;
            &lt;/w:pPr&gt;
          &lt;/w:lvl&gt;
          &lt;w:lvl w:ilvl="2"&gt;
            &lt;w:start w:val="1" /&gt;
            &lt;w:numFmt w:val="lowerRoman" /&gt;
            &lt;w:lvlText w:val="%3)" /&gt;
            &lt;w:lvlJc w:val="left" /&gt;
            &lt;w:pPr&gt;
              &lt;w:ind w:left="1080" w:hanging="360" /&gt;
            &lt;/w:pPr&gt;
          &lt;/w:lvl&gt;
          &lt;w:lvl w:ilvl="3"&gt;
            &lt;w:start w:val="1" /&gt;
            &lt;w:numFmt w:val="decimal" /&gt;
            &lt;w:lvlText w:val="(%4)" /&gt;
            &lt;w:lvlJc w:val="left" /&gt;
            &lt;w:pPr&gt;
              &lt;w:ind w:left="1440" w:hanging="360" /&gt;
            &lt;/w:pPr&gt;
          &lt;/w:lvl&gt;
          &lt;w:lvl w:ilvl="4"&gt;
            &lt;w:start w:val="1" /&gt;
            &lt;w:numFmt w:val="lowerLetter" /&gt;
            &lt;w:lvlText w:val="(%5)" /&gt;
            &lt;w:lvlJc w:val="left" /&gt;
            &lt;w:pPr&gt;
              &lt;w:ind w:left="1800" w:hanging="360" /&gt;
            &lt;/w:pPr&gt;
          &lt;/w:lvl&gt;
          &lt;w:lvl w:ilvl="5"&gt;
            &lt;w:start w:val="1" /&gt;
            &lt;w:numFmt w:val="lowerRoman" /&gt;
            &lt;w:lvlText w:val="(%6)" /&gt;
            &lt;w:lvlJc w:val="left" /&gt;
            &lt;w:pPr&gt;
              &lt;w:ind w:left="2160" w:hanging="360" /&gt;
            &lt;/w:pPr&gt;
          &lt;/w:lvl&gt;
          &lt;w:lvl w:ilvl="6"&gt;
            &lt;w:start w:val="1" /&gt;
            &lt;w:numFmt w:val="decimal" /&gt;
            &lt;w:lvlText w:val="%7." /&gt;
            &lt;w:lvlJc w:val="left" /&gt;
            &lt;w:pPr&gt;
              &lt;w:ind w:left="2520" w:hanging="360" /&gt;
            &lt;/w:pPr&gt;
          &lt;/w:lvl&gt;
          &lt;w:lvl w:ilvl="7"&gt;
            &lt;w:start w:val="1" /&gt;
            &lt;w:numFmt w:val="lowerLetter" /&gt;
            &lt;w:lvlText w:val="%8." /&gt;
            &lt;w:lvlJc w:val="left" /&gt;
            &lt;w:pPr&gt;
              &lt;w:ind w:left="2880" w:hanging="360" /&gt;
            &lt;/w:pPr&gt;
          &lt;/w:lvl&gt;
          &lt;w:lvl w:ilvl="8"&gt;
            &lt;w:start w:val="1" /&gt;
            &lt;w:numFmt w:val="lowerRoman" /&gt;
            &lt;w:lvlText w:val="%9." /&gt;
            &lt;w:lvlJc w:val="left" /&gt;
            &lt;w:pPr&gt;
              &lt;w:ind w:left="3240" w:hanging="360" /&gt;
            &lt;/w:pPr&gt;
          &lt;/w:lvl&gt;
        &lt;/w:abstractNum&gt;
        &lt;w:abstractNum w:abstractNumId="79"&gt;
          &lt;w:nsid w:val="6C2214B9" /&gt;
          &lt;w:multiLevelType w:val="multilevel" /&gt;
          &lt;w:tmpl w:val="69F42EB2" /&gt;
          &lt;w:lvl w:ilvl="0"&gt;
            &lt;w:start w:val="1" /&gt;
            &lt;w:numFmt w:val="bullet" /&gt;
            &lt;w:lvlText w:val="o" /&gt;
            &lt;w:lvlJc w:val="left" /&gt;
            &lt;w:pPr&gt;
              &lt;w:tabs&gt;
                &lt;w:tab w:val="num" w:pos="720" /&gt;
              &lt;/w:tabs&gt;
              &lt;w:ind w:left="720" w:hanging="360" /&gt;
            &lt;/w:pPr&gt;
            &lt;w:rPr&gt;
              &lt;w:rFonts w:ascii="Courier New" w:hAnsi="Courier New" w:hint="default" /&gt;
              &lt;w:sz w:val="20" /&gt;
            &lt;/w:rPr&gt;
          &lt;/w:lvl&gt;
          &lt;w:lvl w:ilvl="1" w:tentative="1"&gt;
            &lt;w:start w:val="1" /&gt;
            &lt;w:numFmt w:val="bullet" /&gt;
            &lt;w:lvlText w:val="o" /&gt;
            &lt;w:lvlJc w:val="left" /&gt;
            &lt;w:pPr&gt;
              &lt;w:tabs&gt;
                &lt;w:tab w:val="num" w:pos="1440" /&gt;
              &lt;/w:tabs&gt;
              &lt;w:ind w:left="1440" w:hanging="360" /&gt;
            &lt;/w:pPr&gt;
            &lt;w:rPr&gt;
              &lt;w:rFonts w:ascii="Courier New" w:hAnsi="Courier New" w:hint="default" /&gt;
              &lt;w:sz w:val="20" /&gt;
            &lt;/w:rPr&gt;
          &lt;/w:lvl&gt;
          &lt;w:lvl w:ilvl="2" w:tentative="1"&gt;
            &lt;w:start w:val="1" /&gt;
            &lt;w:numFmt w:val="bullet" /&gt;
            &lt;w:lvlText w:val="o" /&gt;
            &lt;w:lvlJc w:val="left" /&gt;
            &lt;w:pPr&gt;
              &lt;w:tabs&gt;
                &lt;w:tab w:val="num" w:pos="2160" /&gt;
              &lt;/w:tabs&gt;
              &lt;w:ind w:left="2160" w:hanging="360" /&gt;
            &lt;/w:pPr&gt;
            &lt;w:rPr&gt;
              &lt;w:rFonts w:ascii="Courier New" w:hAnsi="Courier New" w:hint="default" /&gt;
              &lt;w:sz w:val="20" /&gt;
            &lt;/w:rPr&gt;
          &lt;/w:lvl&gt;
          &lt;w:lvl w:ilvl="3" w:tentative="1"&gt;
            &lt;w:start w:val="1" /&gt;
            &lt;w:numFmt w:val="bullet" /&gt;
            &lt;w:lvlText w:val="o" /&gt;
            &lt;w:lvlJc w:val="left" /&gt;
            &lt;w:pPr&gt;
              &lt;w:tabs&gt;
                &lt;w:tab w:val="num" w:pos="2880" /&gt;
              &lt;/w:tabs&gt;
              &lt;w:ind w:left="2880" w:hanging="360" /&gt;
            &lt;/w:pPr&gt;
            &lt;w:rPr&gt;
              &lt;w:rFonts w:ascii="Courier New" w:hAnsi="Courier New" w:hint="default" /&gt;
              &lt;w:sz w:val="20" /&gt;
            &lt;/w:rPr&gt;
          &lt;/w:lvl&gt;
          &lt;w:lvl w:ilvl="4" w:tentative="1"&gt;
            &lt;w:start w:val="1" /&gt;
            &lt;w:numFmt w:val="bullet" /&gt;
            &lt;w:lvlText w:val="o" /&gt;
            &lt;w:lvlJc w:val="left" /&gt;
            &lt;w:pPr&gt;
              &lt;w:tabs&gt;
                &lt;w:tab w:val="num" w:pos="3600" /&gt;
              &lt;/w:tabs&gt;
              &lt;w:ind w:left="3600" w:hanging="360" /&gt;
            &lt;/w:pPr&gt;
            &lt;w:rPr&gt;
              &lt;w:rFonts w:ascii="Courier New" w:hAnsi="Courier New" w:hint="default" /&gt;
              &lt;w:sz w:val="20" /&gt;
            &lt;/w:rPr&gt;
          &lt;/w:lvl&gt;
          &lt;w:lvl w:ilvl="5" w:tentative="1"&gt;
            &lt;w:start w:val="1" /&gt;
            &lt;w:numFmt w:val="bullet" /&gt;
            &lt;w:lvlText w:val="o" /&gt;
            &lt;w:lvlJc w:val="left" /&gt;
            &lt;w:pPr&gt;
              &lt;w:tabs&gt;
                &lt;w:tab w:val="num" w:pos="4320" /&gt;
              &lt;/w:tabs&gt;
              &lt;w:ind w:left="4320" w:hanging="360" /&gt;
            &lt;/w:pPr&gt;
            &lt;w:rPr&gt;
              &lt;w:rFonts w:ascii="Courier New" w:hAnsi="Courier New" w:hint="default" /&gt;
              &lt;w:sz w:val="20" /&gt;
            &lt;/w:rPr&gt;
          &lt;/w:lvl&gt;
          &lt;w:lvl w:ilvl="6" w:tentative="1"&gt;
            &lt;w:start w:val="1" /&gt;
            &lt;w:numFmt w:val="bullet" /&gt;
            &lt;w:lvlText w:val="o" /&gt;
            &lt;w:lvlJc w:val="left" /&gt;
            &lt;w:pPr&gt;
              &lt;w:tabs&gt;
                &lt;w:tab w:val="num" w:pos="5040" /&gt;
              &lt;/w:tabs&gt;
              &lt;w:ind w:left="5040" w:hanging="360" /&gt;
            &lt;/w:pPr&gt;
            &lt;w:rPr&gt;
              &lt;w:rFonts w:ascii="Courier New" w:hAnsi="Courier New" w:hint="default" /&gt;
              &lt;w:sz w:val="20" /&gt;
            &lt;/w:rPr&gt;
          &lt;/w:lvl&gt;
          &lt;w:lvl w:ilvl="7" w:tentative="1"&gt;
            &lt;w:start w:val="1" /&gt;
            &lt;w:numFmt w:val="bullet" /&gt;
            &lt;w:lvlText w:val="o" /&gt;
            &lt;w:lvlJc w:val="left" /&gt;
            &lt;w:pPr&gt;
              &lt;w:tabs&gt;
                &lt;w:tab w:val="num" w:pos="5760" /&gt;
              &lt;/w:tabs&gt;
              &lt;w:ind w:left="5760" w:hanging="360" /&gt;
            &lt;/w:pPr&gt;
            &lt;w:rPr&gt;
              &lt;w:rFonts w:ascii="Courier New" w:hAnsi="Courier New" w:hint="default" /&gt;
              &lt;w:sz w:val="20" /&gt;
            &lt;/w:rPr&gt;
          &lt;/w:lvl&gt;
          &lt;w:lvl w:ilvl="8" w:tentative="1"&gt;
            &lt;w:start w:val="1" /&gt;
            &lt;w:numFmt w:val="bullet" /&gt;
            &lt;w:lvlText w:val="o" /&gt;
            &lt;w:lvlJc w:val="left" /&gt;
            &lt;w:pPr&gt;
              &lt;w:tabs&gt;
                &lt;w:tab w:val="num" w:pos="6480" /&gt;
              &lt;/w:tabs&gt;
              &lt;w:ind w:left="6480" w:hanging="360" /&gt;
            &lt;/w:pPr&gt;
            &lt;w:rPr&gt;
              &lt;w:rFonts w:ascii="Courier New" w:hAnsi="Courier New" w:hint="default" /&gt;
              &lt;w:sz w:val="20" /&gt;
            &lt;/w:rPr&gt;
          &lt;/w:lvl&gt;
        &lt;/w:abstractNum&gt;
        &lt;w:abstractNum w:abstractNumId="80"&gt;
          &lt;w:nsid w:val="6D273DC5" /&gt;
          &lt;w:multiLevelType w:val="hybridMultilevel" /&gt;
          &lt;w:tmpl w:val="32C89C8E" /&gt;
          &lt;w:lvl w:ilvl="0" w:tplc="4A5AD112"&gt;
            &lt;w:start w:val="1" /&gt;
            &lt;w:numFmt w:val="decimal" /&gt;
            &lt;w:lvlText w:val="%1." /&gt;
            &lt;w:lvlJc w:val="left" /&gt;
            &lt;w:pPr&gt;
              &lt;w:ind w:left="928" w:hanging="360" /&gt;
            &lt;/w:pPr&gt;
            &lt;w:rPr&gt;
              &lt;w:rFonts w:hint="default" /&gt;
            &lt;/w:rPr&gt;
          &lt;/w:lvl&gt;
          &lt;w:lvl w:ilvl="1" w:tplc="04090019" w:tentative="1"&gt;
            &lt;w:start w:val="1" /&gt;
            &lt;w:numFmt w:val="lowerLetter" /&gt;
            &lt;w:lvlText w:val="%2." /&gt;
            &lt;w:lvlJc w:val="left" /&gt;
            &lt;w:pPr&gt;
              &lt;w:ind w:left="1648" w:hanging="360" /&gt;
            &lt;/w:pPr&gt;
          &lt;/w:lvl&gt;
          &lt;w:lvl w:ilvl="2" w:tplc="0409001B" w:tentative="1"&gt;
            &lt;w:start w:val="1" /&gt;
            &lt;w:numFmt w:val="lowerRoman" /&gt;
            &lt;w:lvlText w:val="%3." /&gt;
            &lt;w:lvlJc w:val="right" /&gt;
            &lt;w:pPr&gt;
              &lt;w:ind w:left="2368" w:hanging="180" /&gt;
            &lt;/w:pPr&gt;
          &lt;/w:lvl&gt;
          &lt;w:lvl w:ilvl="3" w:tplc="0409000F" w:tentative="1"&gt;
            &lt;w:start w:val="1" /&gt;
            &lt;w:numFmt w:val="decimal" /&gt;
            &lt;w:lvlText w:val="%4." /&gt;
            &lt;w:lvlJc w:val="left" /&gt;
            &lt;w:pPr&gt;
              &lt;w:ind w:left="3088" w:hanging="360" /&gt;
            &lt;/w:pPr&gt;
          &lt;/w:lvl&gt;
          &lt;w:lvl w:ilvl="4" w:tplc="04090019" w:tentative="1"&gt;
            &lt;w:start w:val="1" /&gt;
            &lt;w:numFmt w:val="lowerLetter" /&gt;
            &lt;w:lvlText w:val="%5." /&gt;
            &lt;w:lvlJc w:val="left" /&gt;
            &lt;w:pPr&gt;
              &lt;w:ind w:left="3808" w:hanging="360" /&gt;
            &lt;/w:pPr&gt;
          &lt;/w:lvl&gt;
          &lt;w:lvl w:ilvl="5" w:tplc="0409001B" w:tentative="1"&gt;
            &lt;w:start w:val="1" /&gt;
            &lt;w:numFmt w:val="lowerRoman" /&gt;
            &lt;w:lvlText w:val="%6." /&gt;
            &lt;w:lvlJc w:val="right" /&gt;
            &lt;w:pPr&gt;
              &lt;w:ind w:left="4528" w:hanging="180" /&gt;
            &lt;/w:pPr&gt;
          &lt;/w:lvl&gt;
          &lt;w:lvl w:ilvl="6" w:tplc="0409000F" w:tentative="1"&gt;
            &lt;w:start w:val="1" /&gt;
            &lt;w:numFmt w:val="decimal" /&gt;
            &lt;w:lvlText w:val="%7." /&gt;
            &lt;w:lvlJc w:val="left" /&gt;
            &lt;w:pPr&gt;
              &lt;w:ind w:left="5248" w:hanging="360" /&gt;
            &lt;/w:pPr&gt;
          &lt;/w:lvl&gt;
          &lt;w:lvl w:ilvl="7" w:tplc="04090019" w:tentative="1"&gt;
            &lt;w:start w:val="1" /&gt;
            &lt;w:numFmt w:val="lowerLetter" /&gt;
            &lt;w:lvlText w:val="%8." /&gt;
            &lt;w:lvlJc w:val="left" /&gt;
            &lt;w:pPr&gt;
              &lt;w:ind w:left="5968" w:hanging="360" /&gt;
            &lt;/w:pPr&gt;
          &lt;/w:lvl&gt;
          &lt;w:lvl w:ilvl="8" w:tplc="0409001B" w:tentative="1"&gt;
            &lt;w:start w:val="1" /&gt;
            &lt;w:numFmt w:val="lowerRoman" /&gt;
            &lt;w:lvlText w:val="%9." /&gt;
            &lt;w:lvlJc w:val="right" /&gt;
            &lt;w:pPr&gt;
              &lt;w:ind w:left="6688" w:hanging="180" /&gt;
            &lt;/w:pPr&gt;
          &lt;/w:lvl&gt;
        &lt;/w:abstractNum&gt;
        &lt;w:abstractNum w:abstractNumId="81"&gt;
          &lt;w:nsid w:val="6D762647" /&gt;
          &lt;w:multiLevelType w:val="hybridMultilevel" /&gt;
          &lt;w:tmpl w:val="767CFDA0" /&gt;
          &lt;w:lvl w:ilvl="0" w:tplc="8A5430F2"&gt;
            &lt;w:start w:val="1" /&gt;
            &lt;w:numFmt w:val="decimal" /&gt;
            &lt;w:lvlText w:val="Attachment %1." /&gt;
            &lt;w:lvlJc w:val="left" /&gt;
            &lt;w:pPr&gt;
              &lt;w:ind w:left="720" w:hanging="360" /&gt;
            &lt;/w:pPr&gt;
            &lt;w:rPr&gt;
              &lt;w:rFonts w:ascii="Arial" w:hAnsi="Arial" w:cs="Times New Roman" w:hint="default" /&gt;
              &lt;w:b /&gt;
              &lt;w:bCs w:val="0" /&gt;
              &lt;w:i w:val="0" /&gt;
              &lt;w:iCs w:val="0" /&gt;
              &lt;w:caps w:val="0" /&gt;
              &lt;w:smallCaps w:val="0" /&gt;
              &lt;w:strike w:val="0" /&gt;
              &lt;w:dstrike w:val="0" /&gt;
              &lt;w:noProof w:val="0" /&gt;
              &lt;w:vanish w:val="0" /&gt;
              &lt;w:color w:val="000000" /&gt;
              &lt;w:spacing w:val="0" /&gt;
              &lt;w:kern w:val="0" /&gt;
              &lt;w:position w:val="0" /&gt;
              &lt;w:sz w:val="32" /&gt;
              &lt;w:u w:val="none" /&gt;
              &lt;w:vertAlign w:val="baseline" /&gt;
              &lt;w:em w:val="none" /&gt;
            &lt;/w:rPr&gt;
          &lt;/w:lvl&gt;
          &lt;w:lvl w:ilvl="1" w:tplc="04090019"&gt;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w:abstractNumId="82"&gt;
          &lt;w:nsid w:val="6FEE528C" /&gt;
          &lt;w:multiLevelType w:val="hybridMultilevel" /&gt;
          &lt;w:tmpl w:val="3546199A" /&gt;
          &lt;w:lvl w:ilvl="0" w:tplc="3908748E"&gt;
            &lt;w:start w:val="4"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w:abstractNumId="83"&gt;
          &lt;w:nsid w:val="70AD7B72" /&gt;
          &lt;w:multiLevelType w:val="hybridMultilevel" /&gt;
          &lt;w:tmpl w:val="AFCE2014" /&gt;
          &lt;w:lvl w:ilvl="0" w:tplc="04090001"&gt;
            &lt;w:start w:val="1" /&gt;
            &lt;w:numFmt w:val="bullet" /&gt;
            &lt;w:lvlText w:val="" /&gt;
            &lt;w:lvlJc w:val="left" /&gt;
            &lt;w:pPr&gt;
              &lt;w:ind w:left="1080" w:hanging="360" /&gt;
            &lt;/w:pPr&gt;
            &lt;w:rPr&gt;
              &lt;w:rFonts w:ascii="Symbol" w:hAnsi="Symbol" w:hint="default" /&gt;
            &lt;/w:rPr&gt;
          &lt;/w:lvl&gt;
          &lt;w:lvl w:ilvl="1" w:tplc="04090001"&gt;
            &lt;w:start w:val="1" /&gt;
            &lt;w:numFmt w:val="bullet" /&gt;
            &lt;w:lvlText w:val="" /&gt;
            &lt;w:lvlJc w:val="left" /&gt;
            &lt;w:pPr&gt;
              &lt;w:ind w:left="1800" w:hanging="360" /&gt;
            &lt;/w:pPr&gt;
            &lt;w:rPr&gt;
              &lt;w:rFonts w:ascii="Symbol" w:hAnsi="Symbol"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w:abstractNumId="84"&gt;
          &lt;w:nsid w:val="70E5412A" /&gt;
          &lt;w:multiLevelType w:val="hybridMultilevel" /&gt;
          &lt;w:tmpl w:val="4426CB8E" /&gt;
          &lt;w:lvl w:ilvl="0" w:tplc="5618422C"&gt;
            &lt;w:start w:val="1" /&gt;
            &lt;w:numFmt w:val="decimal" /&gt;
            &lt;w:lvlText w:val="%1." /&gt;
            &lt;w:lvlJc w:val="left" /&gt;
            &lt;w:pPr&gt;
              &lt;w:ind w:left="720" w:hanging="360" /&gt;
            &lt;/w:pPr&gt;
            &lt;w:rPr&gt;
              &lt;w:rFonts w:hint="default" /&gt;
            &lt;/w:rPr&gt;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w:abstractNumId="85"&gt;
          &lt;w:nsid w:val="715E7661" /&gt;
          &lt;w:multiLevelType w:val="hybridMultilevel" /&gt;
          &lt;w:tmpl w:val="6B644DB4" /&gt;
          &lt;w:lvl w:ilvl="0" w:tplc="04090001"&gt;
            &lt;w:start w:val="1" /&gt;
            &lt;w:numFmt w:val="bullet" /&gt;
            &lt;w:lvlText w:val="" /&gt;
            &lt;w:lvlJc w:val="left" /&gt;
            &lt;w:pPr&gt;
              &lt;w:ind w:left="1080" w:hanging="360" /&gt;
            &lt;/w:pPr&gt;
            &lt;w:rPr&gt;
              &lt;w:rFonts w:ascii="Symbol" w:hAnsi="Symbol" w:hint="default" /&gt;
            &lt;/w:rPr&gt;
          &lt;/w:lvl&gt;
          &lt;w:lvl w:ilvl="1" w:tplc="04090003" w:tentative="1"&gt;
            &lt;w:start w:val="1" /&gt;
            &lt;w:numFmt w:val="bullet" /&gt;
            &lt;w:lvlText w:val="o" /&gt;
            &lt;w:lvlJc w:val="left" /&gt;
            &lt;w:pPr&gt;
              &lt;w:ind w:left="1800" w:hanging="360" /&gt;
            &lt;/w:pPr&gt;
            &lt;w:rPr&gt;
              &lt;w:rFonts w:ascii="Courier New" w:hAnsi="Courier New" w:cs="Courier New" w:hint="default" /&gt;
            &lt;/w:rPr&gt;
          &lt;/w:lvl&gt;
          &lt;w:lvl w:ilvl="2" w:tplc="04090005" w:tentative="1"&gt;
            &lt;w:start w:val="1" /&gt;
            &lt;w:numFmt w:val="bullet" /&gt;
            &lt;w:lvlText w:val="" /&gt;
            &lt;w:lvlJc w:val="left" /&gt;
            &lt;w:pPr&gt;
              &lt;w:ind w:left="2520" w:hanging="360" /&gt;
            &lt;/w:pPr&gt;
            &lt;w:rPr&gt;
              &lt;w:rFonts w:ascii="Wingdings" w:hAnsi="Wingdings" w:hint="default" /&gt;
            &lt;/w:rPr&gt;
          &lt;/w:lvl&gt;
          &lt;w:lvl w:ilvl="3" w:tplc="04090001" w:tentative="1"&gt;
            &lt;w:start w:val="1" /&gt;
            &lt;w:numFmt w:val="bullet" /&gt;
            &lt;w:lvlText w:val="" /&gt;
            &lt;w:lvlJc w:val="left" /&gt;
            &lt;w:pPr&gt;
              &lt;w:ind w:left="3240" w:hanging="360" /&gt;
            &lt;/w:pPr&gt;
            &lt;w:rPr&gt;
              &lt;w:rFonts w:ascii="Symbol" w:hAnsi="Symbol" w:hint="default" /&gt;
            &lt;/w:rPr&gt;
          &lt;/w:lvl&gt;
          &lt;w:lvl w:ilvl="4" w:tplc="04090003" w:tentative="1"&gt;
            &lt;w:start w:val="1" /&gt;
            &lt;w:numFmt w:val="bullet" /&gt;
            &lt;w:lvlText w:val="o" /&gt;
            &lt;w:lvlJc w:val="left" /&gt;
            &lt;w:pPr&gt;
              &lt;w:ind w:left="3960" w:hanging="360" /&gt;
            &lt;/w:pPr&gt;
            &lt;w:rPr&gt;
              &lt;w:rFonts w:ascii="Courier New" w:hAnsi="Courier New" w:cs="Courier New" w:hint="default" /&gt;
            &lt;/w:rPr&gt;
          &lt;/w:lvl&gt;
          &lt;w:lvl w:ilvl="5" w:tplc="04090005" w:tentative="1"&gt;
            &lt;w:start w:val="1" /&gt;
            &lt;w:numFmt w:val="bullet" /&gt;
            &lt;w:lvlText w:val="" /&gt;
            &lt;w:lvlJc w:val="left" /&gt;
            &lt;w:pPr&gt;
              &lt;w:ind w:left="4680" w:hanging="360" /&gt;
            &lt;/w:pPr&gt;
            &lt;w:rPr&gt;
              &lt;w:rFonts w:ascii="Wingdings" w:hAnsi="Wingdings" w:hint="default" /&gt;
            &lt;/w:rPr&gt;
          &lt;/w:lvl&gt;
          &lt;w:lvl w:ilvl="6" w:tplc="04090001" w:tentative="1"&gt;
            &lt;w:start w:val="1" /&gt;
            &lt;w:numFmt w:val="bullet" /&gt;
            &lt;w:lvlText w:val="" /&gt;
            &lt;w:lvlJc w:val="left" /&gt;
            &lt;w:pPr&gt;
              &lt;w:ind w:left="5400" w:hanging="360" /&gt;
            &lt;/w:pPr&gt;
            &lt;w:rPr&gt;
              &lt;w:rFonts w:ascii="Symbol" w:hAnsi="Symbol" w:hint="default" /&gt;
            &lt;/w:rPr&gt;
          &lt;/w:lvl&gt;
          &lt;w:lvl w:ilvl="7" w:tplc="04090003" w:tentative="1"&gt;
            &lt;w:start w:val="1" /&gt;
            &lt;w:numFmt w:val="bullet" /&gt;
            &lt;w:lvlText w:val="o" /&gt;
            &lt;w:lvlJc w:val="left" /&gt;
            &lt;w:pPr&gt;
              &lt;w:ind w:left="6120" w:hanging="360" /&gt;
            &lt;/w:pPr&gt;
            &lt;w:rPr&gt;
              &lt;w:rFonts w:ascii="Courier New" w:hAnsi="Courier New" w:cs="Courier New" w:hint="default" /&gt;
            &lt;/w:rPr&gt;
          &lt;/w:lvl&gt;
          &lt;w:lvl w:ilvl="8" w:tplc="04090005" w:tentative="1"&gt;
            &lt;w:start w:val="1" /&gt;
            &lt;w:numFmt w:val="bullet" /&gt;
            &lt;w:lvlText w:val="" /&gt;
            &lt;w:lvlJc w:val="left" /&gt;
            &lt;w:pPr&gt;
              &lt;w:ind w:left="6840" w:hanging="360" /&gt;
            &lt;/w:pPr&gt;
            &lt;w:rPr&gt;
              &lt;w:rFonts w:ascii="Wingdings" w:hAnsi="Wingdings" w:hint="default" /&gt;
            &lt;/w:rPr&gt;
          &lt;/w:lvl&gt;
        &lt;/w:abstractNum&gt;
        &lt;w:abstractNum w:abstractNumId="86"&gt;
          &lt;w:nsid w:val="72B73157" /&gt;
          &lt;w:multiLevelType w:val="hybridMultilevel" /&gt;
          &lt;w:tmpl w:val="3FC48D5E" /&gt;
          &lt;w:lvl w:ilvl="0" w:tplc="04090001"&gt;
            &lt;w:start w:val="1" /&gt;
            &lt;w:numFmt w:val="bullet" /&gt;
            &lt;w:lvlText w:val="" /&gt;
            &lt;w:lvlJc w:val="left" /&gt;
            &lt;w:pPr&gt;
              &lt;w:ind w:left="720" w:hanging="360" /&gt;
            &lt;/w:pPr&gt;
            &lt;w:rPr&gt;
              &lt;w:rFonts w:ascii="Symbol" w:hAnsi="Symbol" w:hint="default" /&gt;
            &lt;/w:rPr&gt;
          &lt;/w:lvl&gt;
          &lt;w:lvl w:ilvl="1" w:tplc="04090019"&gt;
            &lt;w:start w:val="1" /&gt;
            &lt;w:numFmt w:val="lowerLetter" /&gt;
            &lt;w:lvlText w:val="%2." /&gt;
            &lt;w:lvlJc w:val="left" /&gt;
            &lt;w:pPr&gt;
              &lt;w:ind w:left="1440" w:hanging="360" /&gt;
            &lt;/w:pPr&gt;
          &lt;/w:lvl&gt;
          &lt;w:lvl w:ilvl="2" w:tplc="0409001B"&gt;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w:abstractNumId="87"&gt;
          &lt;w:nsid w:val="75AE6016" /&gt;
          &lt;w:multiLevelType w:val="hybridMultilevel" /&gt;
          &lt;w:tmpl w:val="DAFEBEC4" /&gt;
          &lt;w:lvl w:ilvl="0" w:tplc="08090001"&gt;
            &lt;w:start w:val="1" /&gt;
            &lt;w:numFmt w:val="bullet" /&gt;
            &lt;w:lvlText w:val="" /&gt;
            &lt;w:lvlJc w:val="left" /&gt;
            &lt;w:pPr&gt;
              &lt;w:ind w:left="720" w:hanging="360" /&gt;
            &lt;/w:pPr&gt;
            &lt;w:rPr&gt;
              &lt;w:rFonts w:ascii="Symbol" w:hAnsi="Symbol" w:hint="default" /&gt;
            &lt;/w:rPr&gt;
          &lt;/w:lvl&gt;
          &lt;w:lvl w:ilvl="1" w:tplc="08090003"&gt;
            &lt;w:start w:val="1" /&gt;
            &lt;w:numFmt w:val="bullet" /&gt;
            &lt;w:lvlText w:val="o" /&gt;
            &lt;w:lvlJc w:val="left" /&gt;
            &lt;w:pPr&gt;
              &lt;w:ind w:left="1440" w:hanging="360" /&gt;
            &lt;/w:pPr&gt;
            &lt;w:rPr&gt;
              &lt;w:rFonts w:ascii="Courier New" w:hAnsi="Courier New" w:cs="Courier New" w:hint="default" /&gt;
            &lt;/w:rPr&gt;
          &lt;/w:lvl&gt;
          &lt;w:lvl w:ilvl="2" w:tplc="08090005" w:tentative="1"&gt;
            &lt;w:start w:val="1" /&gt;
            &lt;w:numFmt w:val="bullet" /&gt;
            &lt;w:lvlText w:val="" /&gt;
            &lt;w:lvlJc w:val="left" /&gt;
            &lt;w:pPr&gt;
              &lt;w:ind w:left="2160" w:hanging="360" /&gt;
            &lt;/w:pPr&gt;
            &lt;w:rPr&gt;
              &lt;w:rFonts w:ascii="Wingdings" w:hAnsi="Wingdings" w:hint="default" /&gt;
            &lt;/w:rPr&gt;
          &lt;/w:lvl&gt;
          &lt;w:lvl w:ilvl="3" w:tplc="08090001" w:tentative="1"&gt;
            &lt;w:start w:val="1" /&gt;
            &lt;w:numFmt w:val="bullet" /&gt;
            &lt;w:lvlText w:val="" /&gt;
            &lt;w:lvlJc w:val="left" /&gt;
            &lt;w:pPr&gt;
              &lt;w:ind w:left="2880" w:hanging="360" /&gt;
            &lt;/w:pPr&gt;
            &lt;w:rPr&gt;
              &lt;w:rFonts w:ascii="Symbol" w:hAnsi="Symbol" w:hint="default" /&gt;
            &lt;/w:rPr&gt;
          &lt;/w:lvl&gt;
          &lt;w:lvl w:ilvl="4" w:tplc="08090003" w:tentative="1"&gt;
            &lt;w:start w:val="1" /&gt;
            &lt;w:numFmt w:val="bullet" /&gt;
            &lt;w:lvlText w:val="o" /&gt;
            &lt;w:lvlJc w:val="left" /&gt;
            &lt;w:pPr&gt;
              &lt;w:ind w:left="3600" w:hanging="360" /&gt;
            &lt;/w:pPr&gt;
            &lt;w:rPr&gt;
              &lt;w:rFonts w:ascii="Courier New" w:hAnsi="Courier New" w:cs="Courier New" w:hint="default" /&gt;
            &lt;/w:rPr&gt;
          &lt;/w:lvl&gt;
          &lt;w:lvl w:ilvl="5" w:tplc="08090005" w:tentative="1"&gt;
            &lt;w:start w:val="1" /&gt;
            &lt;w:numFmt w:val="bullet" /&gt;
            &lt;w:lvlText w:val="" /&gt;
            &lt;w:lvlJc w:val="left" /&gt;
            &lt;w:pPr&gt;
              &lt;w:ind w:left="4320" w:hanging="360" /&gt;
            &lt;/w:pPr&gt;
            &lt;w:rPr&gt;
              &lt;w:rFonts w:ascii="Wingdings" w:hAnsi="Wingdings" w:hint="default" /&gt;
            &lt;/w:rPr&gt;
          &lt;/w:lvl&gt;
          &lt;w:lvl w:ilvl="6" w:tplc="08090001" w:tentative="1"&gt;
            &lt;w:start w:val="1" /&gt;
            &lt;w:numFmt w:val="bullet" /&gt;
            &lt;w:lvlText w:val="" /&gt;
            &lt;w:lvlJc w:val="left" /&gt;
            &lt;w:pPr&gt;
              &lt;w:ind w:left="5040" w:hanging="360" /&gt;
            &lt;/w:pPr&gt;
            &lt;w:rPr&gt;
              &lt;w:rFonts w:ascii="Symbol" w:hAnsi="Symbol" w:hint="default" /&gt;
            &lt;/w:rPr&gt;
          &lt;/w:lvl&gt;
          &lt;w:lvl w:ilvl="7" w:tplc="08090003" w:tentative="1"&gt;
            &lt;w:start w:val="1" /&gt;
            &lt;w:numFmt w:val="bullet" /&gt;
            &lt;w:lvlText w:val="o" /&gt;
            &lt;w:lvlJc w:val="left" /&gt;
            &lt;w:pPr&gt;
              &lt;w:ind w:left="5760" w:hanging="360" /&gt;
            &lt;/w:pPr&gt;
            &lt;w:rPr&gt;
              &lt;w:rFonts w:ascii="Courier New" w:hAnsi="Courier New" w:cs="Courier New" w:hint="default" /&gt;
            &lt;/w:rPr&gt;
          &lt;/w:lvl&gt;
          &lt;w:lvl w:ilvl="8" w:tplc="08090005" w:tentative="1"&gt;
            &lt;w:start w:val="1" /&gt;
            &lt;w:numFmt w:val="bullet" /&gt;
            &lt;w:lvlText w:val="" /&gt;
            &lt;w:lvlJc w:val="left" /&gt;
            &lt;w:pPr&gt;
              &lt;w:ind w:left="6480" w:hanging="360" /&gt;
            &lt;/w:pPr&gt;
            &lt;w:rPr&gt;
              &lt;w:rFonts w:ascii="Wingdings" w:hAnsi="Wingdings" w:hint="default" /&gt;
            &lt;/w:rPr&gt;
          &lt;/w:lvl&gt;
        &lt;/w:abstractNum&gt;
        &lt;w:abstractNum w:abstractNumId="88"&gt;
          &lt;w:nsid w:val="790470C6" /&gt;
          &lt;w:multiLevelType w:val="hybridMultilevel" /&gt;
          &lt;w:tmpl w:val="7C180B3E" /&gt;
          &lt;w:lvl w:ilvl="0" w:tplc="08090001"&gt;
            &lt;w:start w:val="1" /&gt;
            &lt;w:numFmt w:val="bullet" /&gt;
            &lt;w:lvlText w:val="" /&gt;
            &lt;w:lvlJc w:val="left" /&gt;
            &lt;w:pPr&gt;
              &lt;w:ind w:left="360" w:hanging="360" /&gt;
            &lt;/w:pPr&gt;
            &lt;w:rPr&gt;
              &lt;w:rFonts w:ascii="Symbol" w:hAnsi="Symbol" w:hint="default" /&gt;
            &lt;/w:rPr&gt;
          &lt;/w:lvl&gt;
          &lt;w:lvl w:ilvl="1" w:tplc="08090003" w:tentative="1"&gt;
            &lt;w:start w:val="1" /&gt;
            &lt;w:numFmt w:val="bullet" /&gt;
            &lt;w:lvlText w:val="o" /&gt;
            &lt;w:lvlJc w:val="left" /&gt;
            &lt;w:pPr&gt;
              &lt;w:ind w:left="1080" w:hanging="360" /&gt;
            &lt;/w:pPr&gt;
            &lt;w:rPr&gt;
              &lt;w:rFonts w:ascii="Courier New" w:hAnsi="Courier New" w:cs="Courier New" w:hint="default" /&gt;
            &lt;/w:rPr&gt;
          &lt;/w:lvl&gt;
          &lt;w:lvl w:ilvl="2" w:tplc="08090005" w:tentative="1"&gt;
            &lt;w:start w:val="1" /&gt;
            &lt;w:numFmt w:val="bullet" /&gt;
            &lt;w:lvlText w:val="" /&gt;
            &lt;w:lvlJc w:val="left" /&gt;
            &lt;w:pPr&gt;
              &lt;w:ind w:left="1800" w:hanging="360" /&gt;
            &lt;/w:pPr&gt;
            &lt;w:rPr&gt;
              &lt;w:rFonts w:ascii="Wingdings" w:hAnsi="Wingdings" w:hint="default" /&gt;
            &lt;/w:rPr&gt;
          &lt;/w:lvl&gt;
          &lt;w:lvl w:ilvl="3" w:tplc="08090001" w:tentative="1"&gt;
            &lt;w:start w:val="1" /&gt;
            &lt;w:numFmt w:val="bullet" /&gt;
            &lt;w:lvlText w:val="" /&gt;
            &lt;w:lvlJc w:val="left" /&gt;
            &lt;w:pPr&gt;
              &lt;w:ind w:left="2520" w:hanging="360" /&gt;
            &lt;/w:pPr&gt;
            &lt;w:rPr&gt;
              &lt;w:rFonts w:ascii="Symbol" w:hAnsi="Symbol" w:hint="default" /&gt;
            &lt;/w:rPr&gt;
          &lt;/w:lvl&gt;
          &lt;w:lvl w:ilvl="4" w:tplc="08090003" w:tentative="1"&gt;
            &lt;w:start w:val="1" /&gt;
            &lt;w:numFmt w:val="bullet" /&gt;
            &lt;w:lvlText w:val="o" /&gt;
            &lt;w:lvlJc w:val="left" /&gt;
            &lt;w:pPr&gt;
              &lt;w:ind w:left="3240" w:hanging="360" /&gt;
            &lt;/w:pPr&gt;
            &lt;w:rPr&gt;
              &lt;w:rFonts w:ascii="Courier New" w:hAnsi="Courier New" w:cs="Courier New" w:hint="default" /&gt;
            &lt;/w:rPr&gt;
          &lt;/w:lvl&gt;
          &lt;w:lvl w:ilvl="5" w:tplc="08090005" w:tentative="1"&gt;
            &lt;w:start w:val="1" /&gt;
            &lt;w:numFmt w:val="bullet" /&gt;
            &lt;w:lvlText w:val="" /&gt;
            &lt;w:lvlJc w:val="left" /&gt;
            &lt;w:pPr&gt;
              &lt;w:ind w:left="3960" w:hanging="360" /&gt;
            &lt;/w:pPr&gt;
            &lt;w:rPr&gt;
              &lt;w:rFonts w:ascii="Wingdings" w:hAnsi="Wingdings" w:hint="default" /&gt;
            &lt;/w:rPr&gt;
          &lt;/w:lvl&gt;
          &lt;w:lvl w:ilvl="6" w:tplc="08090001" w:tentative="1"&gt;
            &lt;w:start w:val="1" /&gt;
            &lt;w:numFmt w:val="bullet" /&gt;
            &lt;w:lvlText w:val="" /&gt;
            &lt;w:lvlJc w:val="left" /&gt;
            &lt;w:pPr&gt;
              &lt;w:ind w:left="4680" w:hanging="360" /&gt;
            &lt;/w:pPr&gt;
            &lt;w:rPr&gt;
              &lt;w:rFonts w:ascii="Symbol" w:hAnsi="Symbol" w:hint="default" /&gt;
            &lt;/w:rPr&gt;
          &lt;/w:lvl&gt;
          &lt;w:lvl w:ilvl="7" w:tplc="08090003" w:tentative="1"&gt;
            &lt;w:start w:val="1" /&gt;
            &lt;w:numFmt w:val="bullet" /&gt;
            &lt;w:lvlText w:val="o" /&gt;
            &lt;w:lvlJc w:val="left" /&gt;
            &lt;w:pPr&gt;
              &lt;w:ind w:left="5400" w:hanging="360" /&gt;
            &lt;/w:pPr&gt;
            &lt;w:rPr&gt;
              &lt;w:rFonts w:ascii="Courier New" w:hAnsi="Courier New" w:cs="Courier New" w:hint="default" /&gt;
            &lt;/w:rPr&gt;
          &lt;/w:lvl&gt;
          &lt;w:lvl w:ilvl="8" w:tplc="08090005" w:tentative="1"&gt;
            &lt;w:start w:val="1" /&gt;
            &lt;w:numFmt w:val="bullet" /&gt;
            &lt;w:lvlText w:val="" /&gt;
            &lt;w:lvlJc w:val="left" /&gt;
            &lt;w:pPr&gt;
              &lt;w:ind w:left="6120" w:hanging="360" /&gt;
            &lt;/w:pPr&gt;
            &lt;w:rPr&gt;
              &lt;w:rFonts w:ascii="Wingdings" w:hAnsi="Wingdings" w:hint="default" /&gt;
            &lt;/w:rPr&gt;
          &lt;/w:lvl&gt;
        &lt;/w:abstractNum&gt;
        &lt;w:abstractNum w:abstractNumId="89"&gt;
          &lt;w:nsid w:val="7BDD14CF" /&gt;
          &lt;w:multiLevelType w:val="hybridMultilevel" /&gt;
          &lt;w:tmpl w:val="21E6D5E8" /&gt;
          &lt;w:lvl w:ilvl="0" w:tplc="BC4AEF8E"&gt;
            &lt;w:start w:val="1" /&gt;
            &lt;w:numFmt w:val="decimal" /&gt;
            &lt;w:lvlText w:val="%1." /&gt;
            &lt;w:lvlJc w:val="left" /&gt;
            &lt;w:pPr&gt;
              &lt;w:ind w:left="720" w:hanging="360" /&gt;
            &lt;/w:pPr&gt;
          &lt;/w:lvl&gt;
          &lt;w:lvl w:ilvl="1" w:tplc="04090019" w:tentative="1"&gt;
            &lt;w:start w:val="1" /&gt;
            &lt;w:numFmt w:val="lowerLetter" /&gt;
            &lt;w:lvlText w:val="%2." /&gt;
            &lt;w:lvlJc w:val="left" /&gt;
            &lt;w:pPr&gt;
              &lt;w:ind w:left="1440" w:hanging="360" /&gt;
            &lt;/w:pPr&gt;
          &lt;/w:lvl&gt;
          &lt;w:lvl w:ilvl="2" w:tplc="0409001B" w:tentative="1"&gt;
            &lt;w:start w:val="1" /&gt;
            &lt;w:numFmt w:val="lowerRoman" /&gt;
            &lt;w:lvlText w:val="%3." /&gt;
            &lt;w:lvlJc w:val="right" /&gt;
            &lt;w:pPr&gt;
              &lt;w:ind w:left="2160" w:hanging="180" /&gt;
            &lt;/w:pPr&gt;
          &lt;/w:lvl&gt;
          &lt;w:lvl w:ilvl="3" w:tplc="0409000F" w:tentative="1"&gt;
            &lt;w:start w:val="1" /&gt;
            &lt;w:numFmt w:val="decimal" /&gt;
            &lt;w:lvlText w:val="%4." /&gt;
            &lt;w:lvlJc w:val="left" /&gt;
            &lt;w:pPr&gt;
              &lt;w:ind w:left="2880" w:hanging="360" /&gt;
            &lt;/w:pPr&gt;
          &lt;/w:lvl&gt;
          &lt;w:lvl w:ilvl="4" w:tplc="04090019" w:tentative="1"&gt;
            &lt;w:start w:val="1" /&gt;
            &lt;w:numFmt w:val="lowerLetter" /&gt;
            &lt;w:lvlText w:val="%5." /&gt;
            &lt;w:lvlJc w:val="left" /&gt;
            &lt;w:pPr&gt;
              &lt;w:ind w:left="3600" w:hanging="360" /&gt;
            &lt;/w:pPr&gt;
          &lt;/w:lvl&gt;
          &lt;w:lvl w:ilvl="5" w:tplc="0409001B" w:tentative="1"&gt;
            &lt;w:start w:val="1" /&gt;
            &lt;w:numFmt w:val="lowerRoman" /&gt;
            &lt;w:lvlText w:val="%6." /&gt;
            &lt;w:lvlJc w:val="right" /&gt;
            &lt;w:pPr&gt;
              &lt;w:ind w:left="4320" w:hanging="180" /&gt;
            &lt;/w:pPr&gt;
          &lt;/w:lvl&gt;
          &lt;w:lvl w:ilvl="6" w:tplc="0409000F" w:tentative="1"&gt;
            &lt;w:start w:val="1" /&gt;
            &lt;w:numFmt w:val="decimal" /&gt;
            &lt;w:lvlText w:val="%7." /&gt;
            &lt;w:lvlJc w:val="left" /&gt;
            &lt;w:pPr&gt;
              &lt;w:ind w:left="5040" w:hanging="360" /&gt;
            &lt;/w:pPr&gt;
          &lt;/w:lvl&gt;
          &lt;w:lvl w:ilvl="7" w:tplc="04090019" w:tentative="1"&gt;
            &lt;w:start w:val="1" /&gt;
            &lt;w:numFmt w:val="lowerLetter" /&gt;
            &lt;w:lvlText w:val="%8." /&gt;
            &lt;w:lvlJc w:val="left" /&gt;
            &lt;w:pPr&gt;
              &lt;w:ind w:left="5760" w:hanging="360" /&gt;
            &lt;/w:pPr&gt;
          &lt;/w:lvl&gt;
          &lt;w:lvl w:ilvl="8" w:tplc="0409001B" w:tentative="1"&gt;
            &lt;w:start w:val="1" /&gt;
            &lt;w:numFmt w:val="lowerRoman" /&gt;
            &lt;w:lvlText w:val="%9." /&gt;
            &lt;w:lvlJc w:val="right" /&gt;
            &lt;w:pPr&gt;
              &lt;w:ind w:left="6480" w:hanging="180" /&gt;
            &lt;/w:pPr&gt;
          &lt;/w:lvl&gt;
        &lt;/w:abstractNum&gt;
        &lt;w:abstractNum w:abstractNumId="90"&gt;
          &lt;w:nsid w:val="7E26453C" /&gt;
          &lt;w:multiLevelType w:val="hybridMultilevel" /&gt;
          &lt;w:tmpl w:val="AEFA1E36" /&gt;
          &lt;w:lvl w:ilvl="0" w:tplc="04090001"&gt;
            &lt;w:start w:val="1" /&gt;
            &lt;w:numFmt w:val="bullet" /&gt;
            &lt;w:lvlText w:val="" /&gt;
            &lt;w:lvlJc w:val="left" /&gt;
            &lt;w:pPr&gt;
              &lt;w:ind w:left="720" w:hanging="360" /&gt;
            &lt;/w:pPr&gt;
            &lt;w:rPr&gt;
              &lt;w:rFonts w:ascii="Symbol" w:hAnsi="Symbol" w:hint="default" /&gt;
            &lt;/w:rPr&gt;
          &lt;/w:lvl&gt;
          &lt;w:lvl w:ilvl="1" w:tplc="04090003"&gt;
            &lt;w:start w:val="1" /&gt;
            &lt;w:numFmt w:val="bullet" /&gt;
            &lt;w:lvlText w:val="o" /&gt;
            &lt;w:lvlJc w:val="left" /&gt;
            &lt;w:pPr&gt;
              &lt;w:ind w:left="1440" w:hanging="360" /&gt;
            &lt;/w:pPr&gt;
            &lt;w:rPr&gt;
              &lt;w:rFonts w:ascii="Courier New" w:hAnsi="Courier New" w:cs="Courier New" w:hint="default" /&gt;
            &lt;/w:rPr&gt;
          &lt;/w:lvl&gt;
          &lt;w:lvl w:ilvl="2" w:tplc="04090005" w:tentative="1"&gt;
            &lt;w:start w:val="1" /&gt;
            &lt;w:numFmt w:val="bullet" /&gt;
            &lt;w:lvlText w:val="" /&gt;
            &lt;w:lvlJc w:val="left" /&gt;
            &lt;w:pPr&gt;
              &lt;w:ind w:left="2160" w:hanging="360" /&gt;
            &lt;/w:pPr&gt;
            &lt;w:rPr&gt;
              &lt;w:rFonts w:ascii="Wingdings" w:hAnsi="Wingdings" w:hint="default" /&gt;
            &lt;/w:rPr&gt;
          &lt;/w:lvl&gt;
          &lt;w:lvl w:ilvl="3" w:tplc="04090001" w:tentative="1"&gt;
            &lt;w:start w:val="1" /&gt;
            &lt;w:numFmt w:val="bullet" /&gt;
            &lt;w:lvlText w:val="" /&gt;
            &lt;w:lvlJc w:val="left" /&gt;
            &lt;w:pPr&gt;
              &lt;w:ind w:left="2880" w:hanging="360" /&gt;
            &lt;/w:pPr&gt;
            &lt;w:rPr&gt;
              &lt;w:rFonts w:ascii="Symbol" w:hAnsi="Symbol" w:hint="default" /&gt;
            &lt;/w:rPr&gt;
          &lt;/w:lvl&gt;
          &lt;w:lvl w:ilvl="4" w:tplc="04090003" w:tentative="1"&gt;
            &lt;w:start w:val="1" /&gt;
            &lt;w:numFmt w:val="bullet" /&gt;
            &lt;w:lvlText w:val="o" /&gt;
            &lt;w:lvlJc w:val="left" /&gt;
            &lt;w:pPr&gt;
              &lt;w:ind w:left="3600" w:hanging="360" /&gt;
            &lt;/w:pPr&gt;
            &lt;w:rPr&gt;
              &lt;w:rFonts w:ascii="Courier New" w:hAnsi="Courier New" w:cs="Courier New" w:hint="default" /&gt;
            &lt;/w:rPr&gt;
          &lt;/w:lvl&gt;
          &lt;w:lvl w:ilvl="5" w:tplc="04090005" w:tentative="1"&gt;
            &lt;w:start w:val="1" /&gt;
            &lt;w:numFmt w:val="bullet" /&gt;
            &lt;w:lvlText w:val="" /&gt;
            &lt;w:lvlJc w:val="left" /&gt;
            &lt;w:pPr&gt;
              &lt;w:ind w:left="4320" w:hanging="360" /&gt;
            &lt;/w:pPr&gt;
            &lt;w:rPr&gt;
              &lt;w:rFonts w:ascii="Wingdings" w:hAnsi="Wingdings" w:hint="default" /&gt;
            &lt;/w:rPr&gt;
          &lt;/w:lvl&gt;
          &lt;w:lvl w:ilvl="6" w:tplc="04090001" w:tentative="1"&gt;
            &lt;w:start w:val="1" /&gt;
            &lt;w:numFmt w:val="bullet" /&gt;
            &lt;w:lvlText w:val="" /&gt;
            &lt;w:lvlJc w:val="left" /&gt;
            &lt;w:pPr&gt;
              &lt;w:ind w:left="5040" w:hanging="360" /&gt;
            &lt;/w:pPr&gt;
            &lt;w:rPr&gt;
              &lt;w:rFonts w:ascii="Symbol" w:hAnsi="Symbol" w:hint="default" /&gt;
            &lt;/w:rPr&gt;
          &lt;/w:lvl&gt;
          &lt;w:lvl w:ilvl="7" w:tplc="04090003" w:tentative="1"&gt;
            &lt;w:start w:val="1" /&gt;
            &lt;w:numFmt w:val="bullet" /&gt;
            &lt;w:lvlText w:val="o" /&gt;
            &lt;w:lvlJc w:val="left" /&gt;
            &lt;w:pPr&gt;
              &lt;w:ind w:left="5760" w:hanging="360" /&gt;
            &lt;/w:pPr&gt;
            &lt;w:rPr&gt;
              &lt;w:rFonts w:ascii="Courier New" w:hAnsi="Courier New" w:cs="Courier New" w:hint="default" /&gt;
            &lt;/w:rPr&gt;
          &lt;/w:lvl&gt;
          &lt;w:lvl w:ilvl="8" w:tplc="04090005" w:tentative="1"&gt;
            &lt;w:start w:val="1" /&gt;
            &lt;w:numFmt w:val="bullet" /&gt;
            &lt;w:lvlText w:val="" /&gt;
            &lt;w:lvlJc w:val="left" /&gt;
            &lt;w:pPr&gt;
              &lt;w:ind w:left="6480" w:hanging="360" /&gt;
            &lt;/w:pPr&gt;
            &lt;w:rPr&gt;
              &lt;w:rFonts w:ascii="Wingdings" w:hAnsi="Wingdings" w:hint="default" /&gt;
            &lt;/w:rPr&gt;
          &lt;/w:lvl&gt;
        &lt;/w:abstractNum&gt;
        &lt;w:num w:numId="1"&gt;
          &lt;w:abstractNumId w:val="9" /&gt;
        &lt;/w:num&gt;
        &lt;w:num w:numId="2"&gt;
          &lt;w:abstractNumId w:val="46" /&gt;
        &lt;/w:num&gt;
        &lt;w:num w:numId="3"&gt;
          &lt;w:abstractNumId w:val="81" /&gt;
        &lt;/w:num&gt;
        &lt;w:num w:numId="4"&gt;
          &lt;w:abstractNumId w:val="13" /&gt;
        &lt;/w:num&gt;
        &lt;w:num w:numId="5"&gt;
          &lt;w:abstractNumId w:val="45" /&gt;
        &lt;/w:num&gt;
        &lt;w:num w:numId="6"&gt;
          &lt;w:abstractNumId w:val="34" /&gt;
        &lt;/w:num&gt;
        &lt;w:num w:numId="7"&gt;
          &lt;w:abstractNumId w:val="19" /&gt;
        &lt;/w:num&gt;
        &lt;w:num w:numId="8"&gt;
          &lt;w:abstractNumId w:val="16" /&gt;
        &lt;/w:num&gt;
        &lt;w:num w:numId="9"&gt;
          &lt;w:abstractNumId w:val="68" /&gt;
        &lt;/w:num&gt;
        &lt;w:num w:numId="10"&gt;
          &lt;w:abstractNumId w:val="87" /&gt;
        &lt;/w:num&gt;
        &lt;w:num w:numId="11"&gt;
          &lt;w:abstractNumId w:val="50" /&gt;
        &lt;/w:num&gt;
        &lt;w:num w:numId="12"&gt;
          &lt;w:abstractNumId w:val="11" /&gt;
        &lt;/w:num&gt;
        &lt;w:num w:numId="13"&gt;
          &lt;w:abstractNumId w:val="70" /&gt;
        &lt;/w:num&gt;
        &lt;w:num w:numId="14"&gt;
          &lt;w:abstractNumId w:val="40" /&gt;
        &lt;/w:num&gt;
        &lt;w:num w:numId="15"&gt;
          &lt;w:abstractNumId w:val="49" /&gt;
        &lt;/w:num&gt;
        &lt;w:num w:numId="16"&gt;
          &lt;w:abstractNumId w:val="74" /&gt;
        &lt;/w:num&gt;
        &lt;w:num w:numId="17"&gt;
          &lt;w:abstractNumId w:val="71" /&gt;
          &lt;w:lvlOverride w:ilvl="0" /&gt;
          &lt;w:lvlOverride w:ilvl="1" /&gt;
          &lt;w:lvlOverride w:ilvl="2" /&gt;
          &lt;w:lvlOverride w:ilvl="3" /&gt;
          &lt;w:lvlOverride w:ilvl="4"&gt;
            &lt;w:startOverride w:val="1" /&gt;
          &lt;/w:lvlOverride&gt;
          &lt;w:lvlOverride w:ilvl="5"&gt;
            &lt;w:startOverride w:val="1" /&gt;
          &lt;/w:lvlOverride&gt;
          &lt;w:lvlOverride w:ilvl="6"&gt;
            &lt;w:startOverride w:val="1" /&gt;
          &lt;/w:lvlOverride&gt;
          &lt;w:lvlOverride w:ilvl="7"&gt;
            &lt;w:startOverride w:val="1" /&gt;
          &lt;/w:lvlOverride&gt;
          &lt;w:lvlOverride w:ilvl="8"&gt;
            &lt;w:startOverride w:val="1" /&gt;
          &lt;/w:lvlOverride&gt;
        &lt;/w:num&gt;
        &lt;w:num w:numId="18"&gt;
          &lt;w:abstractNumId w:val="26" /&gt;
        &lt;/w:num&gt;
        &lt;w:num w:numId="19"&gt;
          &lt;w:abstractNumId w:val="76" /&gt;
        &lt;/w:num&gt;
        &lt;w:num w:numId="20"&gt;
          &lt;w:abstractNumId w:val="58" /&gt;
        &lt;/w:num&gt;
        &lt;w:num w:numId="21"&gt;
          &lt;w:abstractNumId w:val="12" /&gt;
        &lt;/w:num&gt;
        &lt;w:num w:numId="22"&gt;
          &lt;w:abstractNumId w:val="65" /&gt;
        &lt;/w:num&gt;
        &lt;w:num w:numId="23"&gt;
          &lt;w:abstractNumId w:val="55" /&gt;
        &lt;/w:num&gt;
        &lt;w:num w:numId="24"&gt;
          &lt;w:abstractNumId w:val="41" /&gt;
        &lt;/w:num&gt;
        &lt;w:num w:numId="25"&gt;
          &lt;w:abstractNumId w:val="54" /&gt;
        &lt;/w:num&gt;
        &lt;w:num w:numId="26"&gt;
          &lt;w:abstractNumId w:val="62" /&gt;
        &lt;/w:num&gt;
        &lt;w:num w:numId="27"&gt;
          &lt;w:abstractNumId w:val="27" /&gt;
        &lt;/w:num&gt;
        &lt;w:num w:numId="28"&gt;
          &lt;w:abstractNumId w:val="90" /&gt;
        &lt;/w:num&gt;
        &lt;w:num w:numId="29"&gt;
          &lt;w:abstractNumId w:val="88" /&gt;
        &lt;/w:num&gt;
        &lt;w:num w:numId="30"&gt;
          &lt;w:abstractNumId w:val="56" /&gt;
        &lt;/w:num&gt;
        &lt;w:num w:numId="31"&gt;
          &lt;w:abstractNumId w:val="38" /&gt;
        &lt;/w:num&gt;
        &lt;w:num w:numId="32"&gt;
          &lt;w:abstractNumId w:val="28" /&gt;
        &lt;/w:num&gt;
        &lt;w:num w:numId="33"&gt;
          &lt;w:abstractNumId w:val="53" /&gt;
        &lt;/w:num&gt;
        &lt;w:num w:numId="34"&gt;
          &lt;w:abstractNumId w:val="37" /&gt;
        &lt;/w:num&gt;
        &lt;w:num w:numId="35"&gt;
          &lt;w:abstractNumId w:val="63" /&gt;
        &lt;/w:num&gt;
        &lt;w:num w:numId="36"&gt;
          &lt;w:abstractNumId w:val="44" /&gt;
        &lt;/w:num&gt;
        &lt;w:num w:numId="37"&gt;
          &lt;w:abstractNumId w:val="24" /&gt;
        &lt;/w:num&gt;
        &lt;w:num w:numId="38"&gt;
          &lt;w:abstractNumId w:val="67" /&gt;
        &lt;/w:num&gt;
        &lt;w:num w:numId="39"&gt;
          &lt;w:abstractNumId w:val="33" /&gt;
        &lt;/w:num&gt;
        &lt;w:num w:numId="40"&gt;
          &lt;w:abstractNumId w:val="42" /&gt;
        &lt;/w:num&gt;
        &lt;w:num w:numId="41"&gt;
          &lt;w:abstractNumId w:val="69" /&gt;
        &lt;/w:num&gt;
        &lt;w:num w:numId="42"&gt;
          &lt;w:abstractNumId w:val="57" /&gt;
        &lt;/w:num&gt;
        &lt;w:num w:numId="43"&gt;
          &lt;w:abstractNumId w:val="51" /&gt;
        &lt;/w:num&gt;
        &lt;w:num w:numId="44"&gt;
          &lt;w:abstractNumId w:val="72" /&gt;
        &lt;/w:num&gt;
        &lt;w:num w:numId="45"&gt;
          &lt;w:abstractNumId w:val="83" /&gt;
        &lt;/w:num&gt;
        &lt;w:num w:numId="46"&gt;
          &lt;w:abstractNumId w:val="39" /&gt;
        &lt;/w:num&gt;
        &lt;w:num w:numId="47"&gt;
          &lt;w:abstractNumId w:val="35" /&gt;
        &lt;/w:num&gt;
        &lt;w:num w:numId="48"&gt;
          &lt;w:abstractNumId w:val="21" /&gt;
        &lt;/w:num&gt;
        &lt;w:num w:numId="49"&gt;
          &lt;w:abstractNumId w:val="14" /&gt;
        &lt;/w:num&gt;
        &lt;w:num w:numId="50"&gt;
          &lt;w:abstractNumId w:val="15" /&gt;
        &lt;/w:num&gt;
        &lt;w:num w:numId="51"&gt;
          &lt;w:abstractNumId w:val="82" /&gt;
        &lt;/w:num&gt;
        &lt;w:num w:numId="52"&gt;
          &lt;w:abstractNumId w:val="80" /&gt;
        &lt;/w:num&gt;
        &lt;w:num w:numId="53"&gt;
          &lt;w:abstractNumId w:val="32" /&gt;
        &lt;/w:num&gt;
        &lt;w:num w:numId="54"&gt;
          &lt;w:abstractNumId w:val="52" /&gt;
        &lt;/w:num&gt;
        &lt;w:num w:numId="55"&gt;
          &lt;w:abstractNumId w:val="77" /&gt;
        &lt;/w:num&gt;
        &lt;w:num w:numId="56"&gt;
          &lt;w:abstractNumId w:val="86" /&gt;
        &lt;/w:num&gt;
        &lt;w:num w:numId="57"&gt;
          &lt;w:abstractNumId w:val="20" /&gt;
        &lt;/w:num&gt;
        &lt;w:num w:numId="58"&gt;
          &lt;w:abstractNumId w:val="66" /&gt;
        &lt;/w:num&gt;
        &lt;w:num w:numId="59"&gt;
          &lt;w:abstractNumId w:val="84" /&gt;
        &lt;/w:num&gt;
        &lt;w:num w:numId="60"&gt;
          &lt;w:abstractNumId w:val="60" /&gt;
        &lt;/w:num&gt;
        &lt;w:num w:numId="61"&gt;
          &lt;w:abstractNumId w:val="59" /&gt;
        &lt;/w:num&gt;
        &lt;w:num w:numId="62"&gt;
          &lt;w:abstractNumId w:val="31" /&gt;
        &lt;/w:num&gt;
        &lt;w:num w:numId="63"&gt;
          &lt;w:abstractNumId w:val="73" /&gt;
        &lt;/w:num&gt;
        &lt;w:num w:numId="64"&gt;
          &lt;w:abstractNumId w:val="22" /&gt;
        &lt;/w:num&gt;
        &lt;w:num w:numId="65"&gt;
          &lt;w:abstractNumId w:val="48" /&gt;
        &lt;/w:num&gt;
        &lt;w:num w:numId="66"&gt;
          &lt;w:abstractNumId w:val="79" /&gt;
        &lt;/w:num&gt;
        &lt;w:num w:numId="67"&gt;
          &lt;w:abstractNumId w:val="10" /&gt;
        &lt;/w:num&gt;
        &lt;w:num w:numId="68"&gt;
          &lt;w:abstractNumId w:val="47" /&gt;
        &lt;/w:num&gt;
        &lt;w:num w:numId="69"&gt;
          &lt;w:abstractNumId w:val="18" /&gt;
        &lt;/w:num&gt;
        &lt;w:num w:numId="70"&gt;
          &lt;w:abstractNumId w:val="43" /&gt;
        &lt;/w:num&gt;
        &lt;w:num w:numId="71"&gt;
          &lt;w:abstractNumId w:val="78" /&gt;
        &lt;/w:num&gt;
        &lt;w:num w:numId="72"&gt;
          &lt;w:abstractNumId w:val="61" /&gt;
        &lt;/w:num&gt;
        &lt;w:num w:numId="73"&gt;
          &lt;w:abstractNumId w:val="7" /&gt;
        &lt;/w:num&gt;
        &lt;w:num w:numId="74"&gt;
          &lt;w:abstractNumId w:val="6" /&gt;
        &lt;/w:num&gt;
        &lt;w:num w:numId="75"&gt;
          &lt;w:abstractNumId w:val="5" /&gt;
        &lt;/w:num&gt;
        &lt;w:num w:numId="76"&gt;
          &lt;w:abstractNumId w:val="4" /&gt;
        &lt;/w:num&gt;
        &lt;w:num w:numId="77"&gt;
          &lt;w:abstractNumId w:val="8" /&gt;
        &lt;/w:num&gt;
        &lt;w:num w:numId="78"&gt;
          &lt;w:abstractNumId w:val="3" /&gt;
        &lt;/w:num&gt;
        &lt;w:num w:numId="79"&gt;
          &lt;w:abstractNumId w:val="2" /&gt;
        &lt;/w:num&gt;
        &lt;w:num w:numId="80"&gt;
          &lt;w:abstractNumId w:val="1" /&gt;
        &lt;/w:num&gt;
        &lt;w:num w:numId="81"&gt;
          &lt;w:abstractNumId w:val="0" /&gt;
        &lt;/w:num&gt;
        &lt;w:num w:numId="82"&gt;
          &lt;w:abstractNumId w:val="29" /&gt;
        &lt;/w:num&gt;
        &lt;w:num w:numId="83"&gt;
          &lt;w:abstractNumId w:val="75" /&gt;
        &lt;/w:num&gt;
        &lt;w:num w:numId="84"&gt;
          &lt;w:abstractNumId w:val="17" /&gt;
        &lt;/w:num&gt;
        &lt;w:num w:numId="85"&gt;
          &lt;w:abstractNumId w:val="25" /&gt;
        &lt;/w:num&gt;
        &lt;w:num w:numId="86"&gt;
          &lt;w:abstractNumId w:val="89" /&gt;
        &lt;/w:num&gt;
        &lt;w:num w:numId="87"&gt;
          &lt;w:abstractNumId w:val="64" /&gt;
        &lt;/w:num&gt;
        &lt;w:num w:numId="88"&gt;
          &lt;w:abstractNumId w:val="85" /&gt;
        &lt;/w:num&gt;
        &lt;w:num w:numId="89"&gt;
          &lt;w:abstractNumId w:val="30" /&gt;
        &lt;/w:num&gt;
        &lt;w:num w:numId="90"&gt;
          &lt;w:abstractNumId w:val="36" /&gt;
        &lt;/w:num&gt;
        &lt;w:num w:numId="91"&gt;
          &lt;w:abstractNumId w:val="23" /&gt;
        &lt;/w:num&gt;
        &lt;w:numIdMacAtCleanup w:val="90" /&gt;
      &lt;/w:numbering&gt;
    &lt;/pkg:xmlData&gt;
  &lt;/pkg:part&gt;
  &lt;pkg:part pkg:name="/word/webSettings.xml" pkg:contentType="application/vnd.openxmlformats-officedocument.wordprocessingml.webSettings+xml"&gt;
    &lt;pkg:xmlData&gt;
      &lt;w:webSettings mc:Ignorable="w14" xmlns:mc="http://schemas.openxmlformats.org/markup-compatibility/2006" xmlns:r="http://schemas.openxmlformats.org/officeDocument/2006/relationships" xmlns:w="http://schemas.openxmlformats.org/wordprocessingml/2006/main" xmlns:w14="http://schemas.microsoft.com/office/word/2010/wordml"&gt;
        &lt;w:divs&gt;
          &lt;w:div w:id="25759458"&gt;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w:id="494761272"&gt;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w:id="1997804476"&gt;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w:id="131869412"&gt;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w:id="53891016"&gt;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w:id="1953517684"&gt;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w:id="553851822"&gt;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w:id="600257013"&gt;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w:id="683900744"&gt;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w:id="2041542282"&gt;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w:id="1235051300"&gt;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w:id="1424492860"&gt;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w:id="1935235908"&gt;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w:id="313997345"&gt;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w:id="1859156677"&gt;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w:id="344744159"&gt;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w:id="1192838189"&gt;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w:id="252202672"&gt;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w:id="1478761598"&gt;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w:id="834145486"&gt;
                                                                        &lt;w:marLeft w:val="-60"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w:id="216475956"&gt;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w:id="507135184"&gt;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w:id="2034915241"&gt;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w:id="1171676713"&gt;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w:id="1899898367"&gt;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w:id="1039205706"&gt;
                                                                                                &lt;w:marLeft w:val="0" /&gt;
                                                                                                &lt;w:marRight w:val="0" /&gt;
                                                                                                &lt;w:marTop w:val="24" /&gt;
                                                                                                &lt;w:marBottom w:val="24" /&gt;
                                                                                                &lt;w:divBdr&gt;
                                                                                                  &lt;w:top w:val="none" w:sz="0" w:space="0" w:color="auto" /&gt;
                                                                                                  &lt;w:left w:val="none" w:sz="0" w:space="0" w:color="auto" /&gt;
                                                                                                  &lt;w:bottom w:val="none" w:sz="0" w:space="0" w:color="auto" /&gt;
                                                                                                  &lt;w:right w:val="none" w:sz="0" w:space="0" w:color="auto" /&gt;
                                                                                                &lt;/w:divBdr&gt;
                                                                                                &lt;w:divsChild&gt;
                                                                                                  &lt;w:div w:id="816528747"&gt;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w:id="458960326"&gt;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w:id="253830495"&gt;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w:id="461122879"&gt;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w:id="1263611001"&gt;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w:id="478812040"&gt;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w:id="576787361"&gt;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w:id="273175576"&gt;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w:id="696346435"&gt;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w:id="600260729"&gt;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w:id="1847480627"&gt;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w:id="1886526319"&gt;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w:id="898709377"&gt;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w:id="1871919723"&gt;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w:id="2081827701"&gt;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w:id="939725257"&gt;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w:id="1800342104"&gt;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w:id="73668054"&gt;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w:id="104925466"&gt;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w:id="142475324"&gt;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w:id="1044867453"&gt;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w:id="1658654422"&gt;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w:id="559177403"&gt;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w:id="882443078"&gt;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w:id="571086864"&gt;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w:id="1076633319"&gt;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w:id="2136024679"&gt;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w:id="148177251"&gt;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w:id="163202410"&gt;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w:id="180703083"&gt;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w:id="205605489"&gt;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w:id="245573317"&gt;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w:id="128592015"&gt;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w:id="936593910"&gt;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w:id="936672070"&gt;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w:id="1198816805"&gt;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w:id="1748073337"&gt;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w:id="1811366751"&gt;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 w:id="1838155708"&gt;
                &lt;w:marLeft w:val="360" /&gt;
                &lt;w:marRight w:val="0" /&gt;
                &lt;w:marTop w:val="144" /&gt;
                &lt;w:marBottom w:val="0" /&gt;
                &lt;w:divBdr&gt;
                  &lt;w:top w:val="none" w:sz="0" w:space="0" w:color="auto" /&gt;
                  &lt;w:left w:val="none" w:sz="0" w:space="0" w:color="auto" /&gt;
                  &lt;w:bottom w:val="none" w:sz="0" w:space="0" w:color="auto" /&gt;
                  &lt;w:right w:val="none" w:sz="0" w:space="0" w:color="auto" /&gt;
                &lt;/w:divBdr&gt;
              &lt;/w:div&gt;
            &lt;/w:divsChild&gt;
          &lt;/w:div&gt;
          &lt;w:div w:id="274752243"&gt;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w:id="289945709"&gt;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w:id="340276332"&gt;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w:id="340789068"&gt;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w:id="379474221"&gt;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w:id="429816064"&gt;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w:id="1259101611"&gt;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w:id="1899196736"&gt;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w:id="477655101"&gt;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w:id="1541628949"&gt;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w:id="421293560"&gt;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w:id="2084140441"&gt;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w:id="1075857620"&gt;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w:id="1850636191"&gt;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w:id="96950938"&gt;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w:id="229777417"&gt;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w:id="796945135"&gt;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w:id="403184453"&gt;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w:id="463039790"&gt;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w:id="923950517"&gt;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w:id="570195354"&gt;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w:id="2026782452"&gt;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w:id="629476576"&gt;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w:id="364795276"&gt;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w:id="1795755945"&gt;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w:id="191573613"&gt;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w:id="455761562"&gt;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w:id="490365771"&gt;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w:id="515120086"&gt;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w:id="523059866"&gt;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w:id="527761925"&gt;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w:id="545724581"&gt;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w:id="2017145367"&gt;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w:id="928656207"&gt;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w:id="238488001"&gt;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w:id="972560990"&gt;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w:id="2110074705"&gt;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w:id="139465712"&gt;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w:id="442501801"&gt;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 w:id="556866629"&gt;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w:id="624428452"&gt;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w:id="727728330"&gt;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w:id="742872865"&gt;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w:id="756513798"&gt;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w:id="758645715"&gt;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w:id="760415427"&gt;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w:id="769736342"&gt;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w:id="783966069"&gt;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w:id="835267103"&gt;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w:id="842159129"&gt;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w:id="870070122"&gt;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w:id="897477207"&gt;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w:id="912817360"&gt;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w:id="981079761"&gt;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w:id="393243083"&gt;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w:id="868221632"&gt;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w:id="488712867"&gt;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w:id="1657299362"&gt;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w:id="990984290"&gt;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w:id="1031221051"&gt;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w:id="97337710"&gt;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w:id="1035427166"&gt;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w:id="1040395038"&gt;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w:id="1071587667"&gt;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w:id="1560167564"&gt;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w:id="907885201"&gt;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w:id="209460991"&gt;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w:id="947274960"&gt;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w:id="817458478"&gt;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w:id="1681274665"&gt;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w:id="1587571539"&gt;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w:id="88964706"&gt;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w:id="207181404"&gt;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 w:id="1075054307"&gt;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w:id="1085111432"&gt;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w:id="1172792048"&gt;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w:id="1195773699"&gt;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w:id="1211309324"&gt;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w:id="1269118810"&gt;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w:id="1742602969"&gt;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w:id="1237012191"&gt;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w:id="464348839"&gt;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w:id="8526307"&gt;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w:id="242839847"&gt;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w:id="1520662703"&gt;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w:id="647902621"&gt;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w:id="1756240061"&gt;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w:id="1882935541"&gt;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w:id="926815290"&gt;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w:id="1970041645"&gt;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w:id="1034814757"&gt;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w:id="555243030"&gt;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w:id="2017730383"&gt;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w:id="706443923"&gt;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w:id="634876210"&gt;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w:id="1290551962"&gt;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w:id="1474787772"&gt;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w:id="1762557419"&gt;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w:id="73091580"&gt;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w:id="1568998911"&gt;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w:id="1300453855"&gt;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w:id="486440907"&gt;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w:id="769473978"&gt;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w:id="775369656"&gt;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w:id="1267614739"&gt;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w:id="1304894571"&gt;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w:id="1778328634"&gt;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w:id="61487908"&gt;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w:id="2146385584"&gt;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w:id="1164247620"&gt;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w:id="1319651447"&gt;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w:id="1331252759"&gt;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w:id="1338849430"&gt;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w:id="1345207292"&gt;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w:id="1395665249"&gt;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w:id="1412502090"&gt;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w:id="1252204205"&gt;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w:id="1422533069"&gt;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w:id="995038035"&gt;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 w:id="1474446791"&gt;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w:id="1479033083"&gt;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w:id="1546985380"&gt;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w:id="1593396645"&gt;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w:id="379212842"&gt;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w:id="111175327"&gt;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w:id="661202883"&gt;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w:id="455409722"&gt;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w:id="460466757"&gt;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w:id="981420555"&gt;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w:id="988439490"&gt;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w:id="1639995103"&gt;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w:id="209196686"&gt;
                                                    &lt;w:marLeft w:val="3444" /&gt;
                                                    &lt;w:marRight w:val="0" /&gt;
                                                    &lt;w:marTop w:val="0" /&gt;
                                                    &lt;w:marBottom w:val="0" /&gt;
                                                    &lt;w:divBdr&gt;
                                                      &lt;w:top w:val="single" w:sz="4" w:space="0" w:color="D2D5D7" /&gt;
                                                      &lt;w:left w:val="single" w:sz="4" w:space="0" w:color="D2D5D7" /&gt;
                                                      &lt;w:bottom w:val="none" w:sz="0" w:space="0" w:color="auto" /&gt;
                                                      &lt;w:right w:val="single" w:sz="4" w:space="0" w:color="D2D5D7" /&gt;
                                                    &lt;/w:divBdr&gt;
                                                    &lt;w:divsChild&gt;
                                                      &lt;w:div w:id="526454729"&gt;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w:id="1763598063"&gt;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w:id="480998861"&gt;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w:id="670792850"&gt;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w:id="377050729"&gt;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w:id="859466680"&gt;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w:id="434906519"&gt;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w:id="649020978"&gt;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w:id="377171604"&gt;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w:id="465203978"&gt;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w:id="173539839"&gt;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w:id="546382327"&gt;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w:id="608047993"&gt;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w:id="1718779431"&gt;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w:id="1570967475"&gt;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w:id="1307203658"&gt;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w:id="1318726222"&gt;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w:id="124665785"&gt;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w:id="1196692319"&gt;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w:id="787092767"&gt;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w:id="496843513"&gt;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w:id="1369645363"&gt;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w:id="1142039399"&gt;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w:id="861937180"&gt;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w:id="615411299"&gt;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w:id="525675040"&gt;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w:id="693462070"&gt;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w:id="1971207419"&gt;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w:id="2082092849"&gt;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 w:id="1571964000"&gt;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w:id="2134980248"&gt;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w:id="1464076449"&gt;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w:id="605890910"&gt;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w:id="128983582"&gt;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w:id="1547252371"&gt;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w:id="1577595697"&gt;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w:id="1622568909"&gt;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w:id="1662928586"&gt;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w:id="1687438568"&gt;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w:id="1695305078"&gt;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w:id="1702053215"&gt;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w:id="1705213348"&gt;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w:id="1786532623"&gt;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w:id="1812674503"&gt;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w:id="1856923257"&gt;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w:id="1916085533"&gt;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w:id="1921256742"&gt;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w:id="1974283759"&gt;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w:id="1979794675"&gt;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w:id="506602685"&gt;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w:id="191918465"&gt;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w:id="1436748758"&gt;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w:id="2069258522"&gt;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w:id="1988627881"&gt;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w:id="599945150"&gt;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w:id="384959496"&gt;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w:id="1378358791"&gt;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w:id="473987526"&gt;
                            &lt;w:marLeft w:val="2325"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w:id="867060058"&gt;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w:id="1460605514"&gt;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w:id="1554122841"&gt;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w:id="1797017494"&gt;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w:id="1963611782"&gt;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w:id="1892569953"&gt;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w:id="374621735"&gt;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w:id="110321658"&gt;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w:id="342172778"&gt;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&lt;/w:divsChild&gt;
          &lt;/w:div&gt;
          &lt;w:div w:id="2073116353"&gt;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w:id="1752196106"&gt;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w:id="587228063"&gt;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w:id="1150054125"&gt;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&lt;w:divsChild&gt;
                          &lt;w:div w:id="1981382390"&gt;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&lt;/w:divsChild&gt;
                      &lt;/w:div&gt;
                    &lt;/w:divsChild&gt;
                  &lt;/w:div&gt;
                &lt;/w:divsChild&gt;
              &lt;/w:div&gt;
            &lt;/w:divsChild&gt;
          &lt;/w:div&gt;
          &lt;w:div w:id="2087260149"&gt;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w:id="2094357373"&gt;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w:id="2095007865"&gt;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w:id="2107075370"&gt;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 w:id="2118019280"&gt;
            &lt;w:bodyDiv w:val="1" /&gt;
            &lt;w:marLeft w:val="0" /&gt;
            &lt;w:marRight w:val="0" /&gt;
            &lt;w:marTop w:val="0" /&gt;
            &lt;w:marBottom w:val="0" /&gt;
            &lt;w:divBdr&gt;
              &lt;w:top w:val="none" w:sz="0" w:space="0" w:color="auto" /&gt;
              &lt;w:left w:val="none" w:sz="0" w:space="0" w:color="auto" /&gt;
              &lt;w:bottom w:val="none" w:sz="0" w:space="0" w:color="auto" /&gt;
              &lt;w:right w:val="none" w:sz="0" w:space="0" w:color="auto" /&gt;
            &lt;/w:divBdr&gt;
          &lt;/w:div&gt;
        &lt;/w:divs&gt;
        &lt;w:optimizeForBrowser /&gt;
        &lt;w:relyOnVML /&gt;
        &lt;w:allowPNG /&gt;
      &lt;/w:webSettings&gt;
    &lt;/pkg:xmlData&gt;
  &lt;/pkg:part&gt;
  &lt;pkg:part pkg:name="/word/commentsExtended.xml" pkg:contentType="application/vnd.openxmlformats-officedocument.wordprocessingml.commentsExtended+xml"&gt;
    &lt;pkg:xmlData&gt;
      &lt;w15:commentsEx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&lt;w15:commentEx w15:paraId="3A53BF52" w15:done="0" /&gt;
        &lt;w15:commentEx w15:paraId="21D7C13A" w15:done="0" /&gt;
        &lt;w15:commentEx w15:paraId="2451C35C" w15:done="0" /&gt;
        &lt;w15:commentEx w15:paraId="153CB5F7" w15:done="0" /&gt;
        &lt;w15:commentEx w15:paraId="003DF36E" w15:done="0" /&gt;
        &lt;w15:commentEx w15:paraId="188BD655" w15:done="0" /&gt;
        &lt;w15:commentEx w15:paraId="6DCF61D8" w15:done="0" /&gt;
        &lt;w15:commentEx w15:paraId="18BB442E" w15:done="0" /&gt;
        &lt;w15:commentEx w15:paraId="7437DC8F" w15:done="0" /&gt;
        &lt;w15:commentEx w15:paraId="263809FA" w15:done="0" /&gt;
        &lt;w15:commentEx w15:paraId="44BD0A90" w15:done="0" /&gt;
        &lt;w15:commentEx w15:paraId="2EFD0CEA" w15:done="0" /&gt;
      &lt;/w15:commentsEx&gt;
    &lt;/pkg:xmlData&gt;
  &lt;/pkg:part&gt;
  &lt;pkg:part pkg:name="/word/people.xml" pkg:contentType="application/vnd.openxmlformats-officedocument.wordprocessingml.people+xml"&gt;
    &lt;pkg:xmlData&gt;
      &lt;w15:people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
        &lt;w15:person w15:author="Stacy Tegan"&gt;
          &lt;w15:presenceInfo w15:providerId="None" w15:userId="Stacy Tegan" /&gt;
        &lt;/w15:person&gt;
      &lt;/w15:people&gt;
    &lt;/pkg:xmlData&gt;
  &lt;/pkg:part&gt;
&lt;/pkg:package&gt;</ExclusionCriteriaOther>
  </ExclusionCriteria>
</ClinicalStudy>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F926D95E2508244AB4A681BDCA8DE38" ma:contentTypeVersion="5" ma:contentTypeDescription="Create a new document." ma:contentTypeScope="" ma:versionID="4f80c0e1601b33998986ba1689090b8e">
  <xsd:schema xmlns:xsd="http://www.w3.org/2001/XMLSchema" xmlns:xs="http://www.w3.org/2001/XMLSchema" xmlns:p="http://schemas.microsoft.com/office/2006/metadata/properties" xmlns:ns3="6a04c767-6921-47ea-96a2-c326014b32a4" targetNamespace="http://schemas.microsoft.com/office/2006/metadata/properties" ma:root="true" ma:fieldsID="6003f83b2e034ef7c86ead84c162d86a" ns3:_="">
    <xsd:import namespace="6a04c767-6921-47ea-96a2-c326014b32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4c767-6921-47ea-96a2-c326014b3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FormTemplates xmlns="http://schemas.microsoft.com/sharepoint/v3/contenttype/forms">
  <Display>DocumentLibraryForm</Display>
  <Edit>DocumentLibraryForm</Edit>
  <New>DocumentLibraryForm</New>
</FormTemplates>
</file>

<file path=customXml/item7.xml><?xml version="1.0" encoding="utf-8"?>
<b:Sources xmlns="http://schemas.openxmlformats.org/officeDocument/2006/bibliography" xmlns:b="http://schemas.openxmlformats.org/officeDocument/2006/bibliography" SelectedStyle="\APA.XSL" StyleName="APA"/>
</file>

<file path=customXml/item8.xml><?xml version="1.0" encoding="utf-8"?>
<b:Sources xmlns="http://schemas.openxmlformats.org/officeDocument/2006/bibliography" xmlns:b="http://schemas.openxmlformats.org/officeDocument/2006/bibliography" SelectedStyle="\APA.XSL" StyleName="APA"/>
</file>

<file path=customXml/item9.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49FAE127-B215-4661-8276-FA27D6C51F29}">
  <ds:schemaRefs>
    <ds:schemaRef ds:uri="urn:cpt:variables"/>
    <ds:schemaRef ds:uri="http://www.w3.org/2001/XMLSchema"/>
  </ds:schemaRefs>
</ds:datastoreItem>
</file>

<file path=customXml/itemProps2.xml><?xml version="1.0" encoding="utf-8"?>
<ds:datastoreItem xmlns:ds="http://schemas.openxmlformats.org/officeDocument/2006/customXml" ds:itemID="{BCE10051-4206-4E59-AEB5-C6D7E00A231E}">
  <ds:schemaRefs>
    <ds:schemaRef ds:uri="urn:cpt:ContentControlReferences"/>
    <ds:schemaRef ds:uri="http://www.w3.org/2001/XMLSchema"/>
  </ds:schemaRefs>
</ds:datastoreItem>
</file>

<file path=customXml/itemProps3.xml><?xml version="1.0" encoding="utf-8"?>
<ds:datastoreItem xmlns:ds="http://schemas.openxmlformats.org/officeDocument/2006/customXml" ds:itemID="{3BFD8BA7-525A-4EB4-9E91-C5C8F8459E43}">
  <ds:schemaRefs>
    <ds:schemaRef ds:uri="urn:cpt:protocol"/>
  </ds:schemaRefs>
</ds:datastoreItem>
</file>

<file path=customXml/itemProps4.xml><?xml version="1.0" encoding="utf-8"?>
<ds:datastoreItem xmlns:ds="http://schemas.openxmlformats.org/officeDocument/2006/customXml" ds:itemID="{4FC523E9-4FCB-40E7-85C4-D84D43E9C53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5888106-D84F-4F51-B72E-39B14FDA3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4c767-6921-47ea-96a2-c326014b3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45E6F6B-2303-44D1-8D63-2E41EE7847CE}">
  <ds:schemaRefs>
    <ds:schemaRef ds:uri="http://schemas.microsoft.com/sharepoint/v3/contenttype/forms"/>
  </ds:schemaRefs>
</ds:datastoreItem>
</file>

<file path=customXml/itemProps7.xml><?xml version="1.0" encoding="utf-8"?>
<ds:datastoreItem xmlns:ds="http://schemas.openxmlformats.org/officeDocument/2006/customXml" ds:itemID="{0D964661-987F-D543-8E78-CF5F904079C5}">
  <ds:schemaRefs>
    <ds:schemaRef ds:uri="http://schemas.openxmlformats.org/officeDocument/2006/bibliography"/>
  </ds:schemaRefs>
</ds:datastoreItem>
</file>

<file path=customXml/itemProps8.xml><?xml version="1.0" encoding="utf-8"?>
<ds:datastoreItem xmlns:ds="http://schemas.openxmlformats.org/officeDocument/2006/customXml" ds:itemID="{0A76C3F0-8F82-5B41-B1C4-64442057A643}">
  <ds:schemaRefs>
    <ds:schemaRef ds:uri="http://schemas.openxmlformats.org/officeDocument/2006/bibliography"/>
  </ds:schemaRefs>
</ds:datastoreItem>
</file>

<file path=customXml/itemProps9.xml><?xml version="1.0" encoding="utf-8"?>
<ds:datastoreItem xmlns:ds="http://schemas.openxmlformats.org/officeDocument/2006/customXml" ds:itemID="{99C1A034-DC58-924B-A428-33EF1E07B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65</Pages>
  <Words>28258</Words>
  <Characters>161075</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
    </vt:vector>
  </TitlesOfParts>
  <Company>sanofi-aventis</Company>
  <LinksUpToDate>false</LinksUpToDate>
  <CharactersWithSpaces>188956</CharactersWithSpaces>
  <SharedDoc>false</SharedDoc>
  <HLinks>
    <vt:vector size="330" baseType="variant">
      <vt:variant>
        <vt:i4>1638450</vt:i4>
      </vt:variant>
      <vt:variant>
        <vt:i4>326</vt:i4>
      </vt:variant>
      <vt:variant>
        <vt:i4>0</vt:i4>
      </vt:variant>
      <vt:variant>
        <vt:i4>5</vt:i4>
      </vt:variant>
      <vt:variant>
        <vt:lpwstr/>
      </vt:variant>
      <vt:variant>
        <vt:lpwstr>_Toc392140764</vt:lpwstr>
      </vt:variant>
      <vt:variant>
        <vt:i4>1638450</vt:i4>
      </vt:variant>
      <vt:variant>
        <vt:i4>320</vt:i4>
      </vt:variant>
      <vt:variant>
        <vt:i4>0</vt:i4>
      </vt:variant>
      <vt:variant>
        <vt:i4>5</vt:i4>
      </vt:variant>
      <vt:variant>
        <vt:lpwstr/>
      </vt:variant>
      <vt:variant>
        <vt:lpwstr>_Toc392140763</vt:lpwstr>
      </vt:variant>
      <vt:variant>
        <vt:i4>1638450</vt:i4>
      </vt:variant>
      <vt:variant>
        <vt:i4>314</vt:i4>
      </vt:variant>
      <vt:variant>
        <vt:i4>0</vt:i4>
      </vt:variant>
      <vt:variant>
        <vt:i4>5</vt:i4>
      </vt:variant>
      <vt:variant>
        <vt:lpwstr/>
      </vt:variant>
      <vt:variant>
        <vt:lpwstr>_Toc392140762</vt:lpwstr>
      </vt:variant>
      <vt:variant>
        <vt:i4>1638450</vt:i4>
      </vt:variant>
      <vt:variant>
        <vt:i4>308</vt:i4>
      </vt:variant>
      <vt:variant>
        <vt:i4>0</vt:i4>
      </vt:variant>
      <vt:variant>
        <vt:i4>5</vt:i4>
      </vt:variant>
      <vt:variant>
        <vt:lpwstr/>
      </vt:variant>
      <vt:variant>
        <vt:lpwstr>_Toc392140761</vt:lpwstr>
      </vt:variant>
      <vt:variant>
        <vt:i4>1638450</vt:i4>
      </vt:variant>
      <vt:variant>
        <vt:i4>302</vt:i4>
      </vt:variant>
      <vt:variant>
        <vt:i4>0</vt:i4>
      </vt:variant>
      <vt:variant>
        <vt:i4>5</vt:i4>
      </vt:variant>
      <vt:variant>
        <vt:lpwstr/>
      </vt:variant>
      <vt:variant>
        <vt:lpwstr>_Toc392140760</vt:lpwstr>
      </vt:variant>
      <vt:variant>
        <vt:i4>1703986</vt:i4>
      </vt:variant>
      <vt:variant>
        <vt:i4>296</vt:i4>
      </vt:variant>
      <vt:variant>
        <vt:i4>0</vt:i4>
      </vt:variant>
      <vt:variant>
        <vt:i4>5</vt:i4>
      </vt:variant>
      <vt:variant>
        <vt:lpwstr/>
      </vt:variant>
      <vt:variant>
        <vt:lpwstr>_Toc392140759</vt:lpwstr>
      </vt:variant>
      <vt:variant>
        <vt:i4>1703986</vt:i4>
      </vt:variant>
      <vt:variant>
        <vt:i4>290</vt:i4>
      </vt:variant>
      <vt:variant>
        <vt:i4>0</vt:i4>
      </vt:variant>
      <vt:variant>
        <vt:i4>5</vt:i4>
      </vt:variant>
      <vt:variant>
        <vt:lpwstr/>
      </vt:variant>
      <vt:variant>
        <vt:lpwstr>_Toc392140758</vt:lpwstr>
      </vt:variant>
      <vt:variant>
        <vt:i4>1703986</vt:i4>
      </vt:variant>
      <vt:variant>
        <vt:i4>284</vt:i4>
      </vt:variant>
      <vt:variant>
        <vt:i4>0</vt:i4>
      </vt:variant>
      <vt:variant>
        <vt:i4>5</vt:i4>
      </vt:variant>
      <vt:variant>
        <vt:lpwstr/>
      </vt:variant>
      <vt:variant>
        <vt:lpwstr>_Toc392140757</vt:lpwstr>
      </vt:variant>
      <vt:variant>
        <vt:i4>1703986</vt:i4>
      </vt:variant>
      <vt:variant>
        <vt:i4>278</vt:i4>
      </vt:variant>
      <vt:variant>
        <vt:i4>0</vt:i4>
      </vt:variant>
      <vt:variant>
        <vt:i4>5</vt:i4>
      </vt:variant>
      <vt:variant>
        <vt:lpwstr/>
      </vt:variant>
      <vt:variant>
        <vt:lpwstr>_Toc392140756</vt:lpwstr>
      </vt:variant>
      <vt:variant>
        <vt:i4>1703986</vt:i4>
      </vt:variant>
      <vt:variant>
        <vt:i4>272</vt:i4>
      </vt:variant>
      <vt:variant>
        <vt:i4>0</vt:i4>
      </vt:variant>
      <vt:variant>
        <vt:i4>5</vt:i4>
      </vt:variant>
      <vt:variant>
        <vt:lpwstr/>
      </vt:variant>
      <vt:variant>
        <vt:lpwstr>_Toc392140755</vt:lpwstr>
      </vt:variant>
      <vt:variant>
        <vt:i4>1703986</vt:i4>
      </vt:variant>
      <vt:variant>
        <vt:i4>266</vt:i4>
      </vt:variant>
      <vt:variant>
        <vt:i4>0</vt:i4>
      </vt:variant>
      <vt:variant>
        <vt:i4>5</vt:i4>
      </vt:variant>
      <vt:variant>
        <vt:lpwstr/>
      </vt:variant>
      <vt:variant>
        <vt:lpwstr>_Toc392140754</vt:lpwstr>
      </vt:variant>
      <vt:variant>
        <vt:i4>1703986</vt:i4>
      </vt:variant>
      <vt:variant>
        <vt:i4>260</vt:i4>
      </vt:variant>
      <vt:variant>
        <vt:i4>0</vt:i4>
      </vt:variant>
      <vt:variant>
        <vt:i4>5</vt:i4>
      </vt:variant>
      <vt:variant>
        <vt:lpwstr/>
      </vt:variant>
      <vt:variant>
        <vt:lpwstr>_Toc392140753</vt:lpwstr>
      </vt:variant>
      <vt:variant>
        <vt:i4>1703986</vt:i4>
      </vt:variant>
      <vt:variant>
        <vt:i4>254</vt:i4>
      </vt:variant>
      <vt:variant>
        <vt:i4>0</vt:i4>
      </vt:variant>
      <vt:variant>
        <vt:i4>5</vt:i4>
      </vt:variant>
      <vt:variant>
        <vt:lpwstr/>
      </vt:variant>
      <vt:variant>
        <vt:lpwstr>_Toc392140752</vt:lpwstr>
      </vt:variant>
      <vt:variant>
        <vt:i4>1703986</vt:i4>
      </vt:variant>
      <vt:variant>
        <vt:i4>248</vt:i4>
      </vt:variant>
      <vt:variant>
        <vt:i4>0</vt:i4>
      </vt:variant>
      <vt:variant>
        <vt:i4>5</vt:i4>
      </vt:variant>
      <vt:variant>
        <vt:lpwstr/>
      </vt:variant>
      <vt:variant>
        <vt:lpwstr>_Toc392140751</vt:lpwstr>
      </vt:variant>
      <vt:variant>
        <vt:i4>1703986</vt:i4>
      </vt:variant>
      <vt:variant>
        <vt:i4>242</vt:i4>
      </vt:variant>
      <vt:variant>
        <vt:i4>0</vt:i4>
      </vt:variant>
      <vt:variant>
        <vt:i4>5</vt:i4>
      </vt:variant>
      <vt:variant>
        <vt:lpwstr/>
      </vt:variant>
      <vt:variant>
        <vt:lpwstr>_Toc392140750</vt:lpwstr>
      </vt:variant>
      <vt:variant>
        <vt:i4>1769522</vt:i4>
      </vt:variant>
      <vt:variant>
        <vt:i4>236</vt:i4>
      </vt:variant>
      <vt:variant>
        <vt:i4>0</vt:i4>
      </vt:variant>
      <vt:variant>
        <vt:i4>5</vt:i4>
      </vt:variant>
      <vt:variant>
        <vt:lpwstr/>
      </vt:variant>
      <vt:variant>
        <vt:lpwstr>_Toc392140749</vt:lpwstr>
      </vt:variant>
      <vt:variant>
        <vt:i4>1769522</vt:i4>
      </vt:variant>
      <vt:variant>
        <vt:i4>230</vt:i4>
      </vt:variant>
      <vt:variant>
        <vt:i4>0</vt:i4>
      </vt:variant>
      <vt:variant>
        <vt:i4>5</vt:i4>
      </vt:variant>
      <vt:variant>
        <vt:lpwstr/>
      </vt:variant>
      <vt:variant>
        <vt:lpwstr>_Toc392140748</vt:lpwstr>
      </vt:variant>
      <vt:variant>
        <vt:i4>1769522</vt:i4>
      </vt:variant>
      <vt:variant>
        <vt:i4>224</vt:i4>
      </vt:variant>
      <vt:variant>
        <vt:i4>0</vt:i4>
      </vt:variant>
      <vt:variant>
        <vt:i4>5</vt:i4>
      </vt:variant>
      <vt:variant>
        <vt:lpwstr/>
      </vt:variant>
      <vt:variant>
        <vt:lpwstr>_Toc392140747</vt:lpwstr>
      </vt:variant>
      <vt:variant>
        <vt:i4>1769522</vt:i4>
      </vt:variant>
      <vt:variant>
        <vt:i4>218</vt:i4>
      </vt:variant>
      <vt:variant>
        <vt:i4>0</vt:i4>
      </vt:variant>
      <vt:variant>
        <vt:i4>5</vt:i4>
      </vt:variant>
      <vt:variant>
        <vt:lpwstr/>
      </vt:variant>
      <vt:variant>
        <vt:lpwstr>_Toc392140746</vt:lpwstr>
      </vt:variant>
      <vt:variant>
        <vt:i4>1769522</vt:i4>
      </vt:variant>
      <vt:variant>
        <vt:i4>212</vt:i4>
      </vt:variant>
      <vt:variant>
        <vt:i4>0</vt:i4>
      </vt:variant>
      <vt:variant>
        <vt:i4>5</vt:i4>
      </vt:variant>
      <vt:variant>
        <vt:lpwstr/>
      </vt:variant>
      <vt:variant>
        <vt:lpwstr>_Toc392140745</vt:lpwstr>
      </vt:variant>
      <vt:variant>
        <vt:i4>1769522</vt:i4>
      </vt:variant>
      <vt:variant>
        <vt:i4>206</vt:i4>
      </vt:variant>
      <vt:variant>
        <vt:i4>0</vt:i4>
      </vt:variant>
      <vt:variant>
        <vt:i4>5</vt:i4>
      </vt:variant>
      <vt:variant>
        <vt:lpwstr/>
      </vt:variant>
      <vt:variant>
        <vt:lpwstr>_Toc392140744</vt:lpwstr>
      </vt:variant>
      <vt:variant>
        <vt:i4>1769522</vt:i4>
      </vt:variant>
      <vt:variant>
        <vt:i4>200</vt:i4>
      </vt:variant>
      <vt:variant>
        <vt:i4>0</vt:i4>
      </vt:variant>
      <vt:variant>
        <vt:i4>5</vt:i4>
      </vt:variant>
      <vt:variant>
        <vt:lpwstr/>
      </vt:variant>
      <vt:variant>
        <vt:lpwstr>_Toc392140743</vt:lpwstr>
      </vt:variant>
      <vt:variant>
        <vt:i4>1769522</vt:i4>
      </vt:variant>
      <vt:variant>
        <vt:i4>194</vt:i4>
      </vt:variant>
      <vt:variant>
        <vt:i4>0</vt:i4>
      </vt:variant>
      <vt:variant>
        <vt:i4>5</vt:i4>
      </vt:variant>
      <vt:variant>
        <vt:lpwstr/>
      </vt:variant>
      <vt:variant>
        <vt:lpwstr>_Toc392140742</vt:lpwstr>
      </vt:variant>
      <vt:variant>
        <vt:i4>1769522</vt:i4>
      </vt:variant>
      <vt:variant>
        <vt:i4>188</vt:i4>
      </vt:variant>
      <vt:variant>
        <vt:i4>0</vt:i4>
      </vt:variant>
      <vt:variant>
        <vt:i4>5</vt:i4>
      </vt:variant>
      <vt:variant>
        <vt:lpwstr/>
      </vt:variant>
      <vt:variant>
        <vt:lpwstr>_Toc392140741</vt:lpwstr>
      </vt:variant>
      <vt:variant>
        <vt:i4>1769522</vt:i4>
      </vt:variant>
      <vt:variant>
        <vt:i4>182</vt:i4>
      </vt:variant>
      <vt:variant>
        <vt:i4>0</vt:i4>
      </vt:variant>
      <vt:variant>
        <vt:i4>5</vt:i4>
      </vt:variant>
      <vt:variant>
        <vt:lpwstr/>
      </vt:variant>
      <vt:variant>
        <vt:lpwstr>_Toc392140740</vt:lpwstr>
      </vt:variant>
      <vt:variant>
        <vt:i4>1835058</vt:i4>
      </vt:variant>
      <vt:variant>
        <vt:i4>176</vt:i4>
      </vt:variant>
      <vt:variant>
        <vt:i4>0</vt:i4>
      </vt:variant>
      <vt:variant>
        <vt:i4>5</vt:i4>
      </vt:variant>
      <vt:variant>
        <vt:lpwstr/>
      </vt:variant>
      <vt:variant>
        <vt:lpwstr>_Toc392140739</vt:lpwstr>
      </vt:variant>
      <vt:variant>
        <vt:i4>1835058</vt:i4>
      </vt:variant>
      <vt:variant>
        <vt:i4>170</vt:i4>
      </vt:variant>
      <vt:variant>
        <vt:i4>0</vt:i4>
      </vt:variant>
      <vt:variant>
        <vt:i4>5</vt:i4>
      </vt:variant>
      <vt:variant>
        <vt:lpwstr/>
      </vt:variant>
      <vt:variant>
        <vt:lpwstr>_Toc392140738</vt:lpwstr>
      </vt:variant>
      <vt:variant>
        <vt:i4>1835058</vt:i4>
      </vt:variant>
      <vt:variant>
        <vt:i4>164</vt:i4>
      </vt:variant>
      <vt:variant>
        <vt:i4>0</vt:i4>
      </vt:variant>
      <vt:variant>
        <vt:i4>5</vt:i4>
      </vt:variant>
      <vt:variant>
        <vt:lpwstr/>
      </vt:variant>
      <vt:variant>
        <vt:lpwstr>_Toc392140737</vt:lpwstr>
      </vt:variant>
      <vt:variant>
        <vt:i4>1835058</vt:i4>
      </vt:variant>
      <vt:variant>
        <vt:i4>158</vt:i4>
      </vt:variant>
      <vt:variant>
        <vt:i4>0</vt:i4>
      </vt:variant>
      <vt:variant>
        <vt:i4>5</vt:i4>
      </vt:variant>
      <vt:variant>
        <vt:lpwstr/>
      </vt:variant>
      <vt:variant>
        <vt:lpwstr>_Toc392140736</vt:lpwstr>
      </vt:variant>
      <vt:variant>
        <vt:i4>1835058</vt:i4>
      </vt:variant>
      <vt:variant>
        <vt:i4>152</vt:i4>
      </vt:variant>
      <vt:variant>
        <vt:i4>0</vt:i4>
      </vt:variant>
      <vt:variant>
        <vt:i4>5</vt:i4>
      </vt:variant>
      <vt:variant>
        <vt:lpwstr/>
      </vt:variant>
      <vt:variant>
        <vt:lpwstr>_Toc392140735</vt:lpwstr>
      </vt:variant>
      <vt:variant>
        <vt:i4>1835058</vt:i4>
      </vt:variant>
      <vt:variant>
        <vt:i4>146</vt:i4>
      </vt:variant>
      <vt:variant>
        <vt:i4>0</vt:i4>
      </vt:variant>
      <vt:variant>
        <vt:i4>5</vt:i4>
      </vt:variant>
      <vt:variant>
        <vt:lpwstr/>
      </vt:variant>
      <vt:variant>
        <vt:lpwstr>_Toc392140734</vt:lpwstr>
      </vt:variant>
      <vt:variant>
        <vt:i4>1835058</vt:i4>
      </vt:variant>
      <vt:variant>
        <vt:i4>140</vt:i4>
      </vt:variant>
      <vt:variant>
        <vt:i4>0</vt:i4>
      </vt:variant>
      <vt:variant>
        <vt:i4>5</vt:i4>
      </vt:variant>
      <vt:variant>
        <vt:lpwstr/>
      </vt:variant>
      <vt:variant>
        <vt:lpwstr>_Toc392140733</vt:lpwstr>
      </vt:variant>
      <vt:variant>
        <vt:i4>1835058</vt:i4>
      </vt:variant>
      <vt:variant>
        <vt:i4>134</vt:i4>
      </vt:variant>
      <vt:variant>
        <vt:i4>0</vt:i4>
      </vt:variant>
      <vt:variant>
        <vt:i4>5</vt:i4>
      </vt:variant>
      <vt:variant>
        <vt:lpwstr/>
      </vt:variant>
      <vt:variant>
        <vt:lpwstr>_Toc392140732</vt:lpwstr>
      </vt:variant>
      <vt:variant>
        <vt:i4>1835058</vt:i4>
      </vt:variant>
      <vt:variant>
        <vt:i4>128</vt:i4>
      </vt:variant>
      <vt:variant>
        <vt:i4>0</vt:i4>
      </vt:variant>
      <vt:variant>
        <vt:i4>5</vt:i4>
      </vt:variant>
      <vt:variant>
        <vt:lpwstr/>
      </vt:variant>
      <vt:variant>
        <vt:lpwstr>_Toc392140731</vt:lpwstr>
      </vt:variant>
      <vt:variant>
        <vt:i4>1835058</vt:i4>
      </vt:variant>
      <vt:variant>
        <vt:i4>122</vt:i4>
      </vt:variant>
      <vt:variant>
        <vt:i4>0</vt:i4>
      </vt:variant>
      <vt:variant>
        <vt:i4>5</vt:i4>
      </vt:variant>
      <vt:variant>
        <vt:lpwstr/>
      </vt:variant>
      <vt:variant>
        <vt:lpwstr>_Toc392140730</vt:lpwstr>
      </vt:variant>
      <vt:variant>
        <vt:i4>1900594</vt:i4>
      </vt:variant>
      <vt:variant>
        <vt:i4>116</vt:i4>
      </vt:variant>
      <vt:variant>
        <vt:i4>0</vt:i4>
      </vt:variant>
      <vt:variant>
        <vt:i4>5</vt:i4>
      </vt:variant>
      <vt:variant>
        <vt:lpwstr/>
      </vt:variant>
      <vt:variant>
        <vt:lpwstr>_Toc392140729</vt:lpwstr>
      </vt:variant>
      <vt:variant>
        <vt:i4>1900594</vt:i4>
      </vt:variant>
      <vt:variant>
        <vt:i4>110</vt:i4>
      </vt:variant>
      <vt:variant>
        <vt:i4>0</vt:i4>
      </vt:variant>
      <vt:variant>
        <vt:i4>5</vt:i4>
      </vt:variant>
      <vt:variant>
        <vt:lpwstr/>
      </vt:variant>
      <vt:variant>
        <vt:lpwstr>_Toc392140728</vt:lpwstr>
      </vt:variant>
      <vt:variant>
        <vt:i4>1900594</vt:i4>
      </vt:variant>
      <vt:variant>
        <vt:i4>104</vt:i4>
      </vt:variant>
      <vt:variant>
        <vt:i4>0</vt:i4>
      </vt:variant>
      <vt:variant>
        <vt:i4>5</vt:i4>
      </vt:variant>
      <vt:variant>
        <vt:lpwstr/>
      </vt:variant>
      <vt:variant>
        <vt:lpwstr>_Toc392140727</vt:lpwstr>
      </vt:variant>
      <vt:variant>
        <vt:i4>1900594</vt:i4>
      </vt:variant>
      <vt:variant>
        <vt:i4>98</vt:i4>
      </vt:variant>
      <vt:variant>
        <vt:i4>0</vt:i4>
      </vt:variant>
      <vt:variant>
        <vt:i4>5</vt:i4>
      </vt:variant>
      <vt:variant>
        <vt:lpwstr/>
      </vt:variant>
      <vt:variant>
        <vt:lpwstr>_Toc392140726</vt:lpwstr>
      </vt:variant>
      <vt:variant>
        <vt:i4>1900594</vt:i4>
      </vt:variant>
      <vt:variant>
        <vt:i4>92</vt:i4>
      </vt:variant>
      <vt:variant>
        <vt:i4>0</vt:i4>
      </vt:variant>
      <vt:variant>
        <vt:i4>5</vt:i4>
      </vt:variant>
      <vt:variant>
        <vt:lpwstr/>
      </vt:variant>
      <vt:variant>
        <vt:lpwstr>_Toc392140725</vt:lpwstr>
      </vt:variant>
      <vt:variant>
        <vt:i4>1900594</vt:i4>
      </vt:variant>
      <vt:variant>
        <vt:i4>86</vt:i4>
      </vt:variant>
      <vt:variant>
        <vt:i4>0</vt:i4>
      </vt:variant>
      <vt:variant>
        <vt:i4>5</vt:i4>
      </vt:variant>
      <vt:variant>
        <vt:lpwstr/>
      </vt:variant>
      <vt:variant>
        <vt:lpwstr>_Toc392140724</vt:lpwstr>
      </vt:variant>
      <vt:variant>
        <vt:i4>1900594</vt:i4>
      </vt:variant>
      <vt:variant>
        <vt:i4>80</vt:i4>
      </vt:variant>
      <vt:variant>
        <vt:i4>0</vt:i4>
      </vt:variant>
      <vt:variant>
        <vt:i4>5</vt:i4>
      </vt:variant>
      <vt:variant>
        <vt:lpwstr/>
      </vt:variant>
      <vt:variant>
        <vt:lpwstr>_Toc392140723</vt:lpwstr>
      </vt:variant>
      <vt:variant>
        <vt:i4>1900594</vt:i4>
      </vt:variant>
      <vt:variant>
        <vt:i4>74</vt:i4>
      </vt:variant>
      <vt:variant>
        <vt:i4>0</vt:i4>
      </vt:variant>
      <vt:variant>
        <vt:i4>5</vt:i4>
      </vt:variant>
      <vt:variant>
        <vt:lpwstr/>
      </vt:variant>
      <vt:variant>
        <vt:lpwstr>_Toc392140722</vt:lpwstr>
      </vt:variant>
      <vt:variant>
        <vt:i4>1900594</vt:i4>
      </vt:variant>
      <vt:variant>
        <vt:i4>68</vt:i4>
      </vt:variant>
      <vt:variant>
        <vt:i4>0</vt:i4>
      </vt:variant>
      <vt:variant>
        <vt:i4>5</vt:i4>
      </vt:variant>
      <vt:variant>
        <vt:lpwstr/>
      </vt:variant>
      <vt:variant>
        <vt:lpwstr>_Toc392140721</vt:lpwstr>
      </vt:variant>
      <vt:variant>
        <vt:i4>1900594</vt:i4>
      </vt:variant>
      <vt:variant>
        <vt:i4>62</vt:i4>
      </vt:variant>
      <vt:variant>
        <vt:i4>0</vt:i4>
      </vt:variant>
      <vt:variant>
        <vt:i4>5</vt:i4>
      </vt:variant>
      <vt:variant>
        <vt:lpwstr/>
      </vt:variant>
      <vt:variant>
        <vt:lpwstr>_Toc392140720</vt:lpwstr>
      </vt:variant>
      <vt:variant>
        <vt:i4>1966130</vt:i4>
      </vt:variant>
      <vt:variant>
        <vt:i4>56</vt:i4>
      </vt:variant>
      <vt:variant>
        <vt:i4>0</vt:i4>
      </vt:variant>
      <vt:variant>
        <vt:i4>5</vt:i4>
      </vt:variant>
      <vt:variant>
        <vt:lpwstr/>
      </vt:variant>
      <vt:variant>
        <vt:lpwstr>_Toc392140719</vt:lpwstr>
      </vt:variant>
      <vt:variant>
        <vt:i4>1966130</vt:i4>
      </vt:variant>
      <vt:variant>
        <vt:i4>50</vt:i4>
      </vt:variant>
      <vt:variant>
        <vt:i4>0</vt:i4>
      </vt:variant>
      <vt:variant>
        <vt:i4>5</vt:i4>
      </vt:variant>
      <vt:variant>
        <vt:lpwstr/>
      </vt:variant>
      <vt:variant>
        <vt:lpwstr>_Toc392140718</vt:lpwstr>
      </vt:variant>
      <vt:variant>
        <vt:i4>1966130</vt:i4>
      </vt:variant>
      <vt:variant>
        <vt:i4>44</vt:i4>
      </vt:variant>
      <vt:variant>
        <vt:i4>0</vt:i4>
      </vt:variant>
      <vt:variant>
        <vt:i4>5</vt:i4>
      </vt:variant>
      <vt:variant>
        <vt:lpwstr/>
      </vt:variant>
      <vt:variant>
        <vt:lpwstr>_Toc392140717</vt:lpwstr>
      </vt:variant>
      <vt:variant>
        <vt:i4>1966130</vt:i4>
      </vt:variant>
      <vt:variant>
        <vt:i4>38</vt:i4>
      </vt:variant>
      <vt:variant>
        <vt:i4>0</vt:i4>
      </vt:variant>
      <vt:variant>
        <vt:i4>5</vt:i4>
      </vt:variant>
      <vt:variant>
        <vt:lpwstr/>
      </vt:variant>
      <vt:variant>
        <vt:lpwstr>_Toc392140716</vt:lpwstr>
      </vt:variant>
      <vt:variant>
        <vt:i4>1966130</vt:i4>
      </vt:variant>
      <vt:variant>
        <vt:i4>32</vt:i4>
      </vt:variant>
      <vt:variant>
        <vt:i4>0</vt:i4>
      </vt:variant>
      <vt:variant>
        <vt:i4>5</vt:i4>
      </vt:variant>
      <vt:variant>
        <vt:lpwstr/>
      </vt:variant>
      <vt:variant>
        <vt:lpwstr>_Toc392140715</vt:lpwstr>
      </vt:variant>
      <vt:variant>
        <vt:i4>1966130</vt:i4>
      </vt:variant>
      <vt:variant>
        <vt:i4>26</vt:i4>
      </vt:variant>
      <vt:variant>
        <vt:i4>0</vt:i4>
      </vt:variant>
      <vt:variant>
        <vt:i4>5</vt:i4>
      </vt:variant>
      <vt:variant>
        <vt:lpwstr/>
      </vt:variant>
      <vt:variant>
        <vt:lpwstr>_Toc392140714</vt:lpwstr>
      </vt:variant>
      <vt:variant>
        <vt:i4>1966130</vt:i4>
      </vt:variant>
      <vt:variant>
        <vt:i4>20</vt:i4>
      </vt:variant>
      <vt:variant>
        <vt:i4>0</vt:i4>
      </vt:variant>
      <vt:variant>
        <vt:i4>5</vt:i4>
      </vt:variant>
      <vt:variant>
        <vt:lpwstr/>
      </vt:variant>
      <vt:variant>
        <vt:lpwstr>_Toc392140713</vt:lpwstr>
      </vt:variant>
      <vt:variant>
        <vt:i4>1966130</vt:i4>
      </vt:variant>
      <vt:variant>
        <vt:i4>14</vt:i4>
      </vt:variant>
      <vt:variant>
        <vt:i4>0</vt:i4>
      </vt:variant>
      <vt:variant>
        <vt:i4>5</vt:i4>
      </vt:variant>
      <vt:variant>
        <vt:lpwstr/>
      </vt:variant>
      <vt:variant>
        <vt:lpwstr>_Toc392140712</vt:lpwstr>
      </vt:variant>
      <vt:variant>
        <vt:i4>1966130</vt:i4>
      </vt:variant>
      <vt:variant>
        <vt:i4>8</vt:i4>
      </vt:variant>
      <vt:variant>
        <vt:i4>0</vt:i4>
      </vt:variant>
      <vt:variant>
        <vt:i4>5</vt:i4>
      </vt:variant>
      <vt:variant>
        <vt:lpwstr/>
      </vt:variant>
      <vt:variant>
        <vt:lpwstr>_Toc392140711</vt:lpwstr>
      </vt:variant>
      <vt:variant>
        <vt:i4>1966130</vt:i4>
      </vt:variant>
      <vt:variant>
        <vt:i4>2</vt:i4>
      </vt:variant>
      <vt:variant>
        <vt:i4>0</vt:i4>
      </vt:variant>
      <vt:variant>
        <vt:i4>5</vt:i4>
      </vt:variant>
      <vt:variant>
        <vt:lpwstr/>
      </vt:variant>
      <vt:variant>
        <vt:lpwstr>_Toc392140710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Babcock, Jacquelyn L.</dc:creator>
  <cp:keywords/>
  <dc:description/>
  <cp:lastModifiedBy>Jay Park</cp:lastModifiedBy>
  <cp:revision>4</cp:revision>
  <dcterms:created xsi:type="dcterms:W3CDTF">2020-05-09T13:37:00Z</dcterms:created>
  <dcterms:modified xsi:type="dcterms:W3CDTF">2020-05-11T21:58:00Z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0x0101006F926D95E2508244AB4A681BDCA8DE38</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